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1E931" w14:textId="02F339C4" w:rsidR="00D8471E" w:rsidRPr="006F452E" w:rsidRDefault="006F452E">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b/>
          <w:i/>
          <w:color w:val="808080" w:themeColor="background1" w:themeShade="80"/>
        </w:rPr>
      </w:pPr>
      <w:r w:rsidRPr="006F452E">
        <w:rPr>
          <w:rFonts w:ascii="Times New Roman" w:eastAsia="Times New Roman" w:hAnsi="Times New Roman" w:cs="Times New Roman"/>
          <w:b/>
          <w:color w:val="808080" w:themeColor="background1" w:themeShade="80"/>
        </w:rPr>
        <w:t>Trilha</w:t>
      </w:r>
      <w:r w:rsidR="008B7535">
        <w:rPr>
          <w:rFonts w:ascii="Times New Roman" w:eastAsia="Times New Roman" w:hAnsi="Times New Roman" w:cs="Times New Roman"/>
          <w:b/>
          <w:color w:val="808080" w:themeColor="background1" w:themeShade="80"/>
        </w:rPr>
        <w:t xml:space="preserve">: </w:t>
      </w:r>
      <w:r w:rsidR="008B7535" w:rsidRPr="008B7535">
        <w:rPr>
          <w:rFonts w:ascii="Times New Roman" w:eastAsia="Times New Roman" w:hAnsi="Times New Roman" w:cs="Times New Roman"/>
          <w:b/>
          <w:color w:val="808080" w:themeColor="background1" w:themeShade="80"/>
        </w:rPr>
        <w:t>TENDÊNCIAS EMERGENTES</w:t>
      </w:r>
    </w:p>
    <w:p w14:paraId="6EBCBD64" w14:textId="77777777" w:rsidR="00D8471E" w:rsidRDefault="00D8471E">
      <w:pPr>
        <w:spacing w:line="240" w:lineRule="auto"/>
        <w:jc w:val="both"/>
        <w:rPr>
          <w:rFonts w:ascii="Times New Roman" w:eastAsia="Times New Roman" w:hAnsi="Times New Roman" w:cs="Times New Roman"/>
          <w:b/>
          <w:sz w:val="24"/>
          <w:szCs w:val="24"/>
        </w:rPr>
      </w:pPr>
    </w:p>
    <w:p w14:paraId="180F1FCC" w14:textId="3D28867B" w:rsidR="00747168" w:rsidRPr="00B9796C" w:rsidRDefault="00747168" w:rsidP="00747168">
      <w:pPr>
        <w:spacing w:line="240" w:lineRule="auto"/>
        <w:jc w:val="center"/>
        <w:rPr>
          <w:rFonts w:ascii="Times New Roman" w:eastAsia="Times New Roman" w:hAnsi="Times New Roman" w:cs="Times New Roman"/>
          <w:b/>
          <w:sz w:val="28"/>
          <w:szCs w:val="28"/>
        </w:rPr>
      </w:pPr>
      <w:r w:rsidRPr="00B9796C">
        <w:rPr>
          <w:rFonts w:ascii="Times New Roman" w:eastAsia="Times New Roman" w:hAnsi="Times New Roman" w:cs="Times New Roman"/>
          <w:b/>
          <w:sz w:val="28"/>
          <w:szCs w:val="28"/>
        </w:rPr>
        <w:t xml:space="preserve">ROTAS TECNOLÓGICAS NO SETOR METALMECÂNICO LATINO-AMERICANO: ANÁLISE CIENTOMÉTRICA DE PATENTES E IMPLICAÇÕES PARA A POLÍTICA INDUSTRIAL 4.0 </w:t>
      </w:r>
    </w:p>
    <w:p w14:paraId="1743A642" w14:textId="77777777" w:rsidR="00747168" w:rsidRPr="00B9796C" w:rsidRDefault="00747168" w:rsidP="00747168">
      <w:pPr>
        <w:spacing w:line="240" w:lineRule="auto"/>
        <w:jc w:val="center"/>
        <w:rPr>
          <w:rFonts w:ascii="Times New Roman" w:eastAsia="Times New Roman" w:hAnsi="Times New Roman" w:cs="Times New Roman"/>
          <w:i/>
          <w:sz w:val="28"/>
          <w:szCs w:val="28"/>
        </w:rPr>
      </w:pPr>
      <w:r w:rsidRPr="00B9796C">
        <w:rPr>
          <w:rFonts w:ascii="Times New Roman" w:eastAsia="Times New Roman" w:hAnsi="Times New Roman" w:cs="Times New Roman"/>
          <w:i/>
          <w:sz w:val="28"/>
          <w:szCs w:val="28"/>
        </w:rPr>
        <w:t>TECHNOLOGICAL PATHWAYS IN THE LATIN AMERICAN METAL-MECHANICAL SECTOR: A SCIENTOMETRIC PATENT ANALYSIS AND IMPLICATIONS FOR INDUSTRY 4.0 INDUSTRIAL POLICY</w:t>
      </w:r>
    </w:p>
    <w:p w14:paraId="170E1265" w14:textId="77777777" w:rsidR="00D8471E" w:rsidRDefault="00D8471E">
      <w:pPr>
        <w:spacing w:line="240" w:lineRule="auto"/>
        <w:jc w:val="center"/>
        <w:rPr>
          <w:rFonts w:ascii="Times New Roman" w:eastAsia="Times New Roman" w:hAnsi="Times New Roman" w:cs="Times New Roman"/>
          <w:b/>
          <w:sz w:val="24"/>
          <w:szCs w:val="24"/>
        </w:rPr>
      </w:pPr>
    </w:p>
    <w:p w14:paraId="04F33923" w14:textId="4D399E4D" w:rsidR="00D8471E" w:rsidRPr="006F452E" w:rsidRDefault="00CF11C6" w:rsidP="006F452E">
      <w:pPr>
        <w:spacing w:line="240" w:lineRule="auto"/>
        <w:jc w:val="right"/>
        <w:rPr>
          <w:rFonts w:ascii="Times New Roman" w:eastAsia="Times New Roman" w:hAnsi="Times New Roman" w:cs="Times New Roman"/>
          <w:b/>
          <w:bCs/>
        </w:rPr>
      </w:pPr>
      <w:r w:rsidRPr="00CF11C6">
        <w:rPr>
          <w:rFonts w:ascii="Times New Roman" w:eastAsia="Times New Roman" w:hAnsi="Times New Roman" w:cs="Times New Roman"/>
          <w:b/>
          <w:bCs/>
        </w:rPr>
        <w:t>Camila Naves Arantes</w:t>
      </w:r>
      <w:r>
        <w:rPr>
          <w:rFonts w:ascii="Times New Roman" w:eastAsia="Times New Roman" w:hAnsi="Times New Roman" w:cs="Times New Roman"/>
        </w:rPr>
        <w:t xml:space="preserve"> </w:t>
      </w:r>
    </w:p>
    <w:p w14:paraId="21E450E1" w14:textId="3ADF789C" w:rsidR="006F452E" w:rsidRDefault="00CF11C6"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Doutora</w:t>
      </w:r>
      <w:r w:rsidR="00992ED5">
        <w:rPr>
          <w:rFonts w:ascii="Times New Roman" w:eastAsia="Times New Roman" w:hAnsi="Times New Roman" w:cs="Times New Roman"/>
        </w:rPr>
        <w:t xml:space="preserve">. </w:t>
      </w:r>
      <w:r w:rsidR="000E00BD">
        <w:rPr>
          <w:rFonts w:ascii="Times New Roman" w:eastAsia="Times New Roman" w:hAnsi="Times New Roman" w:cs="Times New Roman"/>
        </w:rPr>
        <w:t>Universidade Federal do ABC</w:t>
      </w:r>
      <w:r w:rsidR="00A14A3E">
        <w:rPr>
          <w:rFonts w:ascii="Times New Roman" w:eastAsia="Times New Roman" w:hAnsi="Times New Roman" w:cs="Times New Roman"/>
        </w:rPr>
        <w:t xml:space="preserve"> (</w:t>
      </w:r>
      <w:r w:rsidR="0092485A">
        <w:rPr>
          <w:rFonts w:ascii="Times New Roman" w:eastAsia="Times New Roman" w:hAnsi="Times New Roman" w:cs="Times New Roman"/>
        </w:rPr>
        <w:t>UFABC)</w:t>
      </w:r>
      <w:r w:rsidR="00495573">
        <w:rPr>
          <w:rFonts w:ascii="Times New Roman" w:eastAsia="Times New Roman" w:hAnsi="Times New Roman" w:cs="Times New Roman"/>
        </w:rPr>
        <w:t xml:space="preserve">. </w:t>
      </w:r>
      <w:r w:rsidR="000211AF" w:rsidRPr="000211AF">
        <w:rPr>
          <w:rFonts w:ascii="Times New Roman" w:eastAsia="Times New Roman" w:hAnsi="Times New Roman" w:cs="Times New Roman"/>
        </w:rPr>
        <w:t>Serviço Nacional de Aprendizagem Industrial</w:t>
      </w:r>
      <w:r w:rsidR="000211AF">
        <w:rPr>
          <w:rFonts w:ascii="Times New Roman" w:eastAsia="Times New Roman" w:hAnsi="Times New Roman" w:cs="Times New Roman"/>
        </w:rPr>
        <w:t xml:space="preserve"> (</w:t>
      </w:r>
      <w:r w:rsidR="00C9211F">
        <w:rPr>
          <w:rFonts w:ascii="Times New Roman" w:eastAsia="Times New Roman" w:hAnsi="Times New Roman" w:cs="Times New Roman"/>
        </w:rPr>
        <w:t>SENAI)</w:t>
      </w:r>
      <w:r w:rsidR="006F452E">
        <w:rPr>
          <w:rFonts w:ascii="Times New Roman" w:eastAsia="Times New Roman" w:hAnsi="Times New Roman" w:cs="Times New Roman"/>
        </w:rPr>
        <w:t xml:space="preserve"> – </w:t>
      </w:r>
      <w:r w:rsidR="00C9211F">
        <w:rPr>
          <w:rFonts w:ascii="Times New Roman" w:eastAsia="Times New Roman" w:hAnsi="Times New Roman" w:cs="Times New Roman"/>
        </w:rPr>
        <w:t>Brasil</w:t>
      </w:r>
      <w:r w:rsidR="006F452E">
        <w:rPr>
          <w:rFonts w:ascii="Times New Roman" w:eastAsia="Times New Roman" w:hAnsi="Times New Roman" w:cs="Times New Roman"/>
        </w:rPr>
        <w:t xml:space="preserve">. </w:t>
      </w:r>
    </w:p>
    <w:p w14:paraId="5D195253" w14:textId="7EEB136F" w:rsidR="006F452E" w:rsidRDefault="0095121F" w:rsidP="006F452E">
      <w:pPr>
        <w:spacing w:line="240" w:lineRule="auto"/>
        <w:jc w:val="right"/>
        <w:rPr>
          <w:rFonts w:ascii="Times New Roman" w:eastAsia="Times New Roman" w:hAnsi="Times New Roman" w:cs="Times New Roman"/>
        </w:rPr>
      </w:pPr>
      <w:r w:rsidRPr="0095121F">
        <w:rPr>
          <w:rFonts w:ascii="Times New Roman" w:eastAsia="Times New Roman" w:hAnsi="Times New Roman" w:cs="Times New Roman"/>
        </w:rPr>
        <w:t>camilanarantes@gmail.com</w:t>
      </w:r>
    </w:p>
    <w:p w14:paraId="7B32B91D" w14:textId="6D3EBF63" w:rsidR="00FE360F" w:rsidRPr="00FE360F" w:rsidRDefault="00FE360F" w:rsidP="00FE360F">
      <w:pPr>
        <w:spacing w:line="240" w:lineRule="auto"/>
        <w:jc w:val="right"/>
        <w:rPr>
          <w:rFonts w:ascii="Times New Roman" w:eastAsia="Times New Roman" w:hAnsi="Times New Roman" w:cs="Times New Roman"/>
          <w:b/>
          <w:bCs/>
        </w:rPr>
      </w:pPr>
      <w:r w:rsidRPr="00FE360F">
        <w:rPr>
          <w:rFonts w:ascii="Times New Roman" w:eastAsia="Times New Roman" w:hAnsi="Times New Roman" w:cs="Times New Roman"/>
          <w:b/>
          <w:bCs/>
        </w:rPr>
        <w:t xml:space="preserve">Geraldo Cardoso </w:t>
      </w:r>
      <w:r>
        <w:rPr>
          <w:rFonts w:ascii="Times New Roman" w:eastAsia="Times New Roman" w:hAnsi="Times New Roman" w:cs="Times New Roman"/>
          <w:b/>
          <w:bCs/>
        </w:rPr>
        <w:t>d</w:t>
      </w:r>
      <w:r w:rsidRPr="00FE360F">
        <w:rPr>
          <w:rFonts w:ascii="Times New Roman" w:eastAsia="Times New Roman" w:hAnsi="Times New Roman" w:cs="Times New Roman"/>
          <w:b/>
          <w:bCs/>
        </w:rPr>
        <w:t>e Oliveira Neto</w:t>
      </w:r>
    </w:p>
    <w:p w14:paraId="63A67B30" w14:textId="53634C9D" w:rsidR="006F452E" w:rsidRDefault="00FE360F"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 xml:space="preserve">Doutor. Universidade Federal do ABC (UFABC) </w:t>
      </w:r>
      <w:r w:rsidR="006F452E">
        <w:rPr>
          <w:rFonts w:ascii="Times New Roman" w:eastAsia="Times New Roman" w:hAnsi="Times New Roman" w:cs="Times New Roman"/>
        </w:rPr>
        <w:t xml:space="preserve">– </w:t>
      </w:r>
      <w:r>
        <w:rPr>
          <w:rFonts w:ascii="Times New Roman" w:eastAsia="Times New Roman" w:hAnsi="Times New Roman" w:cs="Times New Roman"/>
        </w:rPr>
        <w:t>Brasil</w:t>
      </w:r>
      <w:r w:rsidR="006F452E">
        <w:rPr>
          <w:rFonts w:ascii="Times New Roman" w:eastAsia="Times New Roman" w:hAnsi="Times New Roman" w:cs="Times New Roman"/>
        </w:rPr>
        <w:t xml:space="preserve">. </w:t>
      </w:r>
    </w:p>
    <w:p w14:paraId="04D0CBE3" w14:textId="0C227CCE" w:rsidR="006F452E" w:rsidRDefault="00AF4B33" w:rsidP="006F452E">
      <w:pPr>
        <w:spacing w:line="240" w:lineRule="auto"/>
        <w:jc w:val="right"/>
        <w:rPr>
          <w:rFonts w:ascii="Times New Roman" w:eastAsia="Times New Roman" w:hAnsi="Times New Roman" w:cs="Times New Roman"/>
        </w:rPr>
      </w:pPr>
      <w:r w:rsidRPr="00AF4B33">
        <w:rPr>
          <w:rFonts w:ascii="Times New Roman" w:eastAsia="Times New Roman" w:hAnsi="Times New Roman" w:cs="Times New Roman"/>
        </w:rPr>
        <w:t>geraldo.prod@gmail.com</w:t>
      </w:r>
    </w:p>
    <w:p w14:paraId="3485F7C0" w14:textId="00183A34" w:rsidR="006F452E" w:rsidRPr="006F452E" w:rsidRDefault="00AF4B33"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Priscila Rezende da Costa</w:t>
      </w:r>
    </w:p>
    <w:p w14:paraId="127E4D7B" w14:textId="59079DAF" w:rsidR="006F452E" w:rsidRDefault="00AF4B33"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Doutora. Escola Superior de Propaganda e Marketing (ESPM)</w:t>
      </w:r>
      <w:r w:rsidR="006F452E">
        <w:rPr>
          <w:rFonts w:ascii="Times New Roman" w:eastAsia="Times New Roman" w:hAnsi="Times New Roman" w:cs="Times New Roman"/>
        </w:rPr>
        <w:t xml:space="preserve"> – </w:t>
      </w:r>
      <w:r>
        <w:rPr>
          <w:rFonts w:ascii="Times New Roman" w:eastAsia="Times New Roman" w:hAnsi="Times New Roman" w:cs="Times New Roman"/>
        </w:rPr>
        <w:t>Brasil.</w:t>
      </w:r>
      <w:r w:rsidR="006F452E">
        <w:rPr>
          <w:rFonts w:ascii="Times New Roman" w:eastAsia="Times New Roman" w:hAnsi="Times New Roman" w:cs="Times New Roman"/>
        </w:rPr>
        <w:t xml:space="preserve"> </w:t>
      </w:r>
    </w:p>
    <w:p w14:paraId="126F1B2A" w14:textId="25DA75C9" w:rsidR="006F452E" w:rsidRDefault="00AF4B33" w:rsidP="006F452E">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rPr>
        <w:t>priscila.costa@espm.br</w:t>
      </w:r>
    </w:p>
    <w:p w14:paraId="13C745F7" w14:textId="77777777" w:rsidR="00D8471E" w:rsidRDefault="005B76E5" w:rsidP="006F452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RESUMO</w:t>
      </w:r>
    </w:p>
    <w:p w14:paraId="11341FAB" w14:textId="77777777" w:rsidR="00107804" w:rsidRPr="008F43FA" w:rsidRDefault="00107804" w:rsidP="0010780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r</w:t>
      </w:r>
      <w:r w:rsidRPr="008F43FA">
        <w:rPr>
          <w:rFonts w:ascii="Times New Roman" w:eastAsia="Times New Roman" w:hAnsi="Times New Roman" w:cs="Times New Roman"/>
          <w:sz w:val="24"/>
          <w:szCs w:val="24"/>
        </w:rPr>
        <w:t>otas tecnológicas do setor metalmecânico latino-americano</w:t>
      </w:r>
      <w:r>
        <w:rPr>
          <w:rFonts w:ascii="Times New Roman" w:eastAsia="Times New Roman" w:hAnsi="Times New Roman" w:cs="Times New Roman"/>
          <w:sz w:val="24"/>
          <w:szCs w:val="24"/>
        </w:rPr>
        <w:t xml:space="preserve"> é ponto chave para inovação tecnológica e desenvolvimento da região. Assim, a avaliação desse ponto</w:t>
      </w:r>
      <w:r w:rsidRPr="008F43FA">
        <w:rPr>
          <w:rFonts w:ascii="Times New Roman" w:eastAsia="Times New Roman" w:hAnsi="Times New Roman" w:cs="Times New Roman"/>
          <w:sz w:val="24"/>
          <w:szCs w:val="24"/>
        </w:rPr>
        <w:t xml:space="preserve"> extraindo recomendações para políticas de Indústria 4.0. A originalidade reside na triangulação de análise cientométrica de patentes, algoritmos de clusterização semântica e </w:t>
      </w:r>
      <w:proofErr w:type="spellStart"/>
      <w:r w:rsidRPr="008F43FA">
        <w:rPr>
          <w:rFonts w:ascii="Times New Roman" w:eastAsia="Times New Roman" w:hAnsi="Times New Roman" w:cs="Times New Roman"/>
          <w:sz w:val="24"/>
          <w:szCs w:val="24"/>
        </w:rPr>
        <w:t>roadmapping</w:t>
      </w:r>
      <w:proofErr w:type="spellEnd"/>
      <w:r w:rsidRPr="008F43FA">
        <w:rPr>
          <w:rFonts w:ascii="Times New Roman" w:eastAsia="Times New Roman" w:hAnsi="Times New Roman" w:cs="Times New Roman"/>
          <w:sz w:val="24"/>
          <w:szCs w:val="24"/>
        </w:rPr>
        <w:t xml:space="preserve"> tecnológico, abordagem ainda pouco explorada na literatura regional. Os dados foram coletados na base </w:t>
      </w:r>
      <w:proofErr w:type="spellStart"/>
      <w:r w:rsidRPr="008F43FA">
        <w:rPr>
          <w:rFonts w:ascii="Times New Roman" w:eastAsia="Times New Roman" w:hAnsi="Times New Roman" w:cs="Times New Roman"/>
          <w:sz w:val="24"/>
          <w:szCs w:val="24"/>
        </w:rPr>
        <w:t>Derwent</w:t>
      </w:r>
      <w:proofErr w:type="spellEnd"/>
      <w:r w:rsidRPr="008F43FA">
        <w:rPr>
          <w:rFonts w:ascii="Times New Roman" w:eastAsia="Times New Roman" w:hAnsi="Times New Roman" w:cs="Times New Roman"/>
          <w:sz w:val="24"/>
          <w:szCs w:val="24"/>
        </w:rPr>
        <w:t xml:space="preserve"> </w:t>
      </w:r>
      <w:proofErr w:type="spellStart"/>
      <w:r w:rsidRPr="008F43FA">
        <w:rPr>
          <w:rFonts w:ascii="Times New Roman" w:eastAsia="Times New Roman" w:hAnsi="Times New Roman" w:cs="Times New Roman"/>
          <w:sz w:val="24"/>
          <w:szCs w:val="24"/>
        </w:rPr>
        <w:t>Innovation</w:t>
      </w:r>
      <w:proofErr w:type="spellEnd"/>
      <w:r w:rsidRPr="008F43FA">
        <w:rPr>
          <w:rFonts w:ascii="Times New Roman" w:eastAsia="Times New Roman" w:hAnsi="Times New Roman" w:cs="Times New Roman"/>
          <w:sz w:val="24"/>
          <w:szCs w:val="24"/>
        </w:rPr>
        <w:t xml:space="preserve">, tratados em Python e organizados </w:t>
      </w:r>
      <w:r>
        <w:rPr>
          <w:rFonts w:ascii="Times New Roman" w:eastAsia="Times New Roman" w:hAnsi="Times New Roman" w:cs="Times New Roman"/>
          <w:sz w:val="24"/>
          <w:szCs w:val="24"/>
        </w:rPr>
        <w:t xml:space="preserve">em </w:t>
      </w:r>
      <w:r w:rsidRPr="008F43FA">
        <w:rPr>
          <w:rFonts w:ascii="Times New Roman" w:eastAsia="Times New Roman" w:hAnsi="Times New Roman" w:cs="Times New Roman"/>
          <w:sz w:val="24"/>
          <w:szCs w:val="24"/>
        </w:rPr>
        <w:t>variáveis</w:t>
      </w:r>
      <w:r>
        <w:rPr>
          <w:rFonts w:ascii="Times New Roman" w:eastAsia="Times New Roman" w:hAnsi="Times New Roman" w:cs="Times New Roman"/>
          <w:sz w:val="24"/>
          <w:szCs w:val="24"/>
        </w:rPr>
        <w:t>. Resultados</w:t>
      </w:r>
      <w:r w:rsidRPr="008F43FA">
        <w:rPr>
          <w:rFonts w:ascii="Times New Roman" w:eastAsia="Times New Roman" w:hAnsi="Times New Roman" w:cs="Times New Roman"/>
          <w:sz w:val="24"/>
          <w:szCs w:val="24"/>
        </w:rPr>
        <w:t xml:space="preserve"> indica</w:t>
      </w:r>
      <w:r>
        <w:rPr>
          <w:rFonts w:ascii="Times New Roman" w:eastAsia="Times New Roman" w:hAnsi="Times New Roman" w:cs="Times New Roman"/>
          <w:sz w:val="24"/>
          <w:szCs w:val="24"/>
        </w:rPr>
        <w:t>m</w:t>
      </w:r>
      <w:r w:rsidRPr="008F43FA">
        <w:rPr>
          <w:rFonts w:ascii="Times New Roman" w:eastAsia="Times New Roman" w:hAnsi="Times New Roman" w:cs="Times New Roman"/>
          <w:sz w:val="24"/>
          <w:szCs w:val="24"/>
        </w:rPr>
        <w:t xml:space="preserve"> que manufatura aditiva e metalurgia avançada já são rotas líderes, enquanto biomateriais e conectividade requerem estímulos. Implicações práticas incluem: adoção de políticas de especialização inteligente alinhadas a cada rota; criação de consórcios universidade-indústria para difusão de conhecimento; e uso do </w:t>
      </w:r>
      <w:proofErr w:type="spellStart"/>
      <w:r w:rsidRPr="008F43FA">
        <w:rPr>
          <w:rFonts w:ascii="Times New Roman" w:eastAsia="Times New Roman" w:hAnsi="Times New Roman" w:cs="Times New Roman"/>
          <w:sz w:val="24"/>
          <w:szCs w:val="24"/>
        </w:rPr>
        <w:t>roadmap</w:t>
      </w:r>
      <w:proofErr w:type="spellEnd"/>
      <w:r w:rsidRPr="008F43FA">
        <w:rPr>
          <w:rFonts w:ascii="Times New Roman" w:eastAsia="Times New Roman" w:hAnsi="Times New Roman" w:cs="Times New Roman"/>
          <w:sz w:val="24"/>
          <w:szCs w:val="24"/>
        </w:rPr>
        <w:t xml:space="preserve"> proposto como instrumento de priorização de P&amp;D na região.</w:t>
      </w:r>
    </w:p>
    <w:p w14:paraId="6DF09880" w14:textId="6B5B2B31" w:rsidR="00D8471E" w:rsidRDefault="005B76E5" w:rsidP="006F452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PALAVRAS-CHAVE: </w:t>
      </w:r>
      <w:r w:rsidR="002769D9" w:rsidRPr="002769D9">
        <w:rPr>
          <w:rFonts w:ascii="Times New Roman" w:eastAsia="Times New Roman" w:hAnsi="Times New Roman" w:cs="Times New Roman"/>
          <w:sz w:val="24"/>
          <w:szCs w:val="24"/>
        </w:rPr>
        <w:t>rotas tecnológicas, Indústria 4.0, setor metalmecânico, patentes, América Latina</w:t>
      </w:r>
    </w:p>
    <w:p w14:paraId="42175E9C" w14:textId="77777777" w:rsidR="00D8471E" w:rsidRDefault="00D8471E" w:rsidP="002769D9">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1595671C" w14:textId="675508CD" w:rsidR="00D8471E" w:rsidRDefault="005B76E5" w:rsidP="006F452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ABSTRACT </w:t>
      </w:r>
    </w:p>
    <w:p w14:paraId="73718ADD" w14:textId="39B5C63B" w:rsidR="002F0283" w:rsidRPr="002C0A06" w:rsidRDefault="002F0283" w:rsidP="002F0283">
      <w:pPr>
        <w:pBdr>
          <w:top w:val="nil"/>
          <w:left w:val="nil"/>
          <w:bottom w:val="nil"/>
          <w:right w:val="nil"/>
          <w:between w:val="nil"/>
        </w:pBdr>
        <w:spacing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w:t>
      </w:r>
      <w:r w:rsidRPr="00696C69">
        <w:rPr>
          <w:rFonts w:ascii="Times New Roman" w:eastAsia="Times New Roman" w:hAnsi="Times New Roman" w:cs="Times New Roman"/>
          <w:sz w:val="24"/>
          <w:szCs w:val="24"/>
          <w:lang w:val="en-US"/>
        </w:rPr>
        <w:t xml:space="preserve">echnological pathways in the Latin American metal-mechanical sector are a linchpin for regional innovation and development. Assessing these pathways and deriving recommendations for Industry 4.0 policy is therefore essential. The study’s originality stems from triangulating </w:t>
      </w:r>
      <w:proofErr w:type="spellStart"/>
      <w:r w:rsidRPr="00696C69">
        <w:rPr>
          <w:rFonts w:ascii="Times New Roman" w:eastAsia="Times New Roman" w:hAnsi="Times New Roman" w:cs="Times New Roman"/>
          <w:sz w:val="24"/>
          <w:szCs w:val="24"/>
          <w:lang w:val="en-US"/>
        </w:rPr>
        <w:t>scientometric</w:t>
      </w:r>
      <w:proofErr w:type="spellEnd"/>
      <w:r w:rsidRPr="00696C69">
        <w:rPr>
          <w:rFonts w:ascii="Times New Roman" w:eastAsia="Times New Roman" w:hAnsi="Times New Roman" w:cs="Times New Roman"/>
          <w:sz w:val="24"/>
          <w:szCs w:val="24"/>
          <w:lang w:val="en-US"/>
        </w:rPr>
        <w:t xml:space="preserve"> patent analysis, semantic-clustering algorithms and technology road-mapping</w:t>
      </w:r>
      <w:r w:rsidR="002C2A7F">
        <w:rPr>
          <w:rFonts w:ascii="Times New Roman" w:eastAsia="Times New Roman" w:hAnsi="Times New Roman" w:cs="Times New Roman"/>
          <w:sz w:val="24"/>
          <w:szCs w:val="24"/>
          <w:lang w:val="en-US"/>
        </w:rPr>
        <w:t>, a</w:t>
      </w:r>
      <w:r w:rsidRPr="00696C69">
        <w:rPr>
          <w:rFonts w:ascii="Times New Roman" w:eastAsia="Times New Roman" w:hAnsi="Times New Roman" w:cs="Times New Roman"/>
          <w:sz w:val="24"/>
          <w:szCs w:val="24"/>
          <w:lang w:val="en-US"/>
        </w:rPr>
        <w:t>n approach still seldom applied in the regional literature. Patent data were retrieved from the Derwent Innovation database, processed in Python and structured into analytical variables. Findings reveal additive manufacturing and advanced metallurgy as leading trajectories, whereas biomaterials and industrial connectivity require targeted stimulus. Practical implications include: adopting smart-</w:t>
      </w:r>
      <w:proofErr w:type="spellStart"/>
      <w:r w:rsidRPr="00696C69">
        <w:rPr>
          <w:rFonts w:ascii="Times New Roman" w:eastAsia="Times New Roman" w:hAnsi="Times New Roman" w:cs="Times New Roman"/>
          <w:sz w:val="24"/>
          <w:szCs w:val="24"/>
          <w:lang w:val="en-US"/>
        </w:rPr>
        <w:t>specialisation</w:t>
      </w:r>
      <w:proofErr w:type="spellEnd"/>
      <w:r w:rsidRPr="00696C69">
        <w:rPr>
          <w:rFonts w:ascii="Times New Roman" w:eastAsia="Times New Roman" w:hAnsi="Times New Roman" w:cs="Times New Roman"/>
          <w:sz w:val="24"/>
          <w:szCs w:val="24"/>
          <w:lang w:val="en-US"/>
        </w:rPr>
        <w:t xml:space="preserve"> policies tailored to each pathway; creating university–industry consortia to accelerate knowledge diffusion; and using the proposed roadmap as a regional R&amp;D </w:t>
      </w:r>
      <w:proofErr w:type="spellStart"/>
      <w:r w:rsidRPr="00696C69">
        <w:rPr>
          <w:rFonts w:ascii="Times New Roman" w:eastAsia="Times New Roman" w:hAnsi="Times New Roman" w:cs="Times New Roman"/>
          <w:sz w:val="24"/>
          <w:szCs w:val="24"/>
          <w:lang w:val="en-US"/>
        </w:rPr>
        <w:t>prioritisation</w:t>
      </w:r>
      <w:proofErr w:type="spellEnd"/>
      <w:r w:rsidRPr="00696C69">
        <w:rPr>
          <w:rFonts w:ascii="Times New Roman" w:eastAsia="Times New Roman" w:hAnsi="Times New Roman" w:cs="Times New Roman"/>
          <w:sz w:val="24"/>
          <w:szCs w:val="24"/>
          <w:lang w:val="en-US"/>
        </w:rPr>
        <w:t xml:space="preserve"> instrument.</w:t>
      </w:r>
    </w:p>
    <w:p w14:paraId="3EE8FDEA" w14:textId="77777777" w:rsidR="002F0283" w:rsidRPr="00E928C5" w:rsidRDefault="002F0283" w:rsidP="002F0283">
      <w:pPr>
        <w:spacing w:line="240" w:lineRule="auto"/>
        <w:jc w:val="both"/>
        <w:rPr>
          <w:rFonts w:ascii="Times New Roman" w:eastAsia="Times New Roman" w:hAnsi="Times New Roman" w:cs="Times New Roman"/>
          <w:sz w:val="24"/>
          <w:szCs w:val="24"/>
          <w:lang w:val="en-US"/>
        </w:rPr>
      </w:pPr>
      <w:r w:rsidRPr="002C0A06">
        <w:rPr>
          <w:rFonts w:ascii="Times New Roman" w:eastAsia="Times New Roman" w:hAnsi="Times New Roman" w:cs="Times New Roman"/>
          <w:b/>
          <w:sz w:val="24"/>
          <w:szCs w:val="24"/>
          <w:lang w:val="en-US"/>
        </w:rPr>
        <w:t xml:space="preserve">KEYWORDS: </w:t>
      </w:r>
      <w:r w:rsidRPr="002F0283">
        <w:rPr>
          <w:rFonts w:ascii="Times New Roman" w:eastAsia="Times New Roman" w:hAnsi="Times New Roman" w:cs="Times New Roman"/>
          <w:iCs/>
          <w:sz w:val="24"/>
          <w:szCs w:val="24"/>
          <w:lang w:val="en-US"/>
        </w:rPr>
        <w:t>technological routes, Industry 4.0, metal-mechanical sector, patents, Latin America</w:t>
      </w:r>
    </w:p>
    <w:p w14:paraId="3A46D71F"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4AB7820C" w14:textId="77777777" w:rsidR="00D8471E" w:rsidRDefault="005B76E5">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INTRODUÇÃO</w:t>
      </w:r>
    </w:p>
    <w:p w14:paraId="5DC3E1F6" w14:textId="3C648366" w:rsidR="00DC6962" w:rsidRDefault="00DC6962" w:rsidP="00DC6962">
      <w:pPr>
        <w:spacing w:line="360" w:lineRule="auto"/>
        <w:ind w:firstLine="720"/>
        <w:jc w:val="both"/>
        <w:rPr>
          <w:rFonts w:ascii="Times New Roman" w:eastAsia="Times New Roman" w:hAnsi="Times New Roman" w:cs="Times New Roman"/>
          <w:sz w:val="24"/>
          <w:szCs w:val="24"/>
        </w:rPr>
      </w:pPr>
      <w:r w:rsidRPr="00FB70C8">
        <w:rPr>
          <w:rFonts w:ascii="Times New Roman" w:eastAsia="Times New Roman" w:hAnsi="Times New Roman" w:cs="Times New Roman"/>
          <w:sz w:val="24"/>
          <w:szCs w:val="24"/>
        </w:rPr>
        <w:t>A Indústria 4.0 tem redefinido a manufatura mundial mediante a aplicação de tecnologias habilitadoras</w:t>
      </w:r>
      <w:r>
        <w:rPr>
          <w:rFonts w:ascii="Times New Roman" w:eastAsia="Times New Roman" w:hAnsi="Times New Roman" w:cs="Times New Roman"/>
          <w:sz w:val="24"/>
          <w:szCs w:val="24"/>
        </w:rPr>
        <w:t xml:space="preserve">, </w:t>
      </w:r>
      <w:r w:rsidRPr="00FB70C8">
        <w:rPr>
          <w:rFonts w:ascii="Times New Roman" w:eastAsia="Times New Roman" w:hAnsi="Times New Roman" w:cs="Times New Roman"/>
          <w:sz w:val="24"/>
          <w:szCs w:val="24"/>
        </w:rPr>
        <w:t>manufatura aditiva, Internet das Coisas Industrial (</w:t>
      </w:r>
      <w:proofErr w:type="spellStart"/>
      <w:r w:rsidRPr="00FB70C8">
        <w:rPr>
          <w:rFonts w:ascii="Times New Roman" w:eastAsia="Times New Roman" w:hAnsi="Times New Roman" w:cs="Times New Roman"/>
          <w:sz w:val="24"/>
          <w:szCs w:val="24"/>
        </w:rPr>
        <w:t>IIoT</w:t>
      </w:r>
      <w:proofErr w:type="spellEnd"/>
      <w:r w:rsidRPr="00FB70C8">
        <w:rPr>
          <w:rFonts w:ascii="Times New Roman" w:eastAsia="Times New Roman" w:hAnsi="Times New Roman" w:cs="Times New Roman"/>
          <w:sz w:val="24"/>
          <w:szCs w:val="24"/>
        </w:rPr>
        <w:t xml:space="preserve">) e sistemas </w:t>
      </w:r>
      <w:proofErr w:type="spellStart"/>
      <w:r w:rsidRPr="00FB70C8">
        <w:rPr>
          <w:rFonts w:ascii="Times New Roman" w:eastAsia="Times New Roman" w:hAnsi="Times New Roman" w:cs="Times New Roman"/>
          <w:sz w:val="24"/>
          <w:szCs w:val="24"/>
        </w:rPr>
        <w:t>ciberfísicos</w:t>
      </w:r>
      <w:proofErr w:type="spellEnd"/>
      <w:r>
        <w:rPr>
          <w:rFonts w:ascii="Times New Roman" w:eastAsia="Times New Roman" w:hAnsi="Times New Roman" w:cs="Times New Roman"/>
          <w:sz w:val="24"/>
          <w:szCs w:val="24"/>
        </w:rPr>
        <w:t xml:space="preserve">, </w:t>
      </w:r>
      <w:r w:rsidRPr="00FB70C8">
        <w:rPr>
          <w:rFonts w:ascii="Times New Roman" w:eastAsia="Times New Roman" w:hAnsi="Times New Roman" w:cs="Times New Roman"/>
          <w:sz w:val="24"/>
          <w:szCs w:val="24"/>
        </w:rPr>
        <w:t xml:space="preserve">propiciando o surgimento de novos modelos de negócio, cadeias de suprimentos digitais e estratégias de especialização inteligente (MARTÍNEZ-BORREGUERO; GARCÍA-GUTIÉRREZ, 2023; SRHIR; JAEGLER; MONTOYA-TORRES, 2023). Na América Latina, o setor metalmecânico ocupa posição de destaque em virtude da geração de valor, da oferta de empregos qualificados e do encadeamento a segmentos de alto desempenho, como os ramos aeroespacial, automotivo e de dispositivos médicos. </w:t>
      </w:r>
    </w:p>
    <w:p w14:paraId="3EC08C8F" w14:textId="77777777" w:rsidR="00DC6962" w:rsidRDefault="00DC6962" w:rsidP="00DC6962">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Ocorre que existem</w:t>
      </w:r>
      <w:r w:rsidRPr="00FB70C8">
        <w:rPr>
          <w:rFonts w:ascii="Times New Roman" w:eastAsia="Times New Roman" w:hAnsi="Times New Roman" w:cs="Times New Roman"/>
          <w:sz w:val="24"/>
          <w:szCs w:val="24"/>
        </w:rPr>
        <w:t xml:space="preserve"> lacunas significativas quanto às rotas tecnológicas que sustentam esse crescimento regional, sobretudo no que tange à convergência entre matérias-primas avançadas, processos digitais, mecanismos de transferência de conhecimento e sua efetiva implementação (GUERRERO; URBANO, 2017; KAMBLE; GUNASEKARAN; DHONE, 2020; QUIROGA, 2022). Articular maturidade, impacto e convergência tecnológicas possibilita diagnosticar o posicionamento regional em rotas específicas de manufatura avançada, além de revelar padrões de concentração geográfica e especialização de atores. Nesse contexto, o presente estudo emprega análise cientométrica de patentes, métodos de inteligência artificial e </w:t>
      </w:r>
      <w:proofErr w:type="spellStart"/>
      <w:r w:rsidRPr="00FB70C8">
        <w:rPr>
          <w:rFonts w:ascii="Times New Roman" w:eastAsia="Times New Roman" w:hAnsi="Times New Roman" w:cs="Times New Roman"/>
          <w:sz w:val="24"/>
          <w:szCs w:val="24"/>
        </w:rPr>
        <w:t>roadmapping</w:t>
      </w:r>
      <w:proofErr w:type="spellEnd"/>
      <w:r w:rsidRPr="00FB70C8">
        <w:rPr>
          <w:rFonts w:ascii="Times New Roman" w:eastAsia="Times New Roman" w:hAnsi="Times New Roman" w:cs="Times New Roman"/>
          <w:sz w:val="24"/>
          <w:szCs w:val="24"/>
        </w:rPr>
        <w:t xml:space="preserve"> tecnológico para alcançar esse objetivo.</w:t>
      </w:r>
      <w:r w:rsidRPr="002C0A06">
        <w:rPr>
          <w:rFonts w:ascii="Times New Roman" w:eastAsia="Times New Roman" w:hAnsi="Times New Roman" w:cs="Times New Roman"/>
          <w:sz w:val="24"/>
          <w:szCs w:val="24"/>
        </w:rPr>
        <w:t xml:space="preserve"> </w:t>
      </w:r>
    </w:p>
    <w:p w14:paraId="7BDD1CE4" w14:textId="77777777" w:rsidR="00DC6962" w:rsidRPr="002C0A06" w:rsidRDefault="00DC6962" w:rsidP="00DC6962">
      <w:pPr>
        <w:spacing w:line="360" w:lineRule="auto"/>
        <w:ind w:firstLine="720"/>
        <w:jc w:val="both"/>
        <w:rPr>
          <w:rFonts w:ascii="Times New Roman" w:eastAsia="Times New Roman" w:hAnsi="Times New Roman" w:cs="Times New Roman"/>
          <w:sz w:val="24"/>
          <w:szCs w:val="24"/>
        </w:rPr>
      </w:pPr>
      <w:r w:rsidRPr="002C0A06">
        <w:rPr>
          <w:rFonts w:ascii="Times New Roman" w:eastAsia="Times New Roman" w:hAnsi="Times New Roman" w:cs="Times New Roman"/>
          <w:sz w:val="24"/>
          <w:szCs w:val="24"/>
        </w:rPr>
        <w:t xml:space="preserve">A originalidade da abordagem reside na triangulação de métricas de citações, </w:t>
      </w:r>
      <w:proofErr w:type="spellStart"/>
      <w:r w:rsidRPr="002C0A06">
        <w:rPr>
          <w:rFonts w:ascii="Times New Roman" w:eastAsia="Times New Roman" w:hAnsi="Times New Roman" w:cs="Times New Roman"/>
          <w:sz w:val="24"/>
          <w:szCs w:val="24"/>
        </w:rPr>
        <w:t>co-ocorrência</w:t>
      </w:r>
      <w:proofErr w:type="spellEnd"/>
      <w:r w:rsidRPr="002C0A06">
        <w:rPr>
          <w:rFonts w:ascii="Times New Roman" w:eastAsia="Times New Roman" w:hAnsi="Times New Roman" w:cs="Times New Roman"/>
          <w:sz w:val="24"/>
          <w:szCs w:val="24"/>
        </w:rPr>
        <w:t xml:space="preserve"> de códigos CPC/IPC e algoritmos de clusterização semântica, possibilitando identificar centros de convergência tecnológica e mecanismos subjacentes de transferência de conhecimento. A questão de pesquisa que norteará o artigo é: Como se configuram as rotas tecnológicas do setor metalmecânico na América Latina, em termos de maturidade, impacto e convergência, e quais implicações estratégicas decorrem dessa configuração para o desenvolvimento industrial regional? Para respondê-la, estabelece-se como objetivo geral mapear e analisar as rotas tecnológicas do setor metalmecânico latino-americano, avaliando seus níveis de maturidade e impacto e elucidando os mecanismos de transferência de conhecimento que as conectam. Especificamente, o estudo (i) caracteriza o perfil tecnológico e a distribuição geográfica dos depósitos patentários; (</w:t>
      </w:r>
      <w:proofErr w:type="spellStart"/>
      <w:r w:rsidRPr="002C0A06">
        <w:rPr>
          <w:rFonts w:ascii="Times New Roman" w:eastAsia="Times New Roman" w:hAnsi="Times New Roman" w:cs="Times New Roman"/>
          <w:sz w:val="24"/>
          <w:szCs w:val="24"/>
        </w:rPr>
        <w:t>ii</w:t>
      </w:r>
      <w:proofErr w:type="spellEnd"/>
      <w:r w:rsidRPr="002C0A06">
        <w:rPr>
          <w:rFonts w:ascii="Times New Roman" w:eastAsia="Times New Roman" w:hAnsi="Times New Roman" w:cs="Times New Roman"/>
          <w:sz w:val="24"/>
          <w:szCs w:val="24"/>
        </w:rPr>
        <w:t>) identifica rotas dominantes e centros de convergência; (</w:t>
      </w:r>
      <w:proofErr w:type="spellStart"/>
      <w:r w:rsidRPr="002C0A06">
        <w:rPr>
          <w:rFonts w:ascii="Times New Roman" w:eastAsia="Times New Roman" w:hAnsi="Times New Roman" w:cs="Times New Roman"/>
          <w:sz w:val="24"/>
          <w:szCs w:val="24"/>
        </w:rPr>
        <w:t>iii</w:t>
      </w:r>
      <w:proofErr w:type="spellEnd"/>
      <w:r w:rsidRPr="002C0A06">
        <w:rPr>
          <w:rFonts w:ascii="Times New Roman" w:eastAsia="Times New Roman" w:hAnsi="Times New Roman" w:cs="Times New Roman"/>
          <w:sz w:val="24"/>
          <w:szCs w:val="24"/>
        </w:rPr>
        <w:t>) classifica essas rotas segundo uma matriz de impacto versus maturidade; e (</w:t>
      </w:r>
      <w:proofErr w:type="spellStart"/>
      <w:r w:rsidRPr="002C0A06">
        <w:rPr>
          <w:rFonts w:ascii="Times New Roman" w:eastAsia="Times New Roman" w:hAnsi="Times New Roman" w:cs="Times New Roman"/>
          <w:sz w:val="24"/>
          <w:szCs w:val="24"/>
        </w:rPr>
        <w:t>iv</w:t>
      </w:r>
      <w:proofErr w:type="spellEnd"/>
      <w:r w:rsidRPr="002C0A06">
        <w:rPr>
          <w:rFonts w:ascii="Times New Roman" w:eastAsia="Times New Roman" w:hAnsi="Times New Roman" w:cs="Times New Roman"/>
          <w:sz w:val="24"/>
          <w:szCs w:val="24"/>
        </w:rPr>
        <w:t>) deriva recomendações estratégicas para formuladores de política, empresas e instituições de pesquisa.</w:t>
      </w:r>
    </w:p>
    <w:p w14:paraId="14055A4D" w14:textId="77777777" w:rsidR="00B009E4" w:rsidRDefault="00B009E4">
      <w:pPr>
        <w:spacing w:line="360" w:lineRule="auto"/>
        <w:ind w:firstLine="720"/>
        <w:jc w:val="both"/>
        <w:rPr>
          <w:rFonts w:ascii="Times New Roman" w:eastAsia="Times New Roman" w:hAnsi="Times New Roman" w:cs="Times New Roman"/>
          <w:sz w:val="24"/>
          <w:szCs w:val="24"/>
        </w:rPr>
      </w:pPr>
    </w:p>
    <w:p w14:paraId="54E4FD05" w14:textId="77777777" w:rsidR="00D8471E" w:rsidRDefault="005B76E5">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REFERENCIAL TEÓRICO</w:t>
      </w:r>
    </w:p>
    <w:p w14:paraId="6C3A7313" w14:textId="77777777" w:rsidR="00746722" w:rsidRPr="002C0A06" w:rsidRDefault="00746722" w:rsidP="0074672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C0A06">
        <w:rPr>
          <w:rFonts w:ascii="Times New Roman" w:eastAsia="Times New Roman" w:hAnsi="Times New Roman" w:cs="Times New Roman"/>
          <w:sz w:val="24"/>
          <w:szCs w:val="24"/>
        </w:rPr>
        <w:t>A análise de rotas tecnológicas fundamenta-se, primeiramente, na noção de trajetórias tecnológicas e de caminhos de evolução que orientam o progresso cumulativo de artefatos industriais (DOSI, 1982).  Empregadas como instrumentos analíticos para rastrear tendências e avanços inovadores no combate a crises, as rotas tecnológicas revelam-se essenciais para compreender e guiar respostas a desafios de alcance global (DING; FERRÀS HERNÁNDEZ, 2023). Além disso, a identificação de patentes-centro em redes de citações e o mapeamento de domínios emergentes permitem desvendar a dinâmica da inovação e subsidiar decisões de política pública e investimento (QI et al., 2023; ZHANG et al., 2016).</w:t>
      </w:r>
    </w:p>
    <w:p w14:paraId="195D850F" w14:textId="77777777" w:rsidR="00746722" w:rsidRPr="002C0A06" w:rsidRDefault="00746722" w:rsidP="00746722">
      <w:pPr>
        <w:pBdr>
          <w:top w:val="nil"/>
          <w:left w:val="nil"/>
          <w:bottom w:val="nil"/>
          <w:right w:val="nil"/>
          <w:between w:val="nil"/>
        </w:pBdr>
        <w:spacing w:line="360" w:lineRule="auto"/>
        <w:ind w:firstLine="720"/>
        <w:jc w:val="both"/>
        <w:rPr>
          <w:rFonts w:ascii="Times New Roman" w:hAnsi="Times New Roman" w:cs="Times New Roman"/>
          <w:sz w:val="24"/>
          <w:szCs w:val="24"/>
        </w:rPr>
      </w:pPr>
      <w:r w:rsidRPr="002C0A06">
        <w:rPr>
          <w:rFonts w:ascii="Times New Roman" w:hAnsi="Times New Roman" w:cs="Times New Roman"/>
          <w:bCs/>
          <w:sz w:val="24"/>
          <w:szCs w:val="24"/>
        </w:rPr>
        <w:t xml:space="preserve">Já as </w:t>
      </w:r>
      <w:r w:rsidRPr="002C0A06">
        <w:rPr>
          <w:rFonts w:ascii="Times New Roman" w:hAnsi="Times New Roman" w:cs="Times New Roman"/>
          <w:sz w:val="24"/>
          <w:szCs w:val="24"/>
        </w:rPr>
        <w:t>patentes</w:t>
      </w:r>
      <w:r w:rsidRPr="002C0A06">
        <w:rPr>
          <w:rFonts w:ascii="Times New Roman" w:hAnsi="Times New Roman" w:cs="Times New Roman"/>
          <w:bCs/>
          <w:sz w:val="24"/>
          <w:szCs w:val="24"/>
        </w:rPr>
        <w:t xml:space="preserve"> oferecem evidências padronizadas sobre novidade, escopo de proteção e estratégia competitiva, constituindo base sólida para avaliar tecnologias de alto potencial comercial. Métricas como centralidade de citações, frequência de </w:t>
      </w:r>
      <w:proofErr w:type="spellStart"/>
      <w:r w:rsidRPr="002C0A06">
        <w:rPr>
          <w:rFonts w:ascii="Times New Roman" w:hAnsi="Times New Roman" w:cs="Times New Roman"/>
          <w:bCs/>
          <w:sz w:val="24"/>
          <w:szCs w:val="24"/>
        </w:rPr>
        <w:t>co-ocorrência</w:t>
      </w:r>
      <w:proofErr w:type="spellEnd"/>
      <w:r w:rsidRPr="002C0A06">
        <w:rPr>
          <w:rFonts w:ascii="Times New Roman" w:hAnsi="Times New Roman" w:cs="Times New Roman"/>
          <w:bCs/>
          <w:sz w:val="24"/>
          <w:szCs w:val="24"/>
        </w:rPr>
        <w:t xml:space="preserve"> de códigos e persistência de conhecimento tornam possível antecipar pontos de inflexão tecnológicos e detectar oportunidades de ruptura (LIU et al., 2022; MUSYUNI et al., 2020; TSENG; HUANG; CHEN, 2020). Ao combinar tais métricas à análise de trajetórias, localizam-se patentes-chave e descrevem-se rotas de evolução que orientam o aperfeiçoamento tecnológico (MINGHUI et al., 2022; QI et al., 2023).</w:t>
      </w:r>
    </w:p>
    <w:p w14:paraId="33C64C51" w14:textId="77777777" w:rsidR="00746722" w:rsidRPr="002C0A06" w:rsidRDefault="00746722" w:rsidP="0074672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C0A06">
        <w:rPr>
          <w:rFonts w:ascii="Times New Roman" w:eastAsia="Times New Roman" w:hAnsi="Times New Roman" w:cs="Times New Roman"/>
          <w:sz w:val="24"/>
          <w:szCs w:val="24"/>
        </w:rPr>
        <w:t xml:space="preserve">No âmbito da </w:t>
      </w:r>
      <w:proofErr w:type="spellStart"/>
      <w:r w:rsidRPr="002C0A06">
        <w:rPr>
          <w:rFonts w:ascii="Times New Roman" w:eastAsia="Times New Roman" w:hAnsi="Times New Roman" w:cs="Times New Roman"/>
          <w:sz w:val="24"/>
          <w:szCs w:val="24"/>
        </w:rPr>
        <w:t>cientometria</w:t>
      </w:r>
      <w:proofErr w:type="spellEnd"/>
      <w:r w:rsidRPr="002C0A06">
        <w:rPr>
          <w:rFonts w:ascii="Times New Roman" w:eastAsia="Times New Roman" w:hAnsi="Times New Roman" w:cs="Times New Roman"/>
          <w:sz w:val="24"/>
          <w:szCs w:val="24"/>
        </w:rPr>
        <w:t xml:space="preserve"> de patentes, a combinação de estatísticas de citações, análise de </w:t>
      </w:r>
      <w:proofErr w:type="spellStart"/>
      <w:r w:rsidRPr="002C0A06">
        <w:rPr>
          <w:rFonts w:ascii="Times New Roman" w:eastAsia="Times New Roman" w:hAnsi="Times New Roman" w:cs="Times New Roman"/>
          <w:sz w:val="24"/>
          <w:szCs w:val="24"/>
        </w:rPr>
        <w:t>co-ocorrência</w:t>
      </w:r>
      <w:proofErr w:type="spellEnd"/>
      <w:r w:rsidRPr="002C0A06">
        <w:rPr>
          <w:rFonts w:ascii="Times New Roman" w:eastAsia="Times New Roman" w:hAnsi="Times New Roman" w:cs="Times New Roman"/>
          <w:sz w:val="24"/>
          <w:szCs w:val="24"/>
        </w:rPr>
        <w:t xml:space="preserve"> de códigos classificatórios e algoritmos de aprendizado de máquina tem ampliado a capacidade de detecção de tendências tecnológicas emergentes (MEJÍA; KAJIKAWA, 2025; WANG; HSU, 2023). Tal abordagem se mostra particularmente oportuna para o estudo da Indústria 4.0, cujo ecossistema depende da integração sinérgica entre sensores, comunicações em tempo real, inteligência de dados e automação avançada (LU, 2017). </w:t>
      </w:r>
    </w:p>
    <w:p w14:paraId="596A9E49" w14:textId="77777777" w:rsidR="00746722" w:rsidRPr="002C0A06" w:rsidRDefault="00746722" w:rsidP="0074672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C0A06">
        <w:rPr>
          <w:rFonts w:ascii="Times New Roman" w:eastAsia="Times New Roman" w:hAnsi="Times New Roman" w:cs="Times New Roman"/>
          <w:sz w:val="24"/>
          <w:szCs w:val="24"/>
        </w:rPr>
        <w:t xml:space="preserve">Ao focar no </w:t>
      </w:r>
      <w:r w:rsidRPr="0027249C">
        <w:rPr>
          <w:rFonts w:ascii="Times New Roman" w:eastAsia="Times New Roman" w:hAnsi="Times New Roman" w:cs="Times New Roman"/>
          <w:sz w:val="24"/>
          <w:szCs w:val="24"/>
        </w:rPr>
        <w:t>setor metalmecânico,</w:t>
      </w:r>
      <w:r w:rsidRPr="002C0A06">
        <w:rPr>
          <w:rFonts w:ascii="Times New Roman" w:eastAsia="Times New Roman" w:hAnsi="Times New Roman" w:cs="Times New Roman"/>
          <w:sz w:val="24"/>
          <w:szCs w:val="24"/>
        </w:rPr>
        <w:t xml:space="preserve"> existe uma ampla aplicação de </w:t>
      </w:r>
      <w:r w:rsidRPr="0027249C">
        <w:rPr>
          <w:rFonts w:ascii="Times New Roman" w:eastAsia="Times New Roman" w:hAnsi="Times New Roman" w:cs="Times New Roman"/>
          <w:sz w:val="24"/>
          <w:szCs w:val="24"/>
        </w:rPr>
        <w:t>manufatura avançada, dada a sua elevada intensidade de capital, complexidade de processos e forte interação com indústrias de ponta</w:t>
      </w:r>
      <w:r w:rsidRPr="002C0A06">
        <w:rPr>
          <w:rFonts w:ascii="Times New Roman" w:eastAsia="Times New Roman" w:hAnsi="Times New Roman" w:cs="Times New Roman"/>
          <w:sz w:val="24"/>
          <w:szCs w:val="24"/>
        </w:rPr>
        <w:t xml:space="preserve">. O setor metalmecânico figura entre os principais vetores de aplicação das tecnologias de Indústria 4.0 devido à elevada intensidade de capital, à complexidade de processos e à transversalidade de seus insumos. </w:t>
      </w:r>
    </w:p>
    <w:p w14:paraId="6A472EB5" w14:textId="77777777" w:rsidR="00746722" w:rsidRPr="002C0A06" w:rsidRDefault="00746722" w:rsidP="00746722">
      <w:pPr>
        <w:pBdr>
          <w:top w:val="nil"/>
          <w:left w:val="nil"/>
          <w:bottom w:val="nil"/>
          <w:right w:val="nil"/>
          <w:between w:val="nil"/>
        </w:pBdr>
        <w:spacing w:line="360" w:lineRule="auto"/>
        <w:ind w:firstLine="720"/>
        <w:jc w:val="both"/>
        <w:rPr>
          <w:rFonts w:ascii="Times New Roman" w:hAnsi="Times New Roman" w:cs="Times New Roman"/>
          <w:sz w:val="24"/>
          <w:szCs w:val="24"/>
        </w:rPr>
      </w:pPr>
      <w:r w:rsidRPr="002C0A06">
        <w:rPr>
          <w:rFonts w:ascii="Times New Roman" w:eastAsia="Times New Roman" w:hAnsi="Times New Roman" w:cs="Times New Roman"/>
          <w:sz w:val="24"/>
          <w:szCs w:val="24"/>
        </w:rPr>
        <w:t xml:space="preserve">Em 2024, na América Latina, indústrias ligadas ao complexo metalmecânico responderam por 48,7 % do valor adicionado da manufatura mexicana, ilustrando seu peso regional em cadeias como automotiva, aeroespacial e de equipamentos médicos (LA INDUSTRIA METALMECÁNICA…, 2025). É possível compreender em países emergentes, </w:t>
      </w:r>
      <w:r w:rsidRPr="002C0A06">
        <w:rPr>
          <w:rFonts w:ascii="Times New Roman" w:eastAsia="Times New Roman" w:hAnsi="Times New Roman" w:cs="Times New Roman"/>
          <w:sz w:val="24"/>
          <w:szCs w:val="24"/>
        </w:rPr>
        <w:lastRenderedPageBreak/>
        <w:t xml:space="preserve">como a América Latina, uma dificuldade em adoção de tecnologias inovadoras em fábricas </w:t>
      </w:r>
      <w:r w:rsidRPr="002C0A06">
        <w:rPr>
          <w:rFonts w:ascii="Times New Roman" w:hAnsi="Times New Roman" w:cs="Times New Roman"/>
          <w:sz w:val="24"/>
          <w:szCs w:val="24"/>
        </w:rPr>
        <w:t>(HALL; MAFFIOLI, 2008).</w:t>
      </w:r>
    </w:p>
    <w:p w14:paraId="47D7CDF0" w14:textId="77777777" w:rsidR="00746722" w:rsidRPr="00595308" w:rsidRDefault="00746722" w:rsidP="0074672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95308">
        <w:rPr>
          <w:rFonts w:ascii="Times New Roman" w:eastAsia="Times New Roman" w:hAnsi="Times New Roman" w:cs="Times New Roman"/>
          <w:sz w:val="24"/>
          <w:szCs w:val="24"/>
        </w:rPr>
        <w:t xml:space="preserve">Estudos sobre inovação aberta ressaltam que a cooperação entre universidades e empresas, bem como a formação de consórcios tecnológicos regionais, figura entre os mecanismos mais eficazes para acelerar a difusão do conhecimento e fortalecer a competitividade internacional (CHESBROUGH, 2020; OECD, 2023). Em complemento, pesquisas sobre </w:t>
      </w:r>
      <w:proofErr w:type="spellStart"/>
      <w:r w:rsidRPr="00595308">
        <w:rPr>
          <w:rFonts w:ascii="Times New Roman" w:eastAsia="Times New Roman" w:hAnsi="Times New Roman" w:cs="Times New Roman"/>
          <w:sz w:val="24"/>
          <w:szCs w:val="24"/>
        </w:rPr>
        <w:t>technology</w:t>
      </w:r>
      <w:proofErr w:type="spellEnd"/>
      <w:r w:rsidRPr="00595308">
        <w:rPr>
          <w:rFonts w:ascii="Times New Roman" w:eastAsia="Times New Roman" w:hAnsi="Times New Roman" w:cs="Times New Roman"/>
          <w:sz w:val="24"/>
          <w:szCs w:val="24"/>
        </w:rPr>
        <w:t xml:space="preserve"> </w:t>
      </w:r>
      <w:proofErr w:type="spellStart"/>
      <w:r w:rsidRPr="00595308">
        <w:rPr>
          <w:rFonts w:ascii="Times New Roman" w:eastAsia="Times New Roman" w:hAnsi="Times New Roman" w:cs="Times New Roman"/>
          <w:sz w:val="24"/>
          <w:szCs w:val="24"/>
        </w:rPr>
        <w:t>roadmapping</w:t>
      </w:r>
      <w:proofErr w:type="spellEnd"/>
      <w:r w:rsidRPr="00595308">
        <w:rPr>
          <w:rFonts w:ascii="Times New Roman" w:eastAsia="Times New Roman" w:hAnsi="Times New Roman" w:cs="Times New Roman"/>
          <w:sz w:val="24"/>
          <w:szCs w:val="24"/>
        </w:rPr>
        <w:t xml:space="preserve"> indicam que setores emergentes devem ser sustentados por políticas industriais capazes de articular pesquisa básica, desenvolvimento experimental e aplicação industrial, garantindo continuidade às trajetórias de inovação (PHAAL et al., 2004).</w:t>
      </w:r>
    </w:p>
    <w:p w14:paraId="3D045784" w14:textId="77777777" w:rsidR="00746722" w:rsidRPr="00595308" w:rsidRDefault="00746722" w:rsidP="0074672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95308">
        <w:rPr>
          <w:rFonts w:ascii="Times New Roman" w:eastAsia="Times New Roman" w:hAnsi="Times New Roman" w:cs="Times New Roman"/>
          <w:sz w:val="24"/>
          <w:szCs w:val="24"/>
        </w:rPr>
        <w:t>Ao alinhar conceitos de trajetória, rota e convergência às especificidades do complexo metalmecânico latino-americano, este estudo adota a perspectiva dos sistemas regionais de inovação, reconhecendo que o desempenho tecnológico resulta da interação entre atores, instituições e instrumentos de política. Nessa ótica, a análise de rotas tecnológicas deixa de ser mero exercício descritivo para tornar-se um guia estratégico destinado a orientar intervenções que elevem a competitividade industrial da região.</w:t>
      </w:r>
    </w:p>
    <w:p w14:paraId="6DF2D21B" w14:textId="77777777" w:rsidR="00D8471E" w:rsidRDefault="00D8471E">
      <w:pPr>
        <w:pBdr>
          <w:top w:val="nil"/>
          <w:left w:val="nil"/>
          <w:bottom w:val="nil"/>
          <w:right w:val="nil"/>
          <w:between w:val="nil"/>
        </w:pBdr>
        <w:spacing w:line="360" w:lineRule="auto"/>
        <w:ind w:left="720"/>
        <w:jc w:val="both"/>
        <w:rPr>
          <w:rFonts w:ascii="Times New Roman" w:eastAsia="Times New Roman" w:hAnsi="Times New Roman" w:cs="Times New Roman"/>
          <w:b/>
          <w:sz w:val="24"/>
          <w:szCs w:val="24"/>
        </w:rPr>
      </w:pPr>
    </w:p>
    <w:p w14:paraId="17734348" w14:textId="77777777" w:rsidR="00D8471E" w:rsidRDefault="005B76E5">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METODOLOGIA</w:t>
      </w:r>
    </w:p>
    <w:p w14:paraId="74E971A9" w14:textId="77777777" w:rsidR="00B4500F" w:rsidRPr="007E29CF" w:rsidRDefault="00B4500F" w:rsidP="00B4500F">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r w:rsidRPr="007E29CF">
        <w:rPr>
          <w:rFonts w:ascii="Times New Roman" w:eastAsia="Times New Roman" w:hAnsi="Times New Roman" w:cs="Times New Roman"/>
          <w:bCs/>
          <w:sz w:val="24"/>
          <w:szCs w:val="24"/>
        </w:rPr>
        <w:t>Esta pesquisa adota uma abordagem quantitativa, fundamentada na análise cientométrica de patentes, com o objetivo de identificar rotas tecnológicas, padrões de inovação e níveis de maturidade industrial no setor metalmecânico da América Latina. O uso de patentes como base empírica está consolidado na literatura por sua capacidade de representar atividade inovativa codificada e comparável entre países e setores (GRILICHES, 1990; ARCHIBUGI; PIANTA, 1996; VAN RAAN, 2019).</w:t>
      </w:r>
    </w:p>
    <w:p w14:paraId="3ABA49E5" w14:textId="77777777" w:rsidR="00B4500F" w:rsidRPr="002829C6" w:rsidRDefault="00B4500F" w:rsidP="00B4500F">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829C6">
        <w:rPr>
          <w:rFonts w:ascii="Times New Roman" w:eastAsia="Times New Roman" w:hAnsi="Times New Roman" w:cs="Times New Roman"/>
          <w:sz w:val="24"/>
          <w:szCs w:val="24"/>
        </w:rPr>
        <w:t xml:space="preserve">A base de dados utilizada foi a </w:t>
      </w:r>
      <w:proofErr w:type="spellStart"/>
      <w:r w:rsidRPr="002829C6">
        <w:rPr>
          <w:rFonts w:ascii="Times New Roman" w:eastAsia="Times New Roman" w:hAnsi="Times New Roman" w:cs="Times New Roman"/>
          <w:sz w:val="24"/>
          <w:szCs w:val="24"/>
        </w:rPr>
        <w:t>Derwent</w:t>
      </w:r>
      <w:proofErr w:type="spellEnd"/>
      <w:r w:rsidRPr="002829C6">
        <w:rPr>
          <w:rFonts w:ascii="Times New Roman" w:eastAsia="Times New Roman" w:hAnsi="Times New Roman" w:cs="Times New Roman"/>
          <w:sz w:val="24"/>
          <w:szCs w:val="24"/>
        </w:rPr>
        <w:t xml:space="preserve"> </w:t>
      </w:r>
      <w:proofErr w:type="spellStart"/>
      <w:r w:rsidRPr="002829C6">
        <w:rPr>
          <w:rFonts w:ascii="Times New Roman" w:eastAsia="Times New Roman" w:hAnsi="Times New Roman" w:cs="Times New Roman"/>
          <w:sz w:val="24"/>
          <w:szCs w:val="24"/>
        </w:rPr>
        <w:t>Innovation</w:t>
      </w:r>
      <w:proofErr w:type="spellEnd"/>
      <w:r w:rsidRPr="002829C6">
        <w:rPr>
          <w:rFonts w:ascii="Times New Roman" w:eastAsia="Times New Roman" w:hAnsi="Times New Roman" w:cs="Times New Roman"/>
          <w:sz w:val="24"/>
          <w:szCs w:val="24"/>
        </w:rPr>
        <w:t xml:space="preserve"> (</w:t>
      </w:r>
      <w:proofErr w:type="spellStart"/>
      <w:r w:rsidRPr="002829C6">
        <w:rPr>
          <w:rFonts w:ascii="Times New Roman" w:eastAsia="Times New Roman" w:hAnsi="Times New Roman" w:cs="Times New Roman"/>
          <w:sz w:val="24"/>
          <w:szCs w:val="24"/>
        </w:rPr>
        <w:t>Clarivate</w:t>
      </w:r>
      <w:proofErr w:type="spellEnd"/>
      <w:r w:rsidRPr="002829C6">
        <w:rPr>
          <w:rFonts w:ascii="Times New Roman" w:eastAsia="Times New Roman" w:hAnsi="Times New Roman" w:cs="Times New Roman"/>
          <w:sz w:val="24"/>
          <w:szCs w:val="24"/>
        </w:rPr>
        <w:t xml:space="preserve"> </w:t>
      </w:r>
      <w:proofErr w:type="spellStart"/>
      <w:r w:rsidRPr="002829C6">
        <w:rPr>
          <w:rFonts w:ascii="Times New Roman" w:eastAsia="Times New Roman" w:hAnsi="Times New Roman" w:cs="Times New Roman"/>
          <w:sz w:val="24"/>
          <w:szCs w:val="24"/>
        </w:rPr>
        <w:t>Analytics</w:t>
      </w:r>
      <w:proofErr w:type="spellEnd"/>
      <w:r w:rsidRPr="002829C6">
        <w:rPr>
          <w:rFonts w:ascii="Times New Roman" w:eastAsia="Times New Roman" w:hAnsi="Times New Roman" w:cs="Times New Roman"/>
          <w:sz w:val="24"/>
          <w:szCs w:val="24"/>
        </w:rPr>
        <w:t>), reconhecida pela sua abrangência internacional e qualidade das informações bibliográficas e de classificação patentária</w:t>
      </w:r>
      <w:r>
        <w:rPr>
          <w:rFonts w:ascii="Times New Roman" w:eastAsia="Times New Roman" w:hAnsi="Times New Roman" w:cs="Times New Roman"/>
          <w:sz w:val="24"/>
          <w:szCs w:val="24"/>
        </w:rPr>
        <w:t xml:space="preserve"> além da quantidade de informações disponíveis para análise que são plausíveis de recuperação pela base</w:t>
      </w:r>
      <w:r w:rsidRPr="002829C6">
        <w:rPr>
          <w:rFonts w:ascii="Times New Roman" w:eastAsia="Times New Roman" w:hAnsi="Times New Roman" w:cs="Times New Roman"/>
          <w:sz w:val="24"/>
          <w:szCs w:val="24"/>
        </w:rPr>
        <w:t xml:space="preserve">. Para contemplar o escopo temático e geográfico, foram selecionados termos relacionados às principais tecnologias habilitadoras da Indústria 4.0: </w:t>
      </w:r>
      <w:proofErr w:type="spellStart"/>
      <w:r w:rsidRPr="00EC79BD">
        <w:rPr>
          <w:rFonts w:ascii="Times New Roman" w:eastAsia="Times New Roman" w:hAnsi="Times New Roman" w:cs="Times New Roman"/>
          <w:i/>
          <w:iCs/>
          <w:sz w:val="24"/>
          <w:szCs w:val="24"/>
        </w:rPr>
        <w:t>additive</w:t>
      </w:r>
      <w:proofErr w:type="spellEnd"/>
      <w:r w:rsidRPr="00EC79BD">
        <w:rPr>
          <w:rFonts w:ascii="Times New Roman" w:eastAsia="Times New Roman" w:hAnsi="Times New Roman" w:cs="Times New Roman"/>
          <w:i/>
          <w:iCs/>
          <w:sz w:val="24"/>
          <w:szCs w:val="24"/>
        </w:rPr>
        <w:t xml:space="preserve"> </w:t>
      </w:r>
      <w:proofErr w:type="spellStart"/>
      <w:r w:rsidRPr="00EC79BD">
        <w:rPr>
          <w:rFonts w:ascii="Times New Roman" w:eastAsia="Times New Roman" w:hAnsi="Times New Roman" w:cs="Times New Roman"/>
          <w:i/>
          <w:iCs/>
          <w:sz w:val="24"/>
          <w:szCs w:val="24"/>
        </w:rPr>
        <w:t>manufacturing</w:t>
      </w:r>
      <w:proofErr w:type="spellEnd"/>
      <w:r w:rsidRPr="00EC79BD">
        <w:rPr>
          <w:rFonts w:ascii="Times New Roman" w:eastAsia="Times New Roman" w:hAnsi="Times New Roman" w:cs="Times New Roman"/>
          <w:i/>
          <w:iCs/>
          <w:sz w:val="24"/>
          <w:szCs w:val="24"/>
        </w:rPr>
        <w:t xml:space="preserve">, 3D </w:t>
      </w:r>
      <w:proofErr w:type="spellStart"/>
      <w:r w:rsidRPr="00EC79BD">
        <w:rPr>
          <w:rFonts w:ascii="Times New Roman" w:eastAsia="Times New Roman" w:hAnsi="Times New Roman" w:cs="Times New Roman"/>
          <w:i/>
          <w:iCs/>
          <w:sz w:val="24"/>
          <w:szCs w:val="24"/>
        </w:rPr>
        <w:t>printing</w:t>
      </w:r>
      <w:proofErr w:type="spellEnd"/>
      <w:r w:rsidRPr="00EC79BD">
        <w:rPr>
          <w:rFonts w:ascii="Times New Roman" w:eastAsia="Times New Roman" w:hAnsi="Times New Roman" w:cs="Times New Roman"/>
          <w:i/>
          <w:iCs/>
          <w:sz w:val="24"/>
          <w:szCs w:val="24"/>
        </w:rPr>
        <w:t xml:space="preserve">, </w:t>
      </w:r>
      <w:proofErr w:type="spellStart"/>
      <w:r w:rsidRPr="00EC79BD">
        <w:rPr>
          <w:rFonts w:ascii="Times New Roman" w:eastAsia="Times New Roman" w:hAnsi="Times New Roman" w:cs="Times New Roman"/>
          <w:i/>
          <w:iCs/>
          <w:sz w:val="24"/>
          <w:szCs w:val="24"/>
        </w:rPr>
        <w:t>collaborative</w:t>
      </w:r>
      <w:proofErr w:type="spellEnd"/>
      <w:r w:rsidRPr="00EC79BD">
        <w:rPr>
          <w:rFonts w:ascii="Times New Roman" w:eastAsia="Times New Roman" w:hAnsi="Times New Roman" w:cs="Times New Roman"/>
          <w:i/>
          <w:iCs/>
          <w:sz w:val="24"/>
          <w:szCs w:val="24"/>
        </w:rPr>
        <w:t xml:space="preserve"> </w:t>
      </w:r>
      <w:proofErr w:type="spellStart"/>
      <w:r w:rsidRPr="00EC79BD">
        <w:rPr>
          <w:rFonts w:ascii="Times New Roman" w:eastAsia="Times New Roman" w:hAnsi="Times New Roman" w:cs="Times New Roman"/>
          <w:i/>
          <w:iCs/>
          <w:sz w:val="24"/>
          <w:szCs w:val="24"/>
        </w:rPr>
        <w:t>robot</w:t>
      </w:r>
      <w:proofErr w:type="spellEnd"/>
      <w:r w:rsidRPr="00EC79BD">
        <w:rPr>
          <w:rFonts w:ascii="Times New Roman" w:eastAsia="Times New Roman" w:hAnsi="Times New Roman" w:cs="Times New Roman"/>
          <w:i/>
          <w:iCs/>
          <w:sz w:val="24"/>
          <w:szCs w:val="24"/>
        </w:rPr>
        <w:t xml:space="preserve"> (</w:t>
      </w:r>
      <w:proofErr w:type="spellStart"/>
      <w:r w:rsidRPr="00EC79BD">
        <w:rPr>
          <w:rFonts w:ascii="Times New Roman" w:eastAsia="Times New Roman" w:hAnsi="Times New Roman" w:cs="Times New Roman"/>
          <w:i/>
          <w:iCs/>
          <w:sz w:val="24"/>
          <w:szCs w:val="24"/>
        </w:rPr>
        <w:t>cobot</w:t>
      </w:r>
      <w:proofErr w:type="spellEnd"/>
      <w:r w:rsidRPr="00EC79BD">
        <w:rPr>
          <w:rFonts w:ascii="Times New Roman" w:eastAsia="Times New Roman" w:hAnsi="Times New Roman" w:cs="Times New Roman"/>
          <w:i/>
          <w:iCs/>
          <w:sz w:val="24"/>
          <w:szCs w:val="24"/>
        </w:rPr>
        <w:t xml:space="preserve">), industrial internet </w:t>
      </w:r>
      <w:proofErr w:type="spellStart"/>
      <w:r w:rsidRPr="00EC79BD">
        <w:rPr>
          <w:rFonts w:ascii="Times New Roman" w:eastAsia="Times New Roman" w:hAnsi="Times New Roman" w:cs="Times New Roman"/>
          <w:i/>
          <w:iCs/>
          <w:sz w:val="24"/>
          <w:szCs w:val="24"/>
        </w:rPr>
        <w:t>of</w:t>
      </w:r>
      <w:proofErr w:type="spellEnd"/>
      <w:r w:rsidRPr="00EC79BD">
        <w:rPr>
          <w:rFonts w:ascii="Times New Roman" w:eastAsia="Times New Roman" w:hAnsi="Times New Roman" w:cs="Times New Roman"/>
          <w:i/>
          <w:iCs/>
          <w:sz w:val="24"/>
          <w:szCs w:val="24"/>
        </w:rPr>
        <w:t xml:space="preserve"> </w:t>
      </w:r>
      <w:proofErr w:type="spellStart"/>
      <w:r w:rsidRPr="00EC79BD">
        <w:rPr>
          <w:rFonts w:ascii="Times New Roman" w:eastAsia="Times New Roman" w:hAnsi="Times New Roman" w:cs="Times New Roman"/>
          <w:i/>
          <w:iCs/>
          <w:sz w:val="24"/>
          <w:szCs w:val="24"/>
        </w:rPr>
        <w:t>things</w:t>
      </w:r>
      <w:proofErr w:type="spellEnd"/>
      <w:r w:rsidRPr="00EC79BD">
        <w:rPr>
          <w:rFonts w:ascii="Times New Roman" w:eastAsia="Times New Roman" w:hAnsi="Times New Roman" w:cs="Times New Roman"/>
          <w:i/>
          <w:iCs/>
          <w:sz w:val="24"/>
          <w:szCs w:val="24"/>
        </w:rPr>
        <w:t xml:space="preserve"> (</w:t>
      </w:r>
      <w:proofErr w:type="spellStart"/>
      <w:r w:rsidRPr="00EC79BD">
        <w:rPr>
          <w:rFonts w:ascii="Times New Roman" w:eastAsia="Times New Roman" w:hAnsi="Times New Roman" w:cs="Times New Roman"/>
          <w:i/>
          <w:iCs/>
          <w:sz w:val="24"/>
          <w:szCs w:val="24"/>
        </w:rPr>
        <w:t>IIoT</w:t>
      </w:r>
      <w:proofErr w:type="spellEnd"/>
      <w:r w:rsidRPr="00EC79BD">
        <w:rPr>
          <w:rFonts w:ascii="Times New Roman" w:eastAsia="Times New Roman" w:hAnsi="Times New Roman" w:cs="Times New Roman"/>
          <w:i/>
          <w:iCs/>
          <w:sz w:val="24"/>
          <w:szCs w:val="24"/>
        </w:rPr>
        <w:t xml:space="preserve">), digital </w:t>
      </w:r>
      <w:proofErr w:type="spellStart"/>
      <w:r w:rsidRPr="00EC79BD">
        <w:rPr>
          <w:rFonts w:ascii="Times New Roman" w:eastAsia="Times New Roman" w:hAnsi="Times New Roman" w:cs="Times New Roman"/>
          <w:i/>
          <w:iCs/>
          <w:sz w:val="24"/>
          <w:szCs w:val="24"/>
        </w:rPr>
        <w:t>twin</w:t>
      </w:r>
      <w:proofErr w:type="spellEnd"/>
      <w:r w:rsidRPr="00EC79BD">
        <w:rPr>
          <w:rFonts w:ascii="Times New Roman" w:eastAsia="Times New Roman" w:hAnsi="Times New Roman" w:cs="Times New Roman"/>
          <w:i/>
          <w:iCs/>
          <w:sz w:val="24"/>
          <w:szCs w:val="24"/>
        </w:rPr>
        <w:t xml:space="preserve">, </w:t>
      </w:r>
      <w:proofErr w:type="spellStart"/>
      <w:r w:rsidRPr="00EC79BD">
        <w:rPr>
          <w:rFonts w:ascii="Times New Roman" w:eastAsia="Times New Roman" w:hAnsi="Times New Roman" w:cs="Times New Roman"/>
          <w:i/>
          <w:iCs/>
          <w:sz w:val="24"/>
          <w:szCs w:val="24"/>
        </w:rPr>
        <w:t>predictive</w:t>
      </w:r>
      <w:proofErr w:type="spellEnd"/>
      <w:r w:rsidRPr="00EC79BD">
        <w:rPr>
          <w:rFonts w:ascii="Times New Roman" w:eastAsia="Times New Roman" w:hAnsi="Times New Roman" w:cs="Times New Roman"/>
          <w:i/>
          <w:iCs/>
          <w:sz w:val="24"/>
          <w:szCs w:val="24"/>
        </w:rPr>
        <w:t xml:space="preserve"> </w:t>
      </w:r>
      <w:proofErr w:type="spellStart"/>
      <w:r w:rsidRPr="00EC79BD">
        <w:rPr>
          <w:rFonts w:ascii="Times New Roman" w:eastAsia="Times New Roman" w:hAnsi="Times New Roman" w:cs="Times New Roman"/>
          <w:i/>
          <w:iCs/>
          <w:sz w:val="24"/>
          <w:szCs w:val="24"/>
        </w:rPr>
        <w:t>maintenance</w:t>
      </w:r>
      <w:proofErr w:type="spellEnd"/>
      <w:r w:rsidRPr="00EC79BD">
        <w:rPr>
          <w:rFonts w:ascii="Times New Roman" w:eastAsia="Times New Roman" w:hAnsi="Times New Roman" w:cs="Times New Roman"/>
          <w:i/>
          <w:iCs/>
          <w:sz w:val="24"/>
          <w:szCs w:val="24"/>
        </w:rPr>
        <w:t xml:space="preserve">, </w:t>
      </w:r>
      <w:proofErr w:type="spellStart"/>
      <w:r w:rsidRPr="00EC79BD">
        <w:rPr>
          <w:rFonts w:ascii="Times New Roman" w:eastAsia="Times New Roman" w:hAnsi="Times New Roman" w:cs="Times New Roman"/>
          <w:i/>
          <w:iCs/>
          <w:sz w:val="24"/>
          <w:szCs w:val="24"/>
        </w:rPr>
        <w:t>smart</w:t>
      </w:r>
      <w:proofErr w:type="spellEnd"/>
      <w:r w:rsidRPr="00EC79BD">
        <w:rPr>
          <w:rFonts w:ascii="Times New Roman" w:eastAsia="Times New Roman" w:hAnsi="Times New Roman" w:cs="Times New Roman"/>
          <w:i/>
          <w:iCs/>
          <w:sz w:val="24"/>
          <w:szCs w:val="24"/>
        </w:rPr>
        <w:t xml:space="preserve"> </w:t>
      </w:r>
      <w:proofErr w:type="spellStart"/>
      <w:r w:rsidRPr="00EC79BD">
        <w:rPr>
          <w:rFonts w:ascii="Times New Roman" w:eastAsia="Times New Roman" w:hAnsi="Times New Roman" w:cs="Times New Roman"/>
          <w:i/>
          <w:iCs/>
          <w:sz w:val="24"/>
          <w:szCs w:val="24"/>
        </w:rPr>
        <w:t>sensors</w:t>
      </w:r>
      <w:proofErr w:type="spellEnd"/>
      <w:r w:rsidRPr="00EC79BD">
        <w:rPr>
          <w:rFonts w:ascii="Times New Roman" w:eastAsia="Times New Roman" w:hAnsi="Times New Roman" w:cs="Times New Roman"/>
          <w:i/>
          <w:iCs/>
          <w:sz w:val="24"/>
          <w:szCs w:val="24"/>
        </w:rPr>
        <w:t xml:space="preserve">, </w:t>
      </w:r>
      <w:proofErr w:type="spellStart"/>
      <w:r w:rsidRPr="00EC79BD">
        <w:rPr>
          <w:rFonts w:ascii="Times New Roman" w:eastAsia="Times New Roman" w:hAnsi="Times New Roman" w:cs="Times New Roman"/>
          <w:i/>
          <w:iCs/>
          <w:sz w:val="24"/>
          <w:szCs w:val="24"/>
        </w:rPr>
        <w:t>edge</w:t>
      </w:r>
      <w:proofErr w:type="spellEnd"/>
      <w:r w:rsidRPr="00EC79BD">
        <w:rPr>
          <w:rFonts w:ascii="Times New Roman" w:eastAsia="Times New Roman" w:hAnsi="Times New Roman" w:cs="Times New Roman"/>
          <w:i/>
          <w:iCs/>
          <w:sz w:val="24"/>
          <w:szCs w:val="24"/>
        </w:rPr>
        <w:t xml:space="preserve"> </w:t>
      </w:r>
      <w:proofErr w:type="spellStart"/>
      <w:r w:rsidRPr="00EC79BD">
        <w:rPr>
          <w:rFonts w:ascii="Times New Roman" w:eastAsia="Times New Roman" w:hAnsi="Times New Roman" w:cs="Times New Roman"/>
          <w:i/>
          <w:iCs/>
          <w:sz w:val="24"/>
          <w:szCs w:val="24"/>
        </w:rPr>
        <w:t>computing</w:t>
      </w:r>
      <w:proofErr w:type="spellEnd"/>
      <w:r w:rsidRPr="00EC79BD">
        <w:rPr>
          <w:rFonts w:ascii="Times New Roman" w:eastAsia="Times New Roman" w:hAnsi="Times New Roman" w:cs="Times New Roman"/>
          <w:i/>
          <w:iCs/>
          <w:sz w:val="24"/>
          <w:szCs w:val="24"/>
        </w:rPr>
        <w:t xml:space="preserve"> e cloud </w:t>
      </w:r>
      <w:proofErr w:type="spellStart"/>
      <w:r w:rsidRPr="00EC79BD">
        <w:rPr>
          <w:rFonts w:ascii="Times New Roman" w:eastAsia="Times New Roman" w:hAnsi="Times New Roman" w:cs="Times New Roman"/>
          <w:i/>
          <w:iCs/>
          <w:sz w:val="24"/>
          <w:szCs w:val="24"/>
        </w:rPr>
        <w:t>manufacturing</w:t>
      </w:r>
      <w:proofErr w:type="spellEnd"/>
      <w:r w:rsidRPr="00EC79BD">
        <w:rPr>
          <w:rFonts w:ascii="Times New Roman" w:eastAsia="Times New Roman" w:hAnsi="Times New Roman" w:cs="Times New Roman"/>
          <w:i/>
          <w:iCs/>
          <w:sz w:val="24"/>
          <w:szCs w:val="24"/>
        </w:rPr>
        <w:t>.</w:t>
      </w:r>
    </w:p>
    <w:p w14:paraId="17B1A671" w14:textId="77777777" w:rsidR="00B4500F" w:rsidRPr="003F43EF" w:rsidRDefault="00B4500F" w:rsidP="00B4500F">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US"/>
        </w:rPr>
      </w:pPr>
      <w:proofErr w:type="spellStart"/>
      <w:r w:rsidRPr="003F43EF">
        <w:rPr>
          <w:rFonts w:ascii="Times New Roman" w:eastAsia="Times New Roman" w:hAnsi="Times New Roman" w:cs="Times New Roman"/>
          <w:sz w:val="24"/>
          <w:szCs w:val="24"/>
          <w:lang w:val="en-US"/>
        </w:rPr>
        <w:lastRenderedPageBreak/>
        <w:t>Os</w:t>
      </w:r>
      <w:proofErr w:type="spellEnd"/>
      <w:r w:rsidRPr="003F43EF">
        <w:rPr>
          <w:rFonts w:ascii="Times New Roman" w:eastAsia="Times New Roman" w:hAnsi="Times New Roman" w:cs="Times New Roman"/>
          <w:sz w:val="24"/>
          <w:szCs w:val="24"/>
          <w:lang w:val="en-US"/>
        </w:rPr>
        <w:t xml:space="preserve"> </w:t>
      </w:r>
      <w:proofErr w:type="spellStart"/>
      <w:r w:rsidRPr="003F43EF">
        <w:rPr>
          <w:rFonts w:ascii="Times New Roman" w:eastAsia="Times New Roman" w:hAnsi="Times New Roman" w:cs="Times New Roman"/>
          <w:sz w:val="24"/>
          <w:szCs w:val="24"/>
          <w:lang w:val="en-US"/>
        </w:rPr>
        <w:t>termos</w:t>
      </w:r>
      <w:proofErr w:type="spellEnd"/>
      <w:r w:rsidRPr="003F43EF">
        <w:rPr>
          <w:rFonts w:ascii="Times New Roman" w:eastAsia="Times New Roman" w:hAnsi="Times New Roman" w:cs="Times New Roman"/>
          <w:sz w:val="24"/>
          <w:szCs w:val="24"/>
          <w:lang w:val="en-US"/>
        </w:rPr>
        <w:t xml:space="preserve"> </w:t>
      </w:r>
      <w:proofErr w:type="spellStart"/>
      <w:r w:rsidRPr="003F43EF">
        <w:rPr>
          <w:rFonts w:ascii="Times New Roman" w:eastAsia="Times New Roman" w:hAnsi="Times New Roman" w:cs="Times New Roman"/>
          <w:sz w:val="24"/>
          <w:szCs w:val="24"/>
          <w:lang w:val="en-US"/>
        </w:rPr>
        <w:t>foram</w:t>
      </w:r>
      <w:proofErr w:type="spellEnd"/>
      <w:r w:rsidRPr="003F43EF">
        <w:rPr>
          <w:rFonts w:ascii="Times New Roman" w:eastAsia="Times New Roman" w:hAnsi="Times New Roman" w:cs="Times New Roman"/>
          <w:sz w:val="24"/>
          <w:szCs w:val="24"/>
          <w:lang w:val="en-US"/>
        </w:rPr>
        <w:t xml:space="preserve"> </w:t>
      </w:r>
      <w:proofErr w:type="spellStart"/>
      <w:r w:rsidRPr="003F43EF">
        <w:rPr>
          <w:rFonts w:ascii="Times New Roman" w:eastAsia="Times New Roman" w:hAnsi="Times New Roman" w:cs="Times New Roman"/>
          <w:sz w:val="24"/>
          <w:szCs w:val="24"/>
          <w:lang w:val="en-US"/>
        </w:rPr>
        <w:t>pesquisados</w:t>
      </w:r>
      <w:proofErr w:type="spellEnd"/>
      <w:r w:rsidRPr="003F43EF">
        <w:rPr>
          <w:rFonts w:ascii="Times New Roman" w:eastAsia="Times New Roman" w:hAnsi="Times New Roman" w:cs="Times New Roman"/>
          <w:sz w:val="24"/>
          <w:szCs w:val="24"/>
          <w:lang w:val="en-US"/>
        </w:rPr>
        <w:t xml:space="preserve"> </w:t>
      </w:r>
      <w:proofErr w:type="spellStart"/>
      <w:r w:rsidRPr="003F43EF">
        <w:rPr>
          <w:rFonts w:ascii="Times New Roman" w:eastAsia="Times New Roman" w:hAnsi="Times New Roman" w:cs="Times New Roman"/>
          <w:sz w:val="24"/>
          <w:szCs w:val="24"/>
          <w:lang w:val="en-US"/>
        </w:rPr>
        <w:t>nos</w:t>
      </w:r>
      <w:proofErr w:type="spellEnd"/>
      <w:r w:rsidRPr="003F43EF">
        <w:rPr>
          <w:rFonts w:ascii="Times New Roman" w:eastAsia="Times New Roman" w:hAnsi="Times New Roman" w:cs="Times New Roman"/>
          <w:sz w:val="24"/>
          <w:szCs w:val="24"/>
          <w:lang w:val="en-US"/>
        </w:rPr>
        <w:t xml:space="preserve"> campos de </w:t>
      </w:r>
      <w:proofErr w:type="spellStart"/>
      <w:r w:rsidRPr="003F43EF">
        <w:rPr>
          <w:rFonts w:ascii="Times New Roman" w:eastAsia="Times New Roman" w:hAnsi="Times New Roman" w:cs="Times New Roman"/>
          <w:sz w:val="24"/>
          <w:szCs w:val="24"/>
          <w:lang w:val="en-US"/>
        </w:rPr>
        <w:t>título</w:t>
      </w:r>
      <w:proofErr w:type="spellEnd"/>
      <w:r w:rsidRPr="003F43EF">
        <w:rPr>
          <w:rFonts w:ascii="Times New Roman" w:eastAsia="Times New Roman" w:hAnsi="Times New Roman" w:cs="Times New Roman"/>
          <w:sz w:val="24"/>
          <w:szCs w:val="24"/>
          <w:lang w:val="en-US"/>
        </w:rPr>
        <w:t xml:space="preserve">, </w:t>
      </w:r>
      <w:proofErr w:type="spellStart"/>
      <w:r w:rsidRPr="003F43EF">
        <w:rPr>
          <w:rFonts w:ascii="Times New Roman" w:eastAsia="Times New Roman" w:hAnsi="Times New Roman" w:cs="Times New Roman"/>
          <w:sz w:val="24"/>
          <w:szCs w:val="24"/>
          <w:lang w:val="en-US"/>
        </w:rPr>
        <w:t>resumo</w:t>
      </w:r>
      <w:proofErr w:type="spellEnd"/>
      <w:r w:rsidRPr="003F43EF">
        <w:rPr>
          <w:rFonts w:ascii="Times New Roman" w:eastAsia="Times New Roman" w:hAnsi="Times New Roman" w:cs="Times New Roman"/>
          <w:sz w:val="24"/>
          <w:szCs w:val="24"/>
          <w:lang w:val="en-US"/>
        </w:rPr>
        <w:t xml:space="preserve"> e </w:t>
      </w:r>
      <w:proofErr w:type="spellStart"/>
      <w:r w:rsidRPr="003F43EF">
        <w:rPr>
          <w:rFonts w:ascii="Times New Roman" w:eastAsia="Times New Roman" w:hAnsi="Times New Roman" w:cs="Times New Roman"/>
          <w:sz w:val="24"/>
          <w:szCs w:val="24"/>
          <w:lang w:val="en-US"/>
        </w:rPr>
        <w:t>palavras-chave</w:t>
      </w:r>
      <w:proofErr w:type="spellEnd"/>
      <w:r w:rsidRPr="003F43EF">
        <w:rPr>
          <w:rFonts w:ascii="Times New Roman" w:eastAsia="Times New Roman" w:hAnsi="Times New Roman" w:cs="Times New Roman"/>
          <w:sz w:val="24"/>
          <w:szCs w:val="24"/>
          <w:lang w:val="en-US"/>
        </w:rPr>
        <w:t xml:space="preserve"> </w:t>
      </w:r>
      <w:proofErr w:type="spellStart"/>
      <w:r w:rsidRPr="003F43EF">
        <w:rPr>
          <w:rFonts w:ascii="Times New Roman" w:eastAsia="Times New Roman" w:hAnsi="Times New Roman" w:cs="Times New Roman"/>
          <w:sz w:val="24"/>
          <w:szCs w:val="24"/>
          <w:lang w:val="en-US"/>
        </w:rPr>
        <w:t>por</w:t>
      </w:r>
      <w:proofErr w:type="spellEnd"/>
      <w:r w:rsidRPr="003F43EF">
        <w:rPr>
          <w:rFonts w:ascii="Times New Roman" w:eastAsia="Times New Roman" w:hAnsi="Times New Roman" w:cs="Times New Roman"/>
          <w:sz w:val="24"/>
          <w:szCs w:val="24"/>
          <w:lang w:val="en-US"/>
        </w:rPr>
        <w:t xml:space="preserve"> </w:t>
      </w:r>
      <w:proofErr w:type="spellStart"/>
      <w:r w:rsidRPr="003F43EF">
        <w:rPr>
          <w:rFonts w:ascii="Times New Roman" w:eastAsia="Times New Roman" w:hAnsi="Times New Roman" w:cs="Times New Roman"/>
          <w:sz w:val="24"/>
          <w:szCs w:val="24"/>
          <w:lang w:val="en-US"/>
        </w:rPr>
        <w:t>meio</w:t>
      </w:r>
      <w:proofErr w:type="spellEnd"/>
      <w:r w:rsidRPr="003F43EF">
        <w:rPr>
          <w:rFonts w:ascii="Times New Roman" w:eastAsia="Times New Roman" w:hAnsi="Times New Roman" w:cs="Times New Roman"/>
          <w:sz w:val="24"/>
          <w:szCs w:val="24"/>
          <w:lang w:val="en-US"/>
        </w:rPr>
        <w:t xml:space="preserve"> da </w:t>
      </w:r>
      <w:proofErr w:type="spellStart"/>
      <w:r w:rsidRPr="003F43EF">
        <w:rPr>
          <w:rFonts w:ascii="Times New Roman" w:eastAsia="Times New Roman" w:hAnsi="Times New Roman" w:cs="Times New Roman"/>
          <w:sz w:val="24"/>
          <w:szCs w:val="24"/>
          <w:lang w:val="en-US"/>
        </w:rPr>
        <w:t>seguinte</w:t>
      </w:r>
      <w:proofErr w:type="spellEnd"/>
      <w:r w:rsidRPr="003F43EF">
        <w:rPr>
          <w:rFonts w:ascii="Times New Roman" w:eastAsia="Times New Roman" w:hAnsi="Times New Roman" w:cs="Times New Roman"/>
          <w:sz w:val="24"/>
          <w:szCs w:val="24"/>
          <w:lang w:val="en-US"/>
        </w:rPr>
        <w:t xml:space="preserve"> </w:t>
      </w:r>
      <w:proofErr w:type="spellStart"/>
      <w:r w:rsidRPr="003F43EF">
        <w:rPr>
          <w:rFonts w:ascii="Times New Roman" w:eastAsia="Times New Roman" w:hAnsi="Times New Roman" w:cs="Times New Roman"/>
          <w:sz w:val="24"/>
          <w:szCs w:val="24"/>
          <w:lang w:val="en-US"/>
        </w:rPr>
        <w:t>expressão</w:t>
      </w:r>
      <w:proofErr w:type="spellEnd"/>
      <w:r w:rsidRPr="003F43EF">
        <w:rPr>
          <w:rFonts w:ascii="Times New Roman" w:eastAsia="Times New Roman" w:hAnsi="Times New Roman" w:cs="Times New Roman"/>
          <w:sz w:val="24"/>
          <w:szCs w:val="24"/>
          <w:lang w:val="en-US"/>
        </w:rPr>
        <w:t xml:space="preserve"> </w:t>
      </w:r>
      <w:proofErr w:type="spellStart"/>
      <w:r w:rsidRPr="003F43EF">
        <w:rPr>
          <w:rFonts w:ascii="Times New Roman" w:eastAsia="Times New Roman" w:hAnsi="Times New Roman" w:cs="Times New Roman"/>
          <w:sz w:val="24"/>
          <w:szCs w:val="24"/>
          <w:lang w:val="en-US"/>
        </w:rPr>
        <w:t>booleana</w:t>
      </w:r>
      <w:proofErr w:type="spellEnd"/>
      <w:r w:rsidRPr="003F43EF">
        <w:rPr>
          <w:rFonts w:ascii="Times New Roman" w:eastAsia="Times New Roman" w:hAnsi="Times New Roman" w:cs="Times New Roman"/>
          <w:sz w:val="24"/>
          <w:szCs w:val="24"/>
          <w:lang w:val="en-US"/>
        </w:rPr>
        <w:t xml:space="preserve">: “TS=("additive manufacturing" OR "3d printing" OR "collaborative robot*" OR </w:t>
      </w:r>
      <w:proofErr w:type="spellStart"/>
      <w:r w:rsidRPr="003F43EF">
        <w:rPr>
          <w:rFonts w:ascii="Times New Roman" w:eastAsia="Times New Roman" w:hAnsi="Times New Roman" w:cs="Times New Roman"/>
          <w:sz w:val="24"/>
          <w:szCs w:val="24"/>
          <w:lang w:val="en-US"/>
        </w:rPr>
        <w:t>cobot</w:t>
      </w:r>
      <w:proofErr w:type="spellEnd"/>
      <w:r w:rsidRPr="003F43EF">
        <w:rPr>
          <w:rFonts w:ascii="Times New Roman" w:eastAsia="Times New Roman" w:hAnsi="Times New Roman" w:cs="Times New Roman"/>
          <w:sz w:val="24"/>
          <w:szCs w:val="24"/>
          <w:lang w:val="en-US"/>
        </w:rPr>
        <w:t>* OR "industrial internet of things" OR "</w:t>
      </w:r>
      <w:proofErr w:type="spellStart"/>
      <w:r w:rsidRPr="003F43EF">
        <w:rPr>
          <w:rFonts w:ascii="Times New Roman" w:eastAsia="Times New Roman" w:hAnsi="Times New Roman" w:cs="Times New Roman"/>
          <w:sz w:val="24"/>
          <w:szCs w:val="24"/>
          <w:lang w:val="en-US"/>
        </w:rPr>
        <w:t>IIoT</w:t>
      </w:r>
      <w:proofErr w:type="spellEnd"/>
      <w:r w:rsidRPr="003F43EF">
        <w:rPr>
          <w:rFonts w:ascii="Times New Roman" w:eastAsia="Times New Roman" w:hAnsi="Times New Roman" w:cs="Times New Roman"/>
          <w:sz w:val="24"/>
          <w:szCs w:val="24"/>
          <w:lang w:val="en-US"/>
        </w:rPr>
        <w:t xml:space="preserve">" OR "digital twin" OR "predictive maintenance" OR "smart sensor*" OR "edge computing" OR "cloud manufacturing") AND </w:t>
      </w:r>
      <w:r w:rsidRPr="002829C6">
        <w:rPr>
          <w:rFonts w:ascii="Times New Roman" w:eastAsia="Times New Roman" w:hAnsi="Times New Roman" w:cs="Times New Roman"/>
          <w:sz w:val="24"/>
          <w:szCs w:val="24"/>
          <w:lang w:val="en-US"/>
        </w:rPr>
        <w:t>(PN=BR* OR PN=MX* OR PN=AR* OR PN=CL* OR PN=CO* OR PN=PE* OR PN=UY* OR PN=VE* OR PN=EC* OR PN=BO* OR PN=PY* OR PN=CR* OR PN=GT* OR PN=HN* OR PN=NI* OR PN=SV* OR PN=DO* OR PN=CU* OR PN=PA* OR PN=BZ*)</w:t>
      </w:r>
      <w:r>
        <w:rPr>
          <w:rFonts w:ascii="Times New Roman" w:eastAsia="Times New Roman" w:hAnsi="Times New Roman" w:cs="Times New Roman"/>
          <w:sz w:val="24"/>
          <w:szCs w:val="24"/>
          <w:lang w:val="en-US"/>
        </w:rPr>
        <w:t xml:space="preserve"> </w:t>
      </w:r>
      <w:r w:rsidRPr="003F43EF">
        <w:rPr>
          <w:rFonts w:ascii="Times New Roman" w:eastAsia="Times New Roman" w:hAnsi="Times New Roman" w:cs="Times New Roman"/>
          <w:sz w:val="24"/>
          <w:szCs w:val="24"/>
          <w:lang w:val="en-US"/>
        </w:rPr>
        <w:t>AND PY=(2014-2024).</w:t>
      </w:r>
    </w:p>
    <w:p w14:paraId="154B0522" w14:textId="77777777" w:rsidR="00B4500F" w:rsidRPr="007E29CF" w:rsidRDefault="00B4500F" w:rsidP="00B4500F">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r w:rsidRPr="007E29CF">
        <w:rPr>
          <w:rFonts w:ascii="Times New Roman" w:eastAsia="Times New Roman" w:hAnsi="Times New Roman" w:cs="Times New Roman"/>
          <w:bCs/>
          <w:sz w:val="24"/>
          <w:szCs w:val="24"/>
        </w:rPr>
        <w:t>A base inicial continha 8 345 patentes vinculadas ao setor metalmecânico. Para construir o recorte regional, mantiveram-se apenas os depósitos com prioridade em países latino-americanos, excluindo extensões fora da região. A base final somou 1 152 patentes, permitindo analisar, com maior precisão, a dinâmica inovativa local, os padrões de especialização tecnológica e a distribuição geográfica dos depósitos.</w:t>
      </w:r>
    </w:p>
    <w:p w14:paraId="7A10B926" w14:textId="77777777" w:rsidR="00B4500F" w:rsidRPr="007E29CF" w:rsidRDefault="00B4500F" w:rsidP="00B4500F">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r w:rsidRPr="007E29CF">
        <w:rPr>
          <w:rFonts w:ascii="Times New Roman" w:eastAsia="Times New Roman" w:hAnsi="Times New Roman" w:cs="Times New Roman"/>
          <w:bCs/>
          <w:sz w:val="24"/>
          <w:szCs w:val="24"/>
        </w:rPr>
        <w:t xml:space="preserve">O processamento utilizou Python 3.11 e as bibliotecas </w:t>
      </w:r>
      <w:r w:rsidRPr="007E29CF">
        <w:rPr>
          <w:rFonts w:ascii="Times New Roman" w:eastAsia="Times New Roman" w:hAnsi="Times New Roman" w:cs="Times New Roman"/>
          <w:bCs/>
          <w:i/>
          <w:iCs/>
          <w:sz w:val="24"/>
          <w:szCs w:val="24"/>
        </w:rPr>
        <w:t>pandas</w:t>
      </w:r>
      <w:r w:rsidRPr="007E29CF">
        <w:rPr>
          <w:rFonts w:ascii="Times New Roman" w:eastAsia="Times New Roman" w:hAnsi="Times New Roman" w:cs="Times New Roman"/>
          <w:bCs/>
          <w:sz w:val="24"/>
          <w:szCs w:val="24"/>
        </w:rPr>
        <w:t xml:space="preserve"> e </w:t>
      </w:r>
      <w:proofErr w:type="spellStart"/>
      <w:r w:rsidRPr="007E29CF">
        <w:rPr>
          <w:rFonts w:ascii="Times New Roman" w:eastAsia="Times New Roman" w:hAnsi="Times New Roman" w:cs="Times New Roman"/>
          <w:bCs/>
          <w:i/>
          <w:iCs/>
          <w:sz w:val="24"/>
          <w:szCs w:val="24"/>
        </w:rPr>
        <w:t>numpy</w:t>
      </w:r>
      <w:proofErr w:type="spellEnd"/>
      <w:r w:rsidRPr="007E29CF">
        <w:rPr>
          <w:rFonts w:ascii="Times New Roman" w:eastAsia="Times New Roman" w:hAnsi="Times New Roman" w:cs="Times New Roman"/>
          <w:bCs/>
          <w:sz w:val="24"/>
          <w:szCs w:val="24"/>
        </w:rPr>
        <w:t>. Executaram-se remoção de duplicidades, padronização de titulares e países e estruturação em planilha única com 17 campos (número, ano, país, classificação CPC/IPC, titular, inventores, família e citações). Esse tratamento gerou o banco consolidado para as análises subsequentes.</w:t>
      </w:r>
    </w:p>
    <w:p w14:paraId="6E9BD1CD" w14:textId="77777777" w:rsidR="00B4500F" w:rsidRPr="007E29CF" w:rsidRDefault="00B4500F" w:rsidP="00B4500F">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r w:rsidRPr="007E29CF">
        <w:rPr>
          <w:rFonts w:ascii="Times New Roman" w:eastAsia="Times New Roman" w:hAnsi="Times New Roman" w:cs="Times New Roman"/>
          <w:bCs/>
          <w:sz w:val="24"/>
          <w:szCs w:val="24"/>
        </w:rPr>
        <w:t>A análise temporal mensurou o volume anual de depósitos e a taxa média de crescimento (2015-2019). A queda recente foi interpretada à luz do período de sigilo regulatório típico de patentes (WIPO, 2022).</w:t>
      </w:r>
    </w:p>
    <w:p w14:paraId="6ACC8DFF" w14:textId="77777777" w:rsidR="00B4500F" w:rsidRPr="007E29CF" w:rsidRDefault="00B4500F" w:rsidP="00B4500F">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r w:rsidRPr="007E29CF">
        <w:rPr>
          <w:rFonts w:ascii="Times New Roman" w:eastAsia="Times New Roman" w:hAnsi="Times New Roman" w:cs="Times New Roman"/>
          <w:bCs/>
          <w:sz w:val="24"/>
          <w:szCs w:val="24"/>
        </w:rPr>
        <w:t>Na análise geográfica, utilizaram-se códigos de prioridade nacional para mapear a distribuição regional e gerar rankings de países. O desempenho de Brasil, México e Argentina foi avaliado segundo concentração de patentes e participação relativa.</w:t>
      </w:r>
    </w:p>
    <w:p w14:paraId="44705876" w14:textId="77777777" w:rsidR="00B4500F" w:rsidRPr="007E29CF" w:rsidRDefault="00B4500F" w:rsidP="00B4500F">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r w:rsidRPr="007E29CF">
        <w:rPr>
          <w:rFonts w:ascii="Times New Roman" w:eastAsia="Times New Roman" w:hAnsi="Times New Roman" w:cs="Times New Roman"/>
          <w:bCs/>
          <w:sz w:val="24"/>
          <w:szCs w:val="24"/>
        </w:rPr>
        <w:t xml:space="preserve">Para a análise de titulares, agregaram-se nomes padronizados de empresas e inventores, possibilitando identificar os atores mais produtivos. Em seguida, construiu-se uma matriz de especialização tecnológica cruzando titulares e códigos CPC; o resultado foi visualizado por </w:t>
      </w:r>
      <w:proofErr w:type="spellStart"/>
      <w:r w:rsidRPr="007E29CF">
        <w:rPr>
          <w:rFonts w:ascii="Times New Roman" w:eastAsia="Times New Roman" w:hAnsi="Times New Roman" w:cs="Times New Roman"/>
          <w:bCs/>
          <w:i/>
          <w:iCs/>
          <w:sz w:val="24"/>
          <w:szCs w:val="24"/>
        </w:rPr>
        <w:t>heatmap</w:t>
      </w:r>
      <w:proofErr w:type="spellEnd"/>
      <w:r w:rsidRPr="007E29CF">
        <w:rPr>
          <w:rFonts w:ascii="Times New Roman" w:eastAsia="Times New Roman" w:hAnsi="Times New Roman" w:cs="Times New Roman"/>
          <w:bCs/>
          <w:sz w:val="24"/>
          <w:szCs w:val="24"/>
        </w:rPr>
        <w:t>.</w:t>
      </w:r>
    </w:p>
    <w:p w14:paraId="24FE8534" w14:textId="77777777" w:rsidR="00B4500F" w:rsidRPr="007E29CF" w:rsidRDefault="00B4500F" w:rsidP="00B4500F">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r w:rsidRPr="007E29CF">
        <w:rPr>
          <w:rFonts w:ascii="Times New Roman" w:eastAsia="Times New Roman" w:hAnsi="Times New Roman" w:cs="Times New Roman"/>
          <w:bCs/>
          <w:sz w:val="24"/>
          <w:szCs w:val="24"/>
        </w:rPr>
        <w:t xml:space="preserve">A classificação tecnológica baseou-se nos códigos CPC/IPC agrupados, manualmente, em categorias funcionais, conforme metodologia do </w:t>
      </w:r>
      <w:proofErr w:type="spellStart"/>
      <w:r w:rsidRPr="007E29CF">
        <w:rPr>
          <w:rFonts w:ascii="Times New Roman" w:eastAsia="Times New Roman" w:hAnsi="Times New Roman" w:cs="Times New Roman"/>
          <w:bCs/>
          <w:sz w:val="24"/>
          <w:szCs w:val="24"/>
        </w:rPr>
        <w:t>European</w:t>
      </w:r>
      <w:proofErr w:type="spellEnd"/>
      <w:r w:rsidRPr="007E29CF">
        <w:rPr>
          <w:rFonts w:ascii="Times New Roman" w:eastAsia="Times New Roman" w:hAnsi="Times New Roman" w:cs="Times New Roman"/>
          <w:bCs/>
          <w:sz w:val="24"/>
          <w:szCs w:val="24"/>
        </w:rPr>
        <w:t xml:space="preserve"> </w:t>
      </w:r>
      <w:proofErr w:type="spellStart"/>
      <w:r w:rsidRPr="007E29CF">
        <w:rPr>
          <w:rFonts w:ascii="Times New Roman" w:eastAsia="Times New Roman" w:hAnsi="Times New Roman" w:cs="Times New Roman"/>
          <w:bCs/>
          <w:sz w:val="24"/>
          <w:szCs w:val="24"/>
        </w:rPr>
        <w:t>Patent</w:t>
      </w:r>
      <w:proofErr w:type="spellEnd"/>
      <w:r w:rsidRPr="007E29CF">
        <w:rPr>
          <w:rFonts w:ascii="Times New Roman" w:eastAsia="Times New Roman" w:hAnsi="Times New Roman" w:cs="Times New Roman"/>
          <w:bCs/>
          <w:sz w:val="24"/>
          <w:szCs w:val="24"/>
        </w:rPr>
        <w:t xml:space="preserve"> Office (EPO, 2023). Identificaram-se rotas dominantes pelo volume de citações e frequência de ocorrência; tais rotas foram tratadas como centrais para avaliar maturidade e impacto.</w:t>
      </w:r>
    </w:p>
    <w:p w14:paraId="5348E9AA" w14:textId="77777777" w:rsidR="00B4500F" w:rsidRPr="007E29CF" w:rsidRDefault="00B4500F" w:rsidP="00B4500F">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r w:rsidRPr="007E29CF">
        <w:rPr>
          <w:rFonts w:ascii="Times New Roman" w:eastAsia="Times New Roman" w:hAnsi="Times New Roman" w:cs="Times New Roman"/>
          <w:bCs/>
          <w:sz w:val="24"/>
          <w:szCs w:val="24"/>
        </w:rPr>
        <w:t xml:space="preserve">Os mecanismos de transferência de conhecimento foram inferidos pela análise funcional dos códigos CPC em cada rota. Quatro padrões principais emergiram: da tecnologia </w:t>
      </w:r>
      <w:r w:rsidRPr="007E29CF">
        <w:rPr>
          <w:rFonts w:ascii="Times New Roman" w:eastAsia="Times New Roman" w:hAnsi="Times New Roman" w:cs="Times New Roman"/>
          <w:bCs/>
          <w:sz w:val="24"/>
          <w:szCs w:val="24"/>
        </w:rPr>
        <w:lastRenderedPageBreak/>
        <w:t>tradicional à digital; de materiais básicos a funcionais; de processos manuais a automatizados; e de aplicações genéricas a especializadas. A abordagem segue recomendações de PORTER et al. (2020).</w:t>
      </w:r>
    </w:p>
    <w:p w14:paraId="2F390D6E" w14:textId="15934ACC" w:rsidR="00B4500F" w:rsidRPr="007E29CF" w:rsidRDefault="00B4500F" w:rsidP="00B4500F">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r w:rsidRPr="007E29CF">
        <w:rPr>
          <w:rFonts w:ascii="Times New Roman" w:eastAsia="Times New Roman" w:hAnsi="Times New Roman" w:cs="Times New Roman"/>
          <w:bCs/>
          <w:sz w:val="24"/>
          <w:szCs w:val="24"/>
        </w:rPr>
        <w:t xml:space="preserve">Os centros de convergência tecnológica foram detectados pela </w:t>
      </w:r>
      <w:proofErr w:type="spellStart"/>
      <w:r w:rsidRPr="007E29CF">
        <w:rPr>
          <w:rFonts w:ascii="Times New Roman" w:eastAsia="Times New Roman" w:hAnsi="Times New Roman" w:cs="Times New Roman"/>
          <w:bCs/>
          <w:sz w:val="24"/>
          <w:szCs w:val="24"/>
        </w:rPr>
        <w:t>coocorrência</w:t>
      </w:r>
      <w:proofErr w:type="spellEnd"/>
      <w:r w:rsidRPr="007E29CF">
        <w:rPr>
          <w:rFonts w:ascii="Times New Roman" w:eastAsia="Times New Roman" w:hAnsi="Times New Roman" w:cs="Times New Roman"/>
          <w:bCs/>
          <w:sz w:val="24"/>
          <w:szCs w:val="24"/>
        </w:rPr>
        <w:t xml:space="preserve"> de códigos CPC em patentes individuais, empregando-se a ferramenta de IA Julius para clusterização densa. Esses núcleos</w:t>
      </w:r>
      <w:r>
        <w:rPr>
          <w:rFonts w:ascii="Times New Roman" w:eastAsia="Times New Roman" w:hAnsi="Times New Roman" w:cs="Times New Roman"/>
          <w:bCs/>
          <w:sz w:val="24"/>
          <w:szCs w:val="24"/>
        </w:rPr>
        <w:t xml:space="preserve">, </w:t>
      </w:r>
      <w:r w:rsidRPr="007E29CF">
        <w:rPr>
          <w:rFonts w:ascii="Times New Roman" w:eastAsia="Times New Roman" w:hAnsi="Times New Roman" w:cs="Times New Roman"/>
          <w:bCs/>
          <w:sz w:val="24"/>
          <w:szCs w:val="24"/>
        </w:rPr>
        <w:t>por exemplo, manufatura inteligente e biomateriais</w:t>
      </w:r>
      <w:r>
        <w:rPr>
          <w:rFonts w:ascii="Times New Roman" w:eastAsia="Times New Roman" w:hAnsi="Times New Roman" w:cs="Times New Roman"/>
          <w:bCs/>
          <w:sz w:val="24"/>
          <w:szCs w:val="24"/>
        </w:rPr>
        <w:t xml:space="preserve">, </w:t>
      </w:r>
      <w:r w:rsidRPr="007E29CF">
        <w:rPr>
          <w:rFonts w:ascii="Times New Roman" w:eastAsia="Times New Roman" w:hAnsi="Times New Roman" w:cs="Times New Roman"/>
          <w:bCs/>
          <w:sz w:val="24"/>
          <w:szCs w:val="24"/>
        </w:rPr>
        <w:t>foram validados por análise semântica dos resumos.</w:t>
      </w:r>
    </w:p>
    <w:p w14:paraId="3AC4F34D" w14:textId="32596A11" w:rsidR="00B4500F" w:rsidRPr="007E29CF" w:rsidRDefault="00B4500F" w:rsidP="00B4500F">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r w:rsidRPr="007E29CF">
        <w:rPr>
          <w:rFonts w:ascii="Times New Roman" w:eastAsia="Times New Roman" w:hAnsi="Times New Roman" w:cs="Times New Roman"/>
          <w:bCs/>
          <w:sz w:val="24"/>
          <w:szCs w:val="24"/>
        </w:rPr>
        <w:t xml:space="preserve">A matriz impacto </w:t>
      </w:r>
      <w:r>
        <w:rPr>
          <w:rFonts w:ascii="Times New Roman" w:eastAsia="Times New Roman" w:hAnsi="Times New Roman" w:cs="Times New Roman"/>
          <w:bCs/>
          <w:sz w:val="24"/>
          <w:szCs w:val="24"/>
        </w:rPr>
        <w:t xml:space="preserve">versus </w:t>
      </w:r>
      <w:r w:rsidRPr="007E29CF">
        <w:rPr>
          <w:rFonts w:ascii="Times New Roman" w:eastAsia="Times New Roman" w:hAnsi="Times New Roman" w:cs="Times New Roman"/>
          <w:bCs/>
          <w:sz w:val="24"/>
          <w:szCs w:val="24"/>
        </w:rPr>
        <w:t>maturidade adotou volume de citações como proxy de impacto e densidade tecnológica da rota como indicador de maturidade. A posição nos quadrantes seguiu metodologia de GAO et al. (202</w:t>
      </w:r>
      <w:r>
        <w:rPr>
          <w:rFonts w:ascii="Times New Roman" w:eastAsia="Times New Roman" w:hAnsi="Times New Roman" w:cs="Times New Roman"/>
          <w:bCs/>
          <w:sz w:val="24"/>
          <w:szCs w:val="24"/>
        </w:rPr>
        <w:t>3</w:t>
      </w:r>
      <w:r w:rsidRPr="007E29CF">
        <w:rPr>
          <w:rFonts w:ascii="Times New Roman" w:eastAsia="Times New Roman" w:hAnsi="Times New Roman" w:cs="Times New Roman"/>
          <w:bCs/>
          <w:sz w:val="24"/>
          <w:szCs w:val="24"/>
        </w:rPr>
        <w:t>) e THOMPSON et al. (2021).</w:t>
      </w:r>
    </w:p>
    <w:p w14:paraId="30B6AF9C" w14:textId="77777777" w:rsidR="00B4500F" w:rsidRPr="007E29CF" w:rsidRDefault="00B4500F" w:rsidP="00B4500F">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r w:rsidRPr="007E29CF">
        <w:rPr>
          <w:rFonts w:ascii="Times New Roman" w:eastAsia="Times New Roman" w:hAnsi="Times New Roman" w:cs="Times New Roman"/>
          <w:bCs/>
          <w:sz w:val="24"/>
          <w:szCs w:val="24"/>
        </w:rPr>
        <w:t xml:space="preserve">Por fim, elaborou-se um </w:t>
      </w:r>
      <w:proofErr w:type="spellStart"/>
      <w:r w:rsidRPr="007E29CF">
        <w:rPr>
          <w:rFonts w:ascii="Times New Roman" w:eastAsia="Times New Roman" w:hAnsi="Times New Roman" w:cs="Times New Roman"/>
          <w:sz w:val="24"/>
          <w:szCs w:val="24"/>
        </w:rPr>
        <w:t>roadmap</w:t>
      </w:r>
      <w:proofErr w:type="spellEnd"/>
      <w:r w:rsidRPr="007E29CF">
        <w:rPr>
          <w:rFonts w:ascii="Times New Roman" w:eastAsia="Times New Roman" w:hAnsi="Times New Roman" w:cs="Times New Roman"/>
          <w:bCs/>
          <w:sz w:val="24"/>
          <w:szCs w:val="24"/>
        </w:rPr>
        <w:t xml:space="preserve"> em três horizontes: curto (1-2 anos), médio (3-5 anos) e longo prazo (&gt; 5 anos). As ações e metas consideraram interdependências entre rotas e níveis de maturidade, conforme diretrizes de PHAAL et al. (2011). Com base nos resultados, formularam-se proposições estratégicas e indicadores de monitoramento agrupados em inovação, transferência e impacto, de acordo com parâmetros de avaliação sugeridos por COZZENS; MELKERS (2018).</w:t>
      </w:r>
    </w:p>
    <w:p w14:paraId="705FC36E" w14:textId="77777777" w:rsidR="00D8471E" w:rsidRDefault="00D8471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24D958DC" w14:textId="77777777" w:rsidR="00D8471E" w:rsidRDefault="005B76E5">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RESULTADOS E DISCUSSÃO</w:t>
      </w:r>
    </w:p>
    <w:p w14:paraId="079AE3BC" w14:textId="77777777" w:rsidR="00863FA0" w:rsidRPr="002C0A06" w:rsidRDefault="00863FA0" w:rsidP="00863FA0">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rPr>
      </w:pPr>
      <w:r w:rsidRPr="002C0A06">
        <w:rPr>
          <w:rFonts w:ascii="Times New Roman" w:eastAsia="Times New Roman" w:hAnsi="Times New Roman" w:cs="Times New Roman"/>
          <w:bCs/>
          <w:spacing w:val="-4"/>
          <w:sz w:val="24"/>
          <w:szCs w:val="24"/>
        </w:rPr>
        <w:t>A análise geográfica das 1.152 patentes do setor metalmecânico na América Latina indica que o Brasil concentra 72,8% das patentes (839 registros), seguida pelo México (24,7%, 284 registros) e Argentina (2,5%, 29 registros). Essa concentração evidencia que o Brasil detém a maior parte da atividade de P&amp;D industrial na região, refletindo sua capacidade instalada em infraestrutura tecnológica, investimento público e capital humano (OECD, 2023).</w:t>
      </w:r>
    </w:p>
    <w:p w14:paraId="5C1F4D1B" w14:textId="77777777" w:rsidR="00863FA0" w:rsidRPr="002C0A06" w:rsidRDefault="00863FA0" w:rsidP="00863FA0">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rPr>
      </w:pPr>
      <w:r w:rsidRPr="002C0A06">
        <w:rPr>
          <w:rFonts w:ascii="Times New Roman" w:eastAsia="Times New Roman" w:hAnsi="Times New Roman" w:cs="Times New Roman"/>
          <w:bCs/>
          <w:spacing w:val="-4"/>
          <w:sz w:val="24"/>
          <w:szCs w:val="24"/>
        </w:rPr>
        <w:t>A baixa participação de México e Argentina sugere que as oportunidades de colaboração regional permanecem subutilizadas. A literatura sobre sistemas nacionais de inovação destaca que políticas de integração tecnológica e cooperação entre países podem ampliar a circulação de conhecimento e fortalecer ecossistemas regionais (CASSIOLATO; LASTRES, 2005). Além disso, estudos indicam que parcerias entre universidades, governo e empresas podem elevar o desempenho da inovação em economias emergentes (GUERRERO; URBANO, 2017).</w:t>
      </w:r>
    </w:p>
    <w:p w14:paraId="37DDEC49" w14:textId="77777777" w:rsidR="00863FA0" w:rsidRPr="002C0A06" w:rsidRDefault="00863FA0" w:rsidP="00863FA0">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rPr>
      </w:pPr>
      <w:r w:rsidRPr="002C0A06">
        <w:rPr>
          <w:rFonts w:ascii="Times New Roman" w:eastAsia="Times New Roman" w:hAnsi="Times New Roman" w:cs="Times New Roman"/>
          <w:bCs/>
          <w:spacing w:val="-4"/>
          <w:sz w:val="24"/>
          <w:szCs w:val="24"/>
        </w:rPr>
        <w:t>Esses resultados apontam para quatro implicações principais: liderança brasileira em inovação metalmecânica, necessidade de articulação de políticas regionais para cooperação tecnológica, potencial para transferência de tecnologia intrarregional e possibilidade de promover maior equilíbrio na distribuição de inovação entre os países da América Latina.</w:t>
      </w:r>
    </w:p>
    <w:p w14:paraId="42523350" w14:textId="407C0BAB" w:rsidR="00863FA0" w:rsidRPr="004622C9" w:rsidRDefault="004622C9" w:rsidP="00863FA0">
      <w:pPr>
        <w:pBdr>
          <w:top w:val="nil"/>
          <w:left w:val="nil"/>
          <w:bottom w:val="nil"/>
          <w:right w:val="nil"/>
          <w:between w:val="nil"/>
        </w:pBdr>
        <w:spacing w:line="360" w:lineRule="auto"/>
        <w:jc w:val="both"/>
        <w:rPr>
          <w:rFonts w:ascii="Times New Roman" w:eastAsia="Times New Roman" w:hAnsi="Times New Roman" w:cs="Times New Roman"/>
          <w:bCs/>
          <w:spacing w:val="-4"/>
          <w:sz w:val="24"/>
          <w:szCs w:val="24"/>
        </w:rPr>
      </w:pPr>
      <w:r w:rsidRPr="004622C9">
        <w:rPr>
          <w:rFonts w:ascii="Times New Roman" w:eastAsia="Times New Roman" w:hAnsi="Times New Roman" w:cs="Times New Roman"/>
          <w:bCs/>
          <w:spacing w:val="-4"/>
          <w:sz w:val="24"/>
          <w:szCs w:val="24"/>
        </w:rPr>
        <w:lastRenderedPageBreak/>
        <w:t xml:space="preserve">4.1 FLUXOS DE CONHECIMENTO </w:t>
      </w:r>
    </w:p>
    <w:p w14:paraId="668749BE" w14:textId="77777777" w:rsidR="00863FA0" w:rsidRPr="002C0A06" w:rsidRDefault="00863FA0" w:rsidP="00863FA0">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rPr>
      </w:pPr>
      <w:r w:rsidRPr="002C0A06">
        <w:rPr>
          <w:rFonts w:ascii="Times New Roman" w:eastAsia="Times New Roman" w:hAnsi="Times New Roman" w:cs="Times New Roman"/>
          <w:bCs/>
          <w:spacing w:val="-4"/>
          <w:sz w:val="24"/>
          <w:szCs w:val="24"/>
        </w:rPr>
        <w:t>A análise dos quatro mecanismos de transferência de conhecimento no setor metalmecânico da América Latina, digitalização de processos, engenharia de materiais, automação industrial e especialização setorial, encontra suporte em estudos recentes que abordam a reconfiguração das capacidades tecnológicas por meio da integração de novas rotas de produção (OECD, 2023) (Figura 1).</w:t>
      </w:r>
    </w:p>
    <w:p w14:paraId="21D26426" w14:textId="77777777" w:rsidR="00863FA0" w:rsidRPr="002C0A06" w:rsidRDefault="00863FA0" w:rsidP="00863FA0">
      <w:pPr>
        <w:spacing w:line="360" w:lineRule="auto"/>
        <w:jc w:val="center"/>
        <w:rPr>
          <w:rFonts w:ascii="Times New Roman" w:hAnsi="Times New Roman" w:cs="Times New Roman"/>
          <w:spacing w:val="-4"/>
          <w:sz w:val="24"/>
          <w:szCs w:val="24"/>
        </w:rPr>
      </w:pPr>
      <w:r w:rsidRPr="002C0A06">
        <w:rPr>
          <w:rFonts w:ascii="Times New Roman" w:hAnsi="Times New Roman" w:cs="Times New Roman"/>
          <w:noProof/>
          <w:spacing w:val="-4"/>
          <w:sz w:val="24"/>
          <w:szCs w:val="24"/>
        </w:rPr>
        <w:drawing>
          <wp:inline distT="0" distB="0" distL="0" distR="0" wp14:anchorId="5A0BA411" wp14:editId="1C199580">
            <wp:extent cx="4344184" cy="4267200"/>
            <wp:effectExtent l="0" t="0" r="0" b="0"/>
            <wp:docPr id="270935178"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35178" name="Imagem 1" descr="Diagrama&#10;&#10;O conteúdo gerado por IA pode estar incorreto."/>
                    <pic:cNvPicPr/>
                  </pic:nvPicPr>
                  <pic:blipFill>
                    <a:blip r:embed="rId9"/>
                    <a:stretch>
                      <a:fillRect/>
                    </a:stretch>
                  </pic:blipFill>
                  <pic:spPr>
                    <a:xfrm>
                      <a:off x="0" y="0"/>
                      <a:ext cx="4357653" cy="4280431"/>
                    </a:xfrm>
                    <a:prstGeom prst="rect">
                      <a:avLst/>
                    </a:prstGeom>
                  </pic:spPr>
                </pic:pic>
              </a:graphicData>
            </a:graphic>
          </wp:inline>
        </w:drawing>
      </w:r>
    </w:p>
    <w:p w14:paraId="1F58C63F" w14:textId="77777777" w:rsidR="00863FA0" w:rsidRPr="002C0A06" w:rsidRDefault="00863FA0" w:rsidP="00863FA0">
      <w:pPr>
        <w:pBdr>
          <w:top w:val="nil"/>
          <w:left w:val="nil"/>
          <w:bottom w:val="nil"/>
          <w:right w:val="nil"/>
          <w:between w:val="nil"/>
        </w:pBdr>
        <w:spacing w:line="360" w:lineRule="auto"/>
        <w:jc w:val="center"/>
        <w:rPr>
          <w:rFonts w:ascii="Times New Roman" w:eastAsia="Times New Roman" w:hAnsi="Times New Roman" w:cs="Times New Roman"/>
          <w:bCs/>
          <w:spacing w:val="-4"/>
          <w:sz w:val="24"/>
          <w:szCs w:val="24"/>
        </w:rPr>
      </w:pPr>
      <w:r w:rsidRPr="002C0A06">
        <w:rPr>
          <w:rFonts w:ascii="Times New Roman" w:eastAsia="Times New Roman" w:hAnsi="Times New Roman" w:cs="Times New Roman"/>
          <w:bCs/>
          <w:spacing w:val="-4"/>
          <w:sz w:val="24"/>
          <w:szCs w:val="24"/>
        </w:rPr>
        <w:t>Figura 1. Fluxos de conhecimento no setor metalmecânico da América Latina</w:t>
      </w:r>
    </w:p>
    <w:p w14:paraId="76AC5EC9" w14:textId="77777777" w:rsidR="004622C9" w:rsidRDefault="004622C9" w:rsidP="004622C9">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u w:val="single"/>
        </w:rPr>
      </w:pPr>
    </w:p>
    <w:p w14:paraId="03C62BAA" w14:textId="637E1304" w:rsidR="004622C9" w:rsidRPr="002C0A06" w:rsidRDefault="004622C9" w:rsidP="004622C9">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rPr>
      </w:pPr>
      <w:r w:rsidRPr="002C0A06">
        <w:rPr>
          <w:rFonts w:ascii="Times New Roman" w:eastAsia="Times New Roman" w:hAnsi="Times New Roman" w:cs="Times New Roman"/>
          <w:bCs/>
          <w:spacing w:val="-4"/>
          <w:sz w:val="24"/>
          <w:szCs w:val="24"/>
          <w:u w:val="single"/>
        </w:rPr>
        <w:t>- Digitalização de processos</w:t>
      </w:r>
      <w:r w:rsidRPr="002C0A06">
        <w:rPr>
          <w:rFonts w:ascii="Times New Roman" w:eastAsia="Times New Roman" w:hAnsi="Times New Roman" w:cs="Times New Roman"/>
          <w:bCs/>
          <w:spacing w:val="-4"/>
          <w:sz w:val="24"/>
          <w:szCs w:val="24"/>
        </w:rPr>
        <w:t xml:space="preserve">: A migração de tecnologias tradicionais para processos digitais, como moldagem → impressão 3D e soldagem manual → soldagem robotizada, reflete uma trajetória coerente com os fundamentos da Indústria 4.0. </w:t>
      </w:r>
      <w:proofErr w:type="spellStart"/>
      <w:r w:rsidRPr="002C0A06">
        <w:rPr>
          <w:rFonts w:ascii="Times New Roman" w:eastAsia="Times New Roman" w:hAnsi="Times New Roman" w:cs="Times New Roman"/>
          <w:bCs/>
          <w:spacing w:val="-4"/>
          <w:sz w:val="24"/>
          <w:szCs w:val="24"/>
        </w:rPr>
        <w:t>Kamble</w:t>
      </w:r>
      <w:proofErr w:type="spellEnd"/>
      <w:r w:rsidRPr="002C0A06">
        <w:rPr>
          <w:rFonts w:ascii="Times New Roman" w:eastAsia="Times New Roman" w:hAnsi="Times New Roman" w:cs="Times New Roman"/>
          <w:bCs/>
          <w:spacing w:val="-4"/>
          <w:sz w:val="24"/>
          <w:szCs w:val="24"/>
        </w:rPr>
        <w:t xml:space="preserve">, </w:t>
      </w:r>
      <w:proofErr w:type="spellStart"/>
      <w:r w:rsidRPr="002C0A06">
        <w:rPr>
          <w:rFonts w:ascii="Times New Roman" w:eastAsia="Times New Roman" w:hAnsi="Times New Roman" w:cs="Times New Roman"/>
          <w:bCs/>
          <w:spacing w:val="-4"/>
          <w:sz w:val="24"/>
          <w:szCs w:val="24"/>
        </w:rPr>
        <w:t>Gunasekaran</w:t>
      </w:r>
      <w:proofErr w:type="spellEnd"/>
      <w:r w:rsidRPr="002C0A06">
        <w:rPr>
          <w:rFonts w:ascii="Times New Roman" w:eastAsia="Times New Roman" w:hAnsi="Times New Roman" w:cs="Times New Roman"/>
          <w:bCs/>
          <w:spacing w:val="-4"/>
          <w:sz w:val="24"/>
          <w:szCs w:val="24"/>
        </w:rPr>
        <w:t xml:space="preserve"> e </w:t>
      </w:r>
      <w:proofErr w:type="spellStart"/>
      <w:r w:rsidRPr="002C0A06">
        <w:rPr>
          <w:rFonts w:ascii="Times New Roman" w:eastAsia="Times New Roman" w:hAnsi="Times New Roman" w:cs="Times New Roman"/>
          <w:bCs/>
          <w:spacing w:val="-4"/>
          <w:sz w:val="24"/>
          <w:szCs w:val="24"/>
        </w:rPr>
        <w:t>Dhone</w:t>
      </w:r>
      <w:proofErr w:type="spellEnd"/>
      <w:r w:rsidRPr="002C0A06">
        <w:rPr>
          <w:rFonts w:ascii="Times New Roman" w:eastAsia="Times New Roman" w:hAnsi="Times New Roman" w:cs="Times New Roman"/>
          <w:bCs/>
          <w:spacing w:val="-4"/>
          <w:sz w:val="24"/>
          <w:szCs w:val="24"/>
        </w:rPr>
        <w:t xml:space="preserve"> (2020) observaram que a adoção de tecnologias digitais, em consonância com práticas Lean, melhora o desempenho organizacional sustentável em empresas industriais. Essa integração entre automação digital e gestão </w:t>
      </w:r>
      <w:proofErr w:type="spellStart"/>
      <w:r w:rsidRPr="002C0A06">
        <w:rPr>
          <w:rFonts w:ascii="Times New Roman" w:eastAsia="Times New Roman" w:hAnsi="Times New Roman" w:cs="Times New Roman"/>
          <w:bCs/>
          <w:i/>
          <w:iCs/>
          <w:spacing w:val="-4"/>
          <w:sz w:val="24"/>
          <w:szCs w:val="24"/>
        </w:rPr>
        <w:t>lean</w:t>
      </w:r>
      <w:proofErr w:type="spellEnd"/>
      <w:r w:rsidRPr="002C0A06">
        <w:rPr>
          <w:rFonts w:ascii="Times New Roman" w:eastAsia="Times New Roman" w:hAnsi="Times New Roman" w:cs="Times New Roman"/>
          <w:bCs/>
          <w:spacing w:val="-4"/>
          <w:sz w:val="24"/>
          <w:szCs w:val="24"/>
        </w:rPr>
        <w:t xml:space="preserve"> sustenta a digitalização produtiva (Figura 1).</w:t>
      </w:r>
    </w:p>
    <w:p w14:paraId="6485DC61" w14:textId="77777777" w:rsidR="004622C9" w:rsidRPr="002C0A06" w:rsidRDefault="004622C9" w:rsidP="004622C9">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rPr>
      </w:pPr>
      <w:r w:rsidRPr="002C0A06">
        <w:rPr>
          <w:rFonts w:ascii="Times New Roman" w:eastAsia="Times New Roman" w:hAnsi="Times New Roman" w:cs="Times New Roman"/>
          <w:bCs/>
          <w:spacing w:val="-4"/>
          <w:sz w:val="24"/>
          <w:szCs w:val="24"/>
          <w:u w:val="single"/>
        </w:rPr>
        <w:t>- Engenharia de materiais</w:t>
      </w:r>
      <w:r w:rsidRPr="002C0A06">
        <w:rPr>
          <w:rFonts w:ascii="Times New Roman" w:eastAsia="Times New Roman" w:hAnsi="Times New Roman" w:cs="Times New Roman"/>
          <w:bCs/>
          <w:spacing w:val="-4"/>
          <w:sz w:val="24"/>
          <w:szCs w:val="24"/>
        </w:rPr>
        <w:t xml:space="preserve">: A substituição de materiais básicos por materiais funcionais, metais comuns por ligas especiais, plásticos por biomateriais, acompanha a agenda tecnológica </w:t>
      </w:r>
      <w:r w:rsidRPr="002C0A06">
        <w:rPr>
          <w:rFonts w:ascii="Times New Roman" w:eastAsia="Times New Roman" w:hAnsi="Times New Roman" w:cs="Times New Roman"/>
          <w:bCs/>
          <w:spacing w:val="-4"/>
          <w:sz w:val="24"/>
          <w:szCs w:val="24"/>
        </w:rPr>
        <w:lastRenderedPageBreak/>
        <w:t>global que destaca a importância de materiais multifuncionais para aplicações industriais e biomédicas (ZHANG et al., 2022). Essa trajetória tecnológica contribui para a adequação de componentes a requisitos específicos de desempenho e sustentabilidade (Figura 1).</w:t>
      </w:r>
    </w:p>
    <w:p w14:paraId="7E645F98" w14:textId="77777777" w:rsidR="004622C9" w:rsidRPr="002C0A06" w:rsidRDefault="004622C9" w:rsidP="004622C9">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rPr>
      </w:pPr>
      <w:r w:rsidRPr="002C0A06">
        <w:rPr>
          <w:rFonts w:ascii="Times New Roman" w:eastAsia="Times New Roman" w:hAnsi="Times New Roman" w:cs="Times New Roman"/>
          <w:bCs/>
          <w:spacing w:val="-4"/>
          <w:sz w:val="24"/>
          <w:szCs w:val="24"/>
          <w:u w:val="single"/>
        </w:rPr>
        <w:t>- Automação industrial:</w:t>
      </w:r>
      <w:r w:rsidRPr="002C0A06">
        <w:rPr>
          <w:rFonts w:ascii="Times New Roman" w:eastAsia="Times New Roman" w:hAnsi="Times New Roman" w:cs="Times New Roman"/>
          <w:bCs/>
          <w:spacing w:val="-4"/>
          <w:sz w:val="24"/>
          <w:szCs w:val="24"/>
        </w:rPr>
        <w:t xml:space="preserve"> A transição de processos manuais para automatizados, corte manual → corte CNC, inspeção visual → visão computacional, corresponde à adoção de sistemas de produção inteligente. Essa evolução foi identificada como central para a integração entre processos físicos e cibernéticos, favorecendo eficiência, precisão e conectividade (KAMBLE et al., 2020) (Figura 1).</w:t>
      </w:r>
    </w:p>
    <w:p w14:paraId="6BB45762" w14:textId="77777777" w:rsidR="004622C9" w:rsidRPr="002C0A06" w:rsidRDefault="004622C9" w:rsidP="004622C9">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rPr>
      </w:pPr>
      <w:r w:rsidRPr="002C0A06">
        <w:rPr>
          <w:rFonts w:ascii="Times New Roman" w:eastAsia="Times New Roman" w:hAnsi="Times New Roman" w:cs="Times New Roman"/>
          <w:bCs/>
          <w:spacing w:val="-4"/>
          <w:sz w:val="24"/>
          <w:szCs w:val="24"/>
          <w:u w:val="single"/>
        </w:rPr>
        <w:t>- Especialização setorial</w:t>
      </w:r>
      <w:r w:rsidRPr="002C0A06">
        <w:rPr>
          <w:rFonts w:ascii="Times New Roman" w:eastAsia="Times New Roman" w:hAnsi="Times New Roman" w:cs="Times New Roman"/>
          <w:bCs/>
          <w:spacing w:val="-4"/>
          <w:sz w:val="24"/>
          <w:szCs w:val="24"/>
        </w:rPr>
        <w:t>: A mudança de aplicações gerais para específicas, como tecnologia metalúrgica aplicada ao setor aeroespacial ou plástico para dispositivos médicos, é consistente com modelos setoriais de inovação (PAVITT, 1984; OECD, 2023), onde trajetórias tecnológicas são moldadas pelas competências acumuladas e orientadas a nichos industriais estratégicos (Figura 1).</w:t>
      </w:r>
    </w:p>
    <w:p w14:paraId="1D95BD7E" w14:textId="77777777" w:rsidR="00863FA0" w:rsidRPr="002C0A06" w:rsidRDefault="00863FA0" w:rsidP="00863FA0">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rPr>
      </w:pPr>
      <w:r w:rsidRPr="002C0A06">
        <w:rPr>
          <w:rFonts w:ascii="Times New Roman" w:eastAsia="Times New Roman" w:hAnsi="Times New Roman" w:cs="Times New Roman"/>
          <w:bCs/>
          <w:spacing w:val="-4"/>
          <w:sz w:val="24"/>
          <w:szCs w:val="24"/>
        </w:rPr>
        <w:t>Esses mecanismos evidenciam uma arquitetura de modernização tecnológica ancorada em quatro componentes: digitalização, novos materiais, automação e especialização setorial. Eles correspondem a múltiplas dimensões de transformação industrial que convergem para redefinir competitividade e capacidades tecnológicas na região (Figura 1).</w:t>
      </w:r>
    </w:p>
    <w:p w14:paraId="14934D17" w14:textId="77777777" w:rsidR="00863FA0" w:rsidRPr="002C0A06" w:rsidRDefault="00863FA0" w:rsidP="00863FA0">
      <w:pPr>
        <w:pBdr>
          <w:top w:val="nil"/>
          <w:left w:val="nil"/>
          <w:bottom w:val="nil"/>
          <w:right w:val="nil"/>
          <w:between w:val="nil"/>
        </w:pBdr>
        <w:spacing w:line="360" w:lineRule="auto"/>
        <w:jc w:val="both"/>
        <w:rPr>
          <w:rFonts w:ascii="Times New Roman" w:eastAsia="Times New Roman" w:hAnsi="Times New Roman" w:cs="Times New Roman"/>
          <w:b/>
          <w:spacing w:val="-4"/>
          <w:sz w:val="24"/>
          <w:szCs w:val="24"/>
        </w:rPr>
      </w:pPr>
    </w:p>
    <w:p w14:paraId="72011550" w14:textId="436C86F5" w:rsidR="00863FA0" w:rsidRPr="004622C9" w:rsidRDefault="004622C9" w:rsidP="00863FA0">
      <w:pPr>
        <w:pBdr>
          <w:top w:val="nil"/>
          <w:left w:val="nil"/>
          <w:bottom w:val="nil"/>
          <w:right w:val="nil"/>
          <w:between w:val="nil"/>
        </w:pBdr>
        <w:spacing w:line="360" w:lineRule="auto"/>
        <w:jc w:val="both"/>
        <w:rPr>
          <w:rFonts w:ascii="Times New Roman" w:eastAsia="Times New Roman" w:hAnsi="Times New Roman" w:cs="Times New Roman"/>
          <w:bCs/>
          <w:spacing w:val="-4"/>
          <w:sz w:val="24"/>
          <w:szCs w:val="24"/>
        </w:rPr>
      </w:pPr>
      <w:r w:rsidRPr="004622C9">
        <w:rPr>
          <w:rFonts w:ascii="Times New Roman" w:eastAsia="Times New Roman" w:hAnsi="Times New Roman" w:cs="Times New Roman"/>
          <w:bCs/>
          <w:spacing w:val="-4"/>
          <w:sz w:val="24"/>
          <w:szCs w:val="24"/>
        </w:rPr>
        <w:t xml:space="preserve">4.2 CENTROS DE CONVERGÊNCIA TECNOLÓGICA  </w:t>
      </w:r>
    </w:p>
    <w:p w14:paraId="2E9B937A" w14:textId="77777777" w:rsidR="00863FA0" w:rsidRPr="002C0A06" w:rsidRDefault="00863FA0" w:rsidP="00863FA0">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lang w:eastAsia="en-US"/>
        </w:rPr>
      </w:pPr>
      <w:r w:rsidRPr="002C0A06">
        <w:rPr>
          <w:rFonts w:ascii="Times New Roman" w:eastAsia="Times New Roman" w:hAnsi="Times New Roman" w:cs="Times New Roman"/>
          <w:bCs/>
          <w:spacing w:val="-4"/>
          <w:sz w:val="24"/>
          <w:szCs w:val="24"/>
          <w:lang w:eastAsia="en-US"/>
        </w:rPr>
        <w:t xml:space="preserve">A análise visual do mapa de convergência tecnológica na América Latina identifica quatro centros interligados de inovação: Manufatura Inteligente, Biomateriais Avançados, Metalurgia de Precisão e Automação e Controle, cada um apoiado por códigos CPC/IPC que refletem as principais áreas de operação e interação tecnológica </w:t>
      </w:r>
      <w:r w:rsidRPr="002C0A06">
        <w:rPr>
          <w:rFonts w:ascii="Times New Roman" w:eastAsia="Times New Roman" w:hAnsi="Times New Roman" w:cs="Times New Roman"/>
          <w:bCs/>
          <w:spacing w:val="-4"/>
          <w:sz w:val="24"/>
          <w:szCs w:val="24"/>
        </w:rPr>
        <w:t>(Figura 2)</w:t>
      </w:r>
      <w:r w:rsidRPr="002C0A06">
        <w:rPr>
          <w:rFonts w:ascii="Times New Roman" w:eastAsia="Times New Roman" w:hAnsi="Times New Roman" w:cs="Times New Roman"/>
          <w:bCs/>
          <w:spacing w:val="-4"/>
          <w:sz w:val="24"/>
          <w:szCs w:val="24"/>
          <w:lang w:eastAsia="en-US"/>
        </w:rPr>
        <w:t>.</w:t>
      </w:r>
    </w:p>
    <w:p w14:paraId="73354643" w14:textId="77777777" w:rsidR="004622C9" w:rsidRPr="002C0A06" w:rsidRDefault="004622C9" w:rsidP="004622C9">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lang w:eastAsia="en-US"/>
        </w:rPr>
      </w:pPr>
      <w:r w:rsidRPr="002C0A06">
        <w:rPr>
          <w:rFonts w:ascii="Times New Roman" w:eastAsia="Times New Roman" w:hAnsi="Times New Roman" w:cs="Times New Roman"/>
          <w:bCs/>
          <w:spacing w:val="-4"/>
          <w:sz w:val="24"/>
          <w:szCs w:val="24"/>
          <w:lang w:eastAsia="en-US"/>
        </w:rPr>
        <w:t xml:space="preserve">O </w:t>
      </w:r>
      <w:r w:rsidRPr="002C0A06">
        <w:rPr>
          <w:rFonts w:ascii="Times New Roman" w:eastAsia="Times New Roman" w:hAnsi="Times New Roman" w:cs="Times New Roman"/>
          <w:bCs/>
          <w:spacing w:val="-4"/>
          <w:sz w:val="24"/>
          <w:szCs w:val="24"/>
          <w:u w:val="single"/>
          <w:lang w:eastAsia="en-US"/>
        </w:rPr>
        <w:t>centro de Manufatura Inteligente</w:t>
      </w:r>
      <w:r w:rsidRPr="002C0A06">
        <w:rPr>
          <w:rFonts w:ascii="Times New Roman" w:eastAsia="Times New Roman" w:hAnsi="Times New Roman" w:cs="Times New Roman"/>
          <w:bCs/>
          <w:spacing w:val="-4"/>
          <w:sz w:val="24"/>
          <w:szCs w:val="24"/>
          <w:lang w:eastAsia="en-US"/>
        </w:rPr>
        <w:t xml:space="preserve"> combina rotas como B22F (metalurgia do pó), B29C (moldagem de plásticos) e B33Y (manufatura aditiva), articuladas com conectividade digital (H04W). Tal configuração indica a integração entre técnicas produtivas tradicionais e sistemas industriais digitais, tema amplamente investigado por Liao et al. (2018) e </w:t>
      </w:r>
      <w:proofErr w:type="spellStart"/>
      <w:r w:rsidRPr="002C0A06">
        <w:rPr>
          <w:rFonts w:ascii="Times New Roman" w:eastAsia="Times New Roman" w:hAnsi="Times New Roman" w:cs="Times New Roman"/>
          <w:bCs/>
          <w:spacing w:val="-4"/>
          <w:sz w:val="24"/>
          <w:szCs w:val="24"/>
          <w:lang w:eastAsia="en-US"/>
        </w:rPr>
        <w:t>Kamble</w:t>
      </w:r>
      <w:proofErr w:type="spellEnd"/>
      <w:r w:rsidRPr="002C0A06">
        <w:rPr>
          <w:rFonts w:ascii="Times New Roman" w:eastAsia="Times New Roman" w:hAnsi="Times New Roman" w:cs="Times New Roman"/>
          <w:bCs/>
          <w:spacing w:val="-4"/>
          <w:sz w:val="24"/>
          <w:szCs w:val="24"/>
          <w:lang w:eastAsia="en-US"/>
        </w:rPr>
        <w:t xml:space="preserve"> et al. (2020), que destacam a Indústria 4.0 como vetor de transformação dos processos industriais </w:t>
      </w:r>
      <w:r w:rsidRPr="002C0A06">
        <w:rPr>
          <w:rFonts w:ascii="Times New Roman" w:eastAsia="Times New Roman" w:hAnsi="Times New Roman" w:cs="Times New Roman"/>
          <w:bCs/>
          <w:spacing w:val="-4"/>
          <w:sz w:val="24"/>
          <w:szCs w:val="24"/>
        </w:rPr>
        <w:t>(Figura 2)</w:t>
      </w:r>
      <w:r w:rsidRPr="002C0A06">
        <w:rPr>
          <w:rFonts w:ascii="Times New Roman" w:eastAsia="Times New Roman" w:hAnsi="Times New Roman" w:cs="Times New Roman"/>
          <w:bCs/>
          <w:spacing w:val="-4"/>
          <w:sz w:val="24"/>
          <w:szCs w:val="24"/>
          <w:lang w:eastAsia="en-US"/>
        </w:rPr>
        <w:t>.</w:t>
      </w:r>
    </w:p>
    <w:p w14:paraId="5DD57B63" w14:textId="77777777" w:rsidR="004622C9" w:rsidRPr="002C0A06" w:rsidRDefault="004622C9" w:rsidP="004622C9">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lang w:eastAsia="en-US"/>
        </w:rPr>
      </w:pPr>
      <w:r w:rsidRPr="002C0A06">
        <w:rPr>
          <w:rFonts w:ascii="Times New Roman" w:eastAsia="Times New Roman" w:hAnsi="Times New Roman" w:cs="Times New Roman"/>
          <w:bCs/>
          <w:spacing w:val="-4"/>
          <w:sz w:val="24"/>
          <w:szCs w:val="24"/>
          <w:lang w:eastAsia="en-US"/>
        </w:rPr>
        <w:t xml:space="preserve">O </w:t>
      </w:r>
      <w:r w:rsidRPr="002C0A06">
        <w:rPr>
          <w:rFonts w:ascii="Times New Roman" w:eastAsia="Times New Roman" w:hAnsi="Times New Roman" w:cs="Times New Roman"/>
          <w:bCs/>
          <w:spacing w:val="-4"/>
          <w:sz w:val="24"/>
          <w:szCs w:val="24"/>
          <w:u w:val="single"/>
          <w:lang w:eastAsia="en-US"/>
        </w:rPr>
        <w:t>centro de Biomateriais Avançados</w:t>
      </w:r>
      <w:r w:rsidRPr="002C0A06">
        <w:rPr>
          <w:rFonts w:ascii="Times New Roman" w:eastAsia="Times New Roman" w:hAnsi="Times New Roman" w:cs="Times New Roman"/>
          <w:bCs/>
          <w:spacing w:val="-4"/>
          <w:sz w:val="24"/>
          <w:szCs w:val="24"/>
          <w:lang w:eastAsia="en-US"/>
        </w:rPr>
        <w:t xml:space="preserve">, identificado por códigos A61C e A61L, concentra-se em aplicações médicas e odontológicas, com poucos vínculos com os demais centros. Essa estrutura é compatível com a literatura que mostra competências emergentes da região em biotecnologias aplicadas à saúde, mas com integração limitada a outros setores industriais. Políticas </w:t>
      </w:r>
      <w:r w:rsidRPr="002C0A06">
        <w:rPr>
          <w:rFonts w:ascii="Times New Roman" w:eastAsia="Times New Roman" w:hAnsi="Times New Roman" w:cs="Times New Roman"/>
          <w:bCs/>
          <w:spacing w:val="-4"/>
          <w:sz w:val="24"/>
          <w:szCs w:val="24"/>
          <w:lang w:eastAsia="en-US"/>
        </w:rPr>
        <w:lastRenderedPageBreak/>
        <w:t>de especialização regional podem favorecer a consolidação dessa rota (MCCANN; ORTEGA</w:t>
      </w:r>
      <w:r w:rsidRPr="002C0A06">
        <w:rPr>
          <w:rFonts w:ascii="Times New Roman" w:eastAsia="Times New Roman" w:hAnsi="Times New Roman" w:cs="Times New Roman"/>
          <w:bCs/>
          <w:spacing w:val="-4"/>
          <w:sz w:val="24"/>
          <w:szCs w:val="24"/>
          <w:lang w:eastAsia="en-US"/>
        </w:rPr>
        <w:noBreakHyphen/>
        <w:t xml:space="preserve">ARGILÉS, 2021) </w:t>
      </w:r>
      <w:r w:rsidRPr="002C0A06">
        <w:rPr>
          <w:rFonts w:ascii="Times New Roman" w:eastAsia="Times New Roman" w:hAnsi="Times New Roman" w:cs="Times New Roman"/>
          <w:bCs/>
          <w:spacing w:val="-4"/>
          <w:sz w:val="24"/>
          <w:szCs w:val="24"/>
        </w:rPr>
        <w:t>(Figura 2)</w:t>
      </w:r>
      <w:r w:rsidRPr="002C0A06">
        <w:rPr>
          <w:rFonts w:ascii="Times New Roman" w:eastAsia="Times New Roman" w:hAnsi="Times New Roman" w:cs="Times New Roman"/>
          <w:bCs/>
          <w:spacing w:val="-4"/>
          <w:sz w:val="24"/>
          <w:szCs w:val="24"/>
          <w:lang w:eastAsia="en-US"/>
        </w:rPr>
        <w:t>.</w:t>
      </w:r>
    </w:p>
    <w:p w14:paraId="61EB7954" w14:textId="77777777" w:rsidR="004622C9" w:rsidRPr="002C0A06" w:rsidRDefault="004622C9" w:rsidP="004622C9">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lang w:eastAsia="en-US"/>
        </w:rPr>
      </w:pPr>
      <w:r w:rsidRPr="002C0A06">
        <w:rPr>
          <w:rFonts w:ascii="Times New Roman" w:eastAsia="Times New Roman" w:hAnsi="Times New Roman" w:cs="Times New Roman"/>
          <w:bCs/>
          <w:spacing w:val="-4"/>
          <w:sz w:val="24"/>
          <w:szCs w:val="24"/>
          <w:lang w:eastAsia="en-US"/>
        </w:rPr>
        <w:t xml:space="preserve">O </w:t>
      </w:r>
      <w:r w:rsidRPr="002C0A06">
        <w:rPr>
          <w:rFonts w:ascii="Times New Roman" w:eastAsia="Times New Roman" w:hAnsi="Times New Roman" w:cs="Times New Roman"/>
          <w:bCs/>
          <w:spacing w:val="-4"/>
          <w:sz w:val="24"/>
          <w:szCs w:val="24"/>
          <w:u w:val="single"/>
          <w:lang w:eastAsia="en-US"/>
        </w:rPr>
        <w:t>centro de Metalurgia de Precisão</w:t>
      </w:r>
      <w:r w:rsidRPr="002C0A06">
        <w:rPr>
          <w:rFonts w:ascii="Times New Roman" w:eastAsia="Times New Roman" w:hAnsi="Times New Roman" w:cs="Times New Roman"/>
          <w:bCs/>
          <w:spacing w:val="-4"/>
          <w:sz w:val="24"/>
          <w:szCs w:val="24"/>
          <w:lang w:eastAsia="en-US"/>
        </w:rPr>
        <w:t xml:space="preserve"> atua como conector entre rotas consolidadas (B22F, B23K) e emergentes (B33Y), refletindo tendências mundiais de uso combinado de metalurgia do pó e manufatura aditiva em setores como aeroespacial e biomédico (TIAN et al., 2022). Essa convergência materializa-se em maior desempenho mecânico e menor desperdício, conforme evidenciado por estudos especializados </w:t>
      </w:r>
      <w:r w:rsidRPr="002C0A06">
        <w:rPr>
          <w:rFonts w:ascii="Times New Roman" w:eastAsia="Times New Roman" w:hAnsi="Times New Roman" w:cs="Times New Roman"/>
          <w:bCs/>
          <w:spacing w:val="-4"/>
          <w:sz w:val="24"/>
          <w:szCs w:val="24"/>
        </w:rPr>
        <w:t>(Figura 2)</w:t>
      </w:r>
      <w:r w:rsidRPr="002C0A06">
        <w:rPr>
          <w:rFonts w:ascii="Times New Roman" w:eastAsia="Times New Roman" w:hAnsi="Times New Roman" w:cs="Times New Roman"/>
          <w:bCs/>
          <w:spacing w:val="-4"/>
          <w:sz w:val="24"/>
          <w:szCs w:val="24"/>
          <w:lang w:eastAsia="en-US"/>
        </w:rPr>
        <w:t>.</w:t>
      </w:r>
    </w:p>
    <w:p w14:paraId="219A68BB" w14:textId="77777777" w:rsidR="004622C9" w:rsidRPr="002C0A06" w:rsidRDefault="004622C9" w:rsidP="004622C9">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lang w:eastAsia="en-US"/>
        </w:rPr>
      </w:pPr>
      <w:r w:rsidRPr="002C0A06">
        <w:rPr>
          <w:rFonts w:ascii="Times New Roman" w:eastAsia="Times New Roman" w:hAnsi="Times New Roman" w:cs="Times New Roman"/>
          <w:bCs/>
          <w:spacing w:val="-4"/>
          <w:sz w:val="24"/>
          <w:szCs w:val="24"/>
          <w:lang w:eastAsia="en-US"/>
        </w:rPr>
        <w:t xml:space="preserve">O </w:t>
      </w:r>
      <w:r w:rsidRPr="002C0A06">
        <w:rPr>
          <w:rFonts w:ascii="Times New Roman" w:eastAsia="Times New Roman" w:hAnsi="Times New Roman" w:cs="Times New Roman"/>
          <w:bCs/>
          <w:spacing w:val="-4"/>
          <w:sz w:val="24"/>
          <w:szCs w:val="24"/>
          <w:u w:val="single"/>
          <w:lang w:eastAsia="en-US"/>
        </w:rPr>
        <w:t>centro de Automação e Controle</w:t>
      </w:r>
      <w:r w:rsidRPr="002C0A06">
        <w:rPr>
          <w:rFonts w:ascii="Times New Roman" w:eastAsia="Times New Roman" w:hAnsi="Times New Roman" w:cs="Times New Roman"/>
          <w:bCs/>
          <w:spacing w:val="-4"/>
          <w:sz w:val="24"/>
          <w:szCs w:val="24"/>
          <w:lang w:eastAsia="en-US"/>
        </w:rPr>
        <w:t xml:space="preserve">, associado aos códigos H04L e H04W, funciona como infraestrutura digital habilitadora, oferecendo base para a integração das demais rotas tecnológicas. Essa estrutura é característica de ambientes de produção </w:t>
      </w:r>
      <w:proofErr w:type="spellStart"/>
      <w:r w:rsidRPr="002C0A06">
        <w:rPr>
          <w:rFonts w:ascii="Times New Roman" w:eastAsia="Times New Roman" w:hAnsi="Times New Roman" w:cs="Times New Roman"/>
          <w:bCs/>
          <w:spacing w:val="-4"/>
          <w:sz w:val="24"/>
          <w:szCs w:val="24"/>
          <w:lang w:eastAsia="en-US"/>
        </w:rPr>
        <w:t>ciberfísica</w:t>
      </w:r>
      <w:proofErr w:type="spellEnd"/>
      <w:r w:rsidRPr="002C0A06">
        <w:rPr>
          <w:rFonts w:ascii="Times New Roman" w:eastAsia="Times New Roman" w:hAnsi="Times New Roman" w:cs="Times New Roman"/>
          <w:bCs/>
          <w:spacing w:val="-4"/>
          <w:sz w:val="24"/>
          <w:szCs w:val="24"/>
          <w:lang w:eastAsia="en-US"/>
        </w:rPr>
        <w:t xml:space="preserve">, integrados via sensores e redes industriais, conforme enfatizado por Lu (2017) e </w:t>
      </w:r>
      <w:proofErr w:type="spellStart"/>
      <w:r w:rsidRPr="002C0A06">
        <w:rPr>
          <w:rFonts w:ascii="Times New Roman" w:eastAsia="Times New Roman" w:hAnsi="Times New Roman" w:cs="Times New Roman"/>
          <w:bCs/>
          <w:spacing w:val="-4"/>
          <w:sz w:val="24"/>
          <w:szCs w:val="24"/>
          <w:lang w:eastAsia="en-US"/>
        </w:rPr>
        <w:t>Zhong</w:t>
      </w:r>
      <w:proofErr w:type="spellEnd"/>
      <w:r w:rsidRPr="002C0A06">
        <w:rPr>
          <w:rFonts w:ascii="Times New Roman" w:eastAsia="Times New Roman" w:hAnsi="Times New Roman" w:cs="Times New Roman"/>
          <w:bCs/>
          <w:spacing w:val="-4"/>
          <w:sz w:val="24"/>
          <w:szCs w:val="24"/>
          <w:lang w:eastAsia="en-US"/>
        </w:rPr>
        <w:t xml:space="preserve"> et al. (2017) </w:t>
      </w:r>
      <w:r w:rsidRPr="002C0A06">
        <w:rPr>
          <w:rFonts w:ascii="Times New Roman" w:eastAsia="Times New Roman" w:hAnsi="Times New Roman" w:cs="Times New Roman"/>
          <w:bCs/>
          <w:spacing w:val="-4"/>
          <w:sz w:val="24"/>
          <w:szCs w:val="24"/>
        </w:rPr>
        <w:t>(Figura 2)</w:t>
      </w:r>
      <w:r w:rsidRPr="002C0A06">
        <w:rPr>
          <w:rFonts w:ascii="Times New Roman" w:eastAsia="Times New Roman" w:hAnsi="Times New Roman" w:cs="Times New Roman"/>
          <w:bCs/>
          <w:spacing w:val="-4"/>
          <w:sz w:val="24"/>
          <w:szCs w:val="24"/>
          <w:lang w:eastAsia="en-US"/>
        </w:rPr>
        <w:t>.</w:t>
      </w:r>
    </w:p>
    <w:p w14:paraId="32FF53E1" w14:textId="77777777" w:rsidR="00863FA0" w:rsidRPr="002C0A06" w:rsidRDefault="00863FA0" w:rsidP="00863FA0">
      <w:pPr>
        <w:pBdr>
          <w:top w:val="nil"/>
          <w:left w:val="nil"/>
          <w:bottom w:val="nil"/>
          <w:right w:val="nil"/>
          <w:between w:val="nil"/>
        </w:pBdr>
        <w:spacing w:line="360" w:lineRule="auto"/>
        <w:jc w:val="center"/>
        <w:rPr>
          <w:rFonts w:ascii="Times New Roman" w:eastAsia="Times New Roman" w:hAnsi="Times New Roman" w:cs="Times New Roman"/>
          <w:bCs/>
          <w:spacing w:val="-4"/>
          <w:sz w:val="24"/>
          <w:szCs w:val="24"/>
          <w:lang w:eastAsia="en-US"/>
        </w:rPr>
      </w:pPr>
      <w:r w:rsidRPr="002C0A06">
        <w:rPr>
          <w:rFonts w:ascii="Times New Roman" w:eastAsia="Times New Roman" w:hAnsi="Times New Roman" w:cs="Times New Roman"/>
          <w:bCs/>
          <w:noProof/>
          <w:spacing w:val="-4"/>
          <w:sz w:val="24"/>
          <w:szCs w:val="24"/>
          <w:lang w:eastAsia="en-US"/>
        </w:rPr>
        <w:drawing>
          <wp:inline distT="0" distB="0" distL="0" distR="0" wp14:anchorId="635CB674" wp14:editId="672F1C06">
            <wp:extent cx="5178446" cy="5137150"/>
            <wp:effectExtent l="0" t="0" r="3175" b="6350"/>
            <wp:docPr id="150449413" name="Imagem 1" descr="Diagrama, Esquemát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9413" name="Imagem 1" descr="Diagrama, Esquemático&#10;&#10;O conteúdo gerado por IA pode estar incorreto."/>
                    <pic:cNvPicPr/>
                  </pic:nvPicPr>
                  <pic:blipFill>
                    <a:blip r:embed="rId10"/>
                    <a:stretch>
                      <a:fillRect/>
                    </a:stretch>
                  </pic:blipFill>
                  <pic:spPr>
                    <a:xfrm>
                      <a:off x="0" y="0"/>
                      <a:ext cx="5198013" cy="5156561"/>
                    </a:xfrm>
                    <a:prstGeom prst="rect">
                      <a:avLst/>
                    </a:prstGeom>
                  </pic:spPr>
                </pic:pic>
              </a:graphicData>
            </a:graphic>
          </wp:inline>
        </w:drawing>
      </w:r>
    </w:p>
    <w:p w14:paraId="0841BFA0" w14:textId="77777777" w:rsidR="00863FA0" w:rsidRPr="002C0A06" w:rsidRDefault="00863FA0" w:rsidP="00863FA0">
      <w:pPr>
        <w:pBdr>
          <w:top w:val="nil"/>
          <w:left w:val="nil"/>
          <w:bottom w:val="nil"/>
          <w:right w:val="nil"/>
          <w:between w:val="nil"/>
        </w:pBdr>
        <w:spacing w:line="360" w:lineRule="auto"/>
        <w:jc w:val="center"/>
        <w:rPr>
          <w:rFonts w:ascii="Times New Roman" w:eastAsia="Times New Roman" w:hAnsi="Times New Roman" w:cs="Times New Roman"/>
          <w:bCs/>
          <w:spacing w:val="-4"/>
          <w:sz w:val="24"/>
          <w:szCs w:val="24"/>
          <w:lang w:eastAsia="en-US"/>
        </w:rPr>
      </w:pPr>
      <w:r w:rsidRPr="002C0A06">
        <w:rPr>
          <w:rFonts w:ascii="Times New Roman" w:eastAsia="Times New Roman" w:hAnsi="Times New Roman" w:cs="Times New Roman"/>
          <w:bCs/>
          <w:spacing w:val="-4"/>
          <w:sz w:val="24"/>
          <w:szCs w:val="24"/>
          <w:lang w:eastAsia="en-US"/>
        </w:rPr>
        <w:t>Figura 2. Mapa de convergência tecnológica na América Latina</w:t>
      </w:r>
      <w:r>
        <w:rPr>
          <w:rFonts w:ascii="Times New Roman" w:eastAsia="Times New Roman" w:hAnsi="Times New Roman" w:cs="Times New Roman"/>
          <w:bCs/>
          <w:spacing w:val="-4"/>
          <w:sz w:val="24"/>
          <w:szCs w:val="24"/>
          <w:lang w:eastAsia="en-US"/>
        </w:rPr>
        <w:t xml:space="preserve"> conforme código CPC/IPC</w:t>
      </w:r>
    </w:p>
    <w:p w14:paraId="5D610B48" w14:textId="77777777" w:rsidR="00863FA0" w:rsidRPr="002C0A06" w:rsidRDefault="00863FA0" w:rsidP="00863FA0">
      <w:pPr>
        <w:pBdr>
          <w:top w:val="nil"/>
          <w:left w:val="nil"/>
          <w:bottom w:val="nil"/>
          <w:right w:val="nil"/>
          <w:between w:val="nil"/>
        </w:pBdr>
        <w:spacing w:line="360" w:lineRule="auto"/>
        <w:jc w:val="both"/>
        <w:rPr>
          <w:rFonts w:ascii="Times New Roman" w:eastAsia="Times New Roman" w:hAnsi="Times New Roman" w:cs="Times New Roman"/>
          <w:bCs/>
          <w:spacing w:val="-4"/>
          <w:sz w:val="24"/>
          <w:szCs w:val="24"/>
          <w:lang w:eastAsia="en-US"/>
        </w:rPr>
      </w:pPr>
    </w:p>
    <w:p w14:paraId="4345B126" w14:textId="77777777" w:rsidR="00863FA0" w:rsidRPr="002C0A06" w:rsidRDefault="00863FA0" w:rsidP="00863FA0">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lang w:eastAsia="en-US"/>
        </w:rPr>
      </w:pPr>
      <w:r w:rsidRPr="002C0A06">
        <w:rPr>
          <w:rFonts w:ascii="Times New Roman" w:eastAsia="Times New Roman" w:hAnsi="Times New Roman" w:cs="Times New Roman"/>
          <w:bCs/>
          <w:spacing w:val="-4"/>
          <w:sz w:val="24"/>
          <w:szCs w:val="24"/>
          <w:lang w:eastAsia="en-US"/>
        </w:rPr>
        <w:lastRenderedPageBreak/>
        <w:t xml:space="preserve">Em síntese, a leitura conjunta dos centros sugere que a maturidade tecnológica da região depende tanto da consolidação de hubs especializados, como em biomateriais e metalurgia avançada, quanto do fortalecimento da interconectividade digital e de plataformas de manufatura integrada, em consonância com diretrizes de inovação tecnológica regional (OECD, 2023; PHAAL et al., 2004) </w:t>
      </w:r>
      <w:r w:rsidRPr="002C0A06">
        <w:rPr>
          <w:rFonts w:ascii="Times New Roman" w:eastAsia="Times New Roman" w:hAnsi="Times New Roman" w:cs="Times New Roman"/>
          <w:bCs/>
          <w:spacing w:val="-4"/>
          <w:sz w:val="24"/>
          <w:szCs w:val="24"/>
        </w:rPr>
        <w:t>(Figura 2)</w:t>
      </w:r>
      <w:r w:rsidRPr="002C0A06">
        <w:rPr>
          <w:rFonts w:ascii="Times New Roman" w:eastAsia="Times New Roman" w:hAnsi="Times New Roman" w:cs="Times New Roman"/>
          <w:bCs/>
          <w:spacing w:val="-4"/>
          <w:sz w:val="24"/>
          <w:szCs w:val="24"/>
          <w:lang w:eastAsia="en-US"/>
        </w:rPr>
        <w:t>.</w:t>
      </w:r>
    </w:p>
    <w:p w14:paraId="63A9DC77" w14:textId="77777777" w:rsidR="00863FA0" w:rsidRPr="002C0A06" w:rsidRDefault="00863FA0" w:rsidP="00863FA0">
      <w:pPr>
        <w:pBdr>
          <w:top w:val="nil"/>
          <w:left w:val="nil"/>
          <w:bottom w:val="nil"/>
          <w:right w:val="nil"/>
          <w:between w:val="nil"/>
        </w:pBdr>
        <w:spacing w:line="360" w:lineRule="auto"/>
        <w:jc w:val="both"/>
        <w:rPr>
          <w:rFonts w:ascii="Times New Roman" w:eastAsia="Times New Roman" w:hAnsi="Times New Roman" w:cs="Times New Roman"/>
          <w:b/>
          <w:spacing w:val="-4"/>
          <w:sz w:val="24"/>
          <w:szCs w:val="24"/>
        </w:rPr>
      </w:pPr>
    </w:p>
    <w:p w14:paraId="067B9D05" w14:textId="356D1DB5" w:rsidR="00863FA0" w:rsidRPr="004622C9" w:rsidRDefault="004622C9" w:rsidP="00863FA0">
      <w:pPr>
        <w:pBdr>
          <w:top w:val="nil"/>
          <w:left w:val="nil"/>
          <w:bottom w:val="nil"/>
          <w:right w:val="nil"/>
          <w:between w:val="nil"/>
        </w:pBdr>
        <w:spacing w:line="360" w:lineRule="auto"/>
        <w:jc w:val="both"/>
        <w:rPr>
          <w:rFonts w:ascii="Times New Roman" w:eastAsia="Times New Roman" w:hAnsi="Times New Roman" w:cs="Times New Roman"/>
          <w:bCs/>
          <w:spacing w:val="-4"/>
          <w:sz w:val="24"/>
          <w:szCs w:val="24"/>
        </w:rPr>
      </w:pPr>
      <w:r w:rsidRPr="004622C9">
        <w:rPr>
          <w:rFonts w:ascii="Times New Roman" w:eastAsia="Times New Roman" w:hAnsi="Times New Roman" w:cs="Times New Roman"/>
          <w:bCs/>
          <w:spacing w:val="-4"/>
          <w:sz w:val="24"/>
          <w:szCs w:val="24"/>
        </w:rPr>
        <w:t xml:space="preserve">4.3 ROTAS TECNOLÓGICAS DOMINANTES   </w:t>
      </w:r>
    </w:p>
    <w:p w14:paraId="4F438FD9" w14:textId="77777777" w:rsidR="00863FA0" w:rsidRPr="002C0A06" w:rsidRDefault="00863FA0" w:rsidP="00863FA0">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lang w:eastAsia="en-US"/>
        </w:rPr>
      </w:pPr>
      <w:r w:rsidRPr="002C0A06">
        <w:rPr>
          <w:rFonts w:ascii="Times New Roman" w:eastAsia="Times New Roman" w:hAnsi="Times New Roman" w:cs="Times New Roman"/>
          <w:bCs/>
          <w:spacing w:val="-4"/>
          <w:sz w:val="24"/>
          <w:szCs w:val="24"/>
          <w:lang w:eastAsia="en-US"/>
        </w:rPr>
        <w:t xml:space="preserve">A análise das rotas tecnológicas no setor metalmecânico da América Latina, representada na figura, revela cinco trajetórias principais: moldagem de plásticos e manufatura aditiva (420 citações), metalurgia do pó e ligas avançadas (255 citações), conectividade e Indústria 4.0 (73 citações), biomateriais para dispositivos médicos (71 citações) e soldagem/corte com automação industrial (60 citações). Cada rota indica um eixo específico de desenvolvimento tecnológico, com diferentes níveis de maturidade e potencial de integração com as transformações da Indústria 4.0 </w:t>
      </w:r>
      <w:r w:rsidRPr="002C0A06">
        <w:rPr>
          <w:rFonts w:ascii="Times New Roman" w:eastAsia="Times New Roman" w:hAnsi="Times New Roman" w:cs="Times New Roman"/>
          <w:bCs/>
          <w:spacing w:val="-4"/>
          <w:sz w:val="24"/>
          <w:szCs w:val="24"/>
        </w:rPr>
        <w:t>(Figura 3)</w:t>
      </w:r>
      <w:r w:rsidRPr="002C0A06">
        <w:rPr>
          <w:rFonts w:ascii="Times New Roman" w:eastAsia="Times New Roman" w:hAnsi="Times New Roman" w:cs="Times New Roman"/>
          <w:bCs/>
          <w:spacing w:val="-4"/>
          <w:sz w:val="24"/>
          <w:szCs w:val="24"/>
          <w:lang w:eastAsia="en-US"/>
        </w:rPr>
        <w:t>.</w:t>
      </w:r>
    </w:p>
    <w:p w14:paraId="5FD01C6F" w14:textId="77777777" w:rsidR="00863FA0" w:rsidRPr="002C0A06" w:rsidRDefault="00863FA0" w:rsidP="00863FA0">
      <w:pPr>
        <w:pStyle w:val="CustomNormal"/>
        <w:spacing w:line="360" w:lineRule="auto"/>
        <w:jc w:val="center"/>
        <w:rPr>
          <w:rFonts w:ascii="Times New Roman" w:eastAsia="Times New Roman" w:hAnsi="Times New Roman" w:cs="Times New Roman"/>
          <w:bCs/>
          <w:spacing w:val="-4"/>
          <w:sz w:val="24"/>
          <w:szCs w:val="24"/>
          <w:lang w:val="pt-BR"/>
        </w:rPr>
      </w:pPr>
      <w:r w:rsidRPr="002C0A06">
        <w:rPr>
          <w:rFonts w:ascii="Times New Roman" w:hAnsi="Times New Roman" w:cs="Times New Roman"/>
          <w:noProof/>
          <w:spacing w:val="-4"/>
          <w:sz w:val="24"/>
          <w:szCs w:val="24"/>
        </w:rPr>
        <w:drawing>
          <wp:inline distT="0" distB="0" distL="0" distR="0" wp14:anchorId="3717EA4E" wp14:editId="2B84935F">
            <wp:extent cx="5505450" cy="3313392"/>
            <wp:effectExtent l="0" t="0" r="0" b="1905"/>
            <wp:docPr id="1970799054" name="Imagem 1"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99054" name="Imagem 1" descr="Gráfico, Gráfico de barras&#10;&#10;O conteúdo gerado por IA pode estar incorreto."/>
                    <pic:cNvPicPr/>
                  </pic:nvPicPr>
                  <pic:blipFill>
                    <a:blip r:embed="rId11"/>
                    <a:stretch>
                      <a:fillRect/>
                    </a:stretch>
                  </pic:blipFill>
                  <pic:spPr>
                    <a:xfrm>
                      <a:off x="0" y="0"/>
                      <a:ext cx="5509399" cy="3315768"/>
                    </a:xfrm>
                    <a:prstGeom prst="rect">
                      <a:avLst/>
                    </a:prstGeom>
                  </pic:spPr>
                </pic:pic>
              </a:graphicData>
            </a:graphic>
          </wp:inline>
        </w:drawing>
      </w:r>
      <w:r w:rsidRPr="002C0A06">
        <w:rPr>
          <w:rFonts w:ascii="Times New Roman" w:eastAsia="Times New Roman" w:hAnsi="Times New Roman" w:cs="Times New Roman"/>
          <w:bCs/>
          <w:spacing w:val="-4"/>
          <w:sz w:val="24"/>
          <w:szCs w:val="24"/>
          <w:lang w:val="pt-BR"/>
        </w:rPr>
        <w:t>Figura 3. Rotas tecnológicas dominantes no setor metalmecânico da América Latina</w:t>
      </w:r>
    </w:p>
    <w:p w14:paraId="4DDFC0D0" w14:textId="77777777" w:rsidR="00863FA0" w:rsidRDefault="00863FA0" w:rsidP="00863FA0">
      <w:pPr>
        <w:pStyle w:val="CustomNormal"/>
        <w:spacing w:line="360" w:lineRule="auto"/>
        <w:rPr>
          <w:rFonts w:ascii="Times New Roman" w:hAnsi="Times New Roman" w:cs="Times New Roman"/>
          <w:spacing w:val="-4"/>
          <w:sz w:val="24"/>
          <w:szCs w:val="24"/>
          <w:lang w:val="pt-BR"/>
        </w:rPr>
      </w:pPr>
    </w:p>
    <w:p w14:paraId="4DC74120" w14:textId="77777777" w:rsidR="0057376B" w:rsidRPr="002C0A06" w:rsidRDefault="0057376B" w:rsidP="0057376B">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lang w:eastAsia="en-US"/>
        </w:rPr>
      </w:pPr>
      <w:r w:rsidRPr="002C0A06">
        <w:rPr>
          <w:rFonts w:ascii="Times New Roman" w:eastAsia="Times New Roman" w:hAnsi="Times New Roman" w:cs="Times New Roman"/>
          <w:bCs/>
          <w:spacing w:val="-4"/>
          <w:sz w:val="24"/>
          <w:szCs w:val="24"/>
          <w:lang w:eastAsia="en-US"/>
        </w:rPr>
        <w:t xml:space="preserve">A </w:t>
      </w:r>
      <w:r w:rsidRPr="002C0A06">
        <w:rPr>
          <w:rFonts w:ascii="Times New Roman" w:eastAsia="Times New Roman" w:hAnsi="Times New Roman" w:cs="Times New Roman"/>
          <w:spacing w:val="-4"/>
          <w:sz w:val="24"/>
          <w:szCs w:val="24"/>
          <w:u w:val="single"/>
          <w:lang w:eastAsia="en-US"/>
        </w:rPr>
        <w:t>moldagem de plásticos associada à manufatura aditiva</w:t>
      </w:r>
      <w:r w:rsidRPr="002C0A06">
        <w:rPr>
          <w:rFonts w:ascii="Times New Roman" w:eastAsia="Times New Roman" w:hAnsi="Times New Roman" w:cs="Times New Roman"/>
          <w:bCs/>
          <w:spacing w:val="-4"/>
          <w:sz w:val="24"/>
          <w:szCs w:val="24"/>
          <w:lang w:eastAsia="en-US"/>
        </w:rPr>
        <w:t xml:space="preserve"> apresenta o maior volume de citações e concentra os esforços mais significativos de inovação na região. Essa rota está alinhada à tendência global de produção flexível, otimização de prototipagem e incorporação de novos </w:t>
      </w:r>
      <w:r w:rsidRPr="002C0A06">
        <w:rPr>
          <w:rFonts w:ascii="Times New Roman" w:eastAsia="Times New Roman" w:hAnsi="Times New Roman" w:cs="Times New Roman"/>
          <w:bCs/>
          <w:spacing w:val="-4"/>
          <w:sz w:val="24"/>
          <w:szCs w:val="24"/>
          <w:lang w:eastAsia="en-US"/>
        </w:rPr>
        <w:lastRenderedPageBreak/>
        <w:t xml:space="preserve">materiais para atender a demandas específicas em setores como automotivo, aeroespacial e biomédico. Estudos apontam que a manufatura aditiva permite reduzir o desperdício de insumos e encurtar ciclos de desenvolvimento, aumentando a competitividade industrial (NGO et al., 2018; THOMPSON et al., 2021). A predominância dessa rota sugere que a América Latina busca inserir-se nas cadeias globais por meio de nichos tecnológicos de produção avançada </w:t>
      </w:r>
      <w:r w:rsidRPr="002C0A06">
        <w:rPr>
          <w:rFonts w:ascii="Times New Roman" w:eastAsia="Times New Roman" w:hAnsi="Times New Roman" w:cs="Times New Roman"/>
          <w:bCs/>
          <w:spacing w:val="-4"/>
          <w:sz w:val="24"/>
          <w:szCs w:val="24"/>
        </w:rPr>
        <w:t>(Figura 3)</w:t>
      </w:r>
      <w:r w:rsidRPr="002C0A06">
        <w:rPr>
          <w:rFonts w:ascii="Times New Roman" w:eastAsia="Times New Roman" w:hAnsi="Times New Roman" w:cs="Times New Roman"/>
          <w:bCs/>
          <w:spacing w:val="-4"/>
          <w:sz w:val="24"/>
          <w:szCs w:val="24"/>
          <w:lang w:eastAsia="en-US"/>
        </w:rPr>
        <w:t>.</w:t>
      </w:r>
    </w:p>
    <w:p w14:paraId="701A3952" w14:textId="77777777" w:rsidR="0057376B" w:rsidRPr="002C0A06" w:rsidRDefault="0057376B" w:rsidP="0057376B">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lang w:eastAsia="en-US"/>
        </w:rPr>
      </w:pPr>
      <w:r w:rsidRPr="002C0A06">
        <w:rPr>
          <w:rFonts w:ascii="Times New Roman" w:eastAsia="Times New Roman" w:hAnsi="Times New Roman" w:cs="Times New Roman"/>
          <w:bCs/>
          <w:spacing w:val="-4"/>
          <w:sz w:val="24"/>
          <w:szCs w:val="24"/>
          <w:lang w:eastAsia="en-US"/>
        </w:rPr>
        <w:t xml:space="preserve">A </w:t>
      </w:r>
      <w:r w:rsidRPr="002C0A06">
        <w:rPr>
          <w:rFonts w:ascii="Times New Roman" w:eastAsia="Times New Roman" w:hAnsi="Times New Roman" w:cs="Times New Roman"/>
          <w:spacing w:val="-4"/>
          <w:sz w:val="24"/>
          <w:szCs w:val="24"/>
          <w:u w:val="single"/>
          <w:lang w:eastAsia="en-US"/>
        </w:rPr>
        <w:t>metalurgia do pó e ligas avançadas</w:t>
      </w:r>
      <w:r w:rsidRPr="002C0A06">
        <w:rPr>
          <w:rFonts w:ascii="Times New Roman" w:eastAsia="Times New Roman" w:hAnsi="Times New Roman" w:cs="Times New Roman"/>
          <w:bCs/>
          <w:spacing w:val="-4"/>
          <w:sz w:val="24"/>
          <w:szCs w:val="24"/>
          <w:lang w:eastAsia="en-US"/>
        </w:rPr>
        <w:t xml:space="preserve"> constitui a segunda rota em relevância, refletindo a capacidade regional de desenvolver componentes com propriedades mecânicas e térmicas específicas. A integração entre metalurgia do pó e processos de manufatura aditiva amplia o leque de aplicações, principalmente em indústrias de energia e transporte, nas quais a exigência por alta performance estrutural é crítica (GAO et al., 2021; ZHANG et al., 202</w:t>
      </w:r>
      <w:r>
        <w:rPr>
          <w:rFonts w:ascii="Times New Roman" w:eastAsia="Times New Roman" w:hAnsi="Times New Roman" w:cs="Times New Roman"/>
          <w:bCs/>
          <w:spacing w:val="-4"/>
          <w:sz w:val="24"/>
          <w:szCs w:val="24"/>
          <w:lang w:eastAsia="en-US"/>
        </w:rPr>
        <w:t>2</w:t>
      </w:r>
      <w:r w:rsidRPr="002C0A06">
        <w:rPr>
          <w:rFonts w:ascii="Times New Roman" w:eastAsia="Times New Roman" w:hAnsi="Times New Roman" w:cs="Times New Roman"/>
          <w:bCs/>
          <w:spacing w:val="-4"/>
          <w:sz w:val="24"/>
          <w:szCs w:val="24"/>
          <w:lang w:eastAsia="en-US"/>
        </w:rPr>
        <w:t xml:space="preserve">). O número expressivo de citações nesta rota indica que a região possui uma base de conhecimento técnico consolidada, mas que ainda pode ser expandida com maior colaboração internacional e especialização em ligas de alto desempenho </w:t>
      </w:r>
      <w:r w:rsidRPr="002C0A06">
        <w:rPr>
          <w:rFonts w:ascii="Times New Roman" w:eastAsia="Times New Roman" w:hAnsi="Times New Roman" w:cs="Times New Roman"/>
          <w:bCs/>
          <w:spacing w:val="-4"/>
          <w:sz w:val="24"/>
          <w:szCs w:val="24"/>
        </w:rPr>
        <w:t>(Figura 3)</w:t>
      </w:r>
      <w:r w:rsidRPr="002C0A06">
        <w:rPr>
          <w:rFonts w:ascii="Times New Roman" w:eastAsia="Times New Roman" w:hAnsi="Times New Roman" w:cs="Times New Roman"/>
          <w:bCs/>
          <w:spacing w:val="-4"/>
          <w:sz w:val="24"/>
          <w:szCs w:val="24"/>
          <w:lang w:eastAsia="en-US"/>
        </w:rPr>
        <w:t>.</w:t>
      </w:r>
    </w:p>
    <w:p w14:paraId="3915F0AE" w14:textId="77777777" w:rsidR="0057376B" w:rsidRPr="002C0A06" w:rsidRDefault="0057376B" w:rsidP="0057376B">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lang w:eastAsia="en-US"/>
        </w:rPr>
      </w:pPr>
      <w:r w:rsidRPr="002C0A06">
        <w:rPr>
          <w:rFonts w:ascii="Times New Roman" w:eastAsia="Times New Roman" w:hAnsi="Times New Roman" w:cs="Times New Roman"/>
          <w:bCs/>
          <w:spacing w:val="-4"/>
          <w:sz w:val="24"/>
          <w:szCs w:val="24"/>
          <w:lang w:eastAsia="en-US"/>
        </w:rPr>
        <w:t xml:space="preserve">A rota de </w:t>
      </w:r>
      <w:r w:rsidRPr="002C0A06">
        <w:rPr>
          <w:rFonts w:ascii="Times New Roman" w:eastAsia="Times New Roman" w:hAnsi="Times New Roman" w:cs="Times New Roman"/>
          <w:spacing w:val="-4"/>
          <w:sz w:val="24"/>
          <w:szCs w:val="24"/>
          <w:u w:val="single"/>
          <w:lang w:eastAsia="en-US"/>
        </w:rPr>
        <w:t>conectividade e Indústria 4.0</w:t>
      </w:r>
      <w:r w:rsidRPr="002C0A06">
        <w:rPr>
          <w:rFonts w:ascii="Times New Roman" w:eastAsia="Times New Roman" w:hAnsi="Times New Roman" w:cs="Times New Roman"/>
          <w:bCs/>
          <w:spacing w:val="-4"/>
          <w:sz w:val="24"/>
          <w:szCs w:val="24"/>
          <w:lang w:eastAsia="en-US"/>
        </w:rPr>
        <w:t xml:space="preserve"> concentra-se em soluções de integração digital, sensoriamento e sistemas </w:t>
      </w:r>
      <w:proofErr w:type="spellStart"/>
      <w:r w:rsidRPr="002C0A06">
        <w:rPr>
          <w:rFonts w:ascii="Times New Roman" w:eastAsia="Times New Roman" w:hAnsi="Times New Roman" w:cs="Times New Roman"/>
          <w:bCs/>
          <w:spacing w:val="-4"/>
          <w:sz w:val="24"/>
          <w:szCs w:val="24"/>
          <w:lang w:eastAsia="en-US"/>
        </w:rPr>
        <w:t>ciberfísicos</w:t>
      </w:r>
      <w:proofErr w:type="spellEnd"/>
      <w:r w:rsidRPr="002C0A06">
        <w:rPr>
          <w:rFonts w:ascii="Times New Roman" w:eastAsia="Times New Roman" w:hAnsi="Times New Roman" w:cs="Times New Roman"/>
          <w:bCs/>
          <w:spacing w:val="-4"/>
          <w:sz w:val="24"/>
          <w:szCs w:val="24"/>
          <w:lang w:eastAsia="en-US"/>
        </w:rPr>
        <w:t xml:space="preserve"> aplicados à manufatura. Embora o volume de citações seja menor, essa trajetória é essencial para viabilizar processos inteligentes e adaptativos, permitindo maior eficiência na produção e manutenção de ativos industriais (LU, 2017; ZHONG et al., 2017). Na América Latina, o avanço dessa rota depende da ampliação da infraestrutura digital e do fortalecimento de políticas de incentivo à inovação em redes industriais conectadas </w:t>
      </w:r>
      <w:r w:rsidRPr="002C0A06">
        <w:rPr>
          <w:rFonts w:ascii="Times New Roman" w:eastAsia="Times New Roman" w:hAnsi="Times New Roman" w:cs="Times New Roman"/>
          <w:bCs/>
          <w:spacing w:val="-4"/>
          <w:sz w:val="24"/>
          <w:szCs w:val="24"/>
        </w:rPr>
        <w:t>(Figura 3)</w:t>
      </w:r>
      <w:r w:rsidRPr="002C0A06">
        <w:rPr>
          <w:rFonts w:ascii="Times New Roman" w:eastAsia="Times New Roman" w:hAnsi="Times New Roman" w:cs="Times New Roman"/>
          <w:bCs/>
          <w:spacing w:val="-4"/>
          <w:sz w:val="24"/>
          <w:szCs w:val="24"/>
          <w:lang w:eastAsia="en-US"/>
        </w:rPr>
        <w:t>.</w:t>
      </w:r>
    </w:p>
    <w:p w14:paraId="19BF20A6" w14:textId="77777777" w:rsidR="0057376B" w:rsidRPr="002C0A06" w:rsidRDefault="0057376B" w:rsidP="0057376B">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lang w:eastAsia="en-US"/>
        </w:rPr>
      </w:pPr>
      <w:r w:rsidRPr="002C0A06">
        <w:rPr>
          <w:rFonts w:ascii="Times New Roman" w:eastAsia="Times New Roman" w:hAnsi="Times New Roman" w:cs="Times New Roman"/>
          <w:bCs/>
          <w:spacing w:val="-4"/>
          <w:sz w:val="24"/>
          <w:szCs w:val="24"/>
          <w:lang w:eastAsia="en-US"/>
        </w:rPr>
        <w:t xml:space="preserve">Os </w:t>
      </w:r>
      <w:r w:rsidRPr="002C0A06">
        <w:rPr>
          <w:rFonts w:ascii="Times New Roman" w:eastAsia="Times New Roman" w:hAnsi="Times New Roman" w:cs="Times New Roman"/>
          <w:spacing w:val="-4"/>
          <w:sz w:val="24"/>
          <w:szCs w:val="24"/>
          <w:u w:val="single"/>
          <w:lang w:eastAsia="en-US"/>
        </w:rPr>
        <w:t>biomateriais aplicados a dispositivos médicos</w:t>
      </w:r>
      <w:r w:rsidRPr="002C0A06">
        <w:rPr>
          <w:rFonts w:ascii="Times New Roman" w:eastAsia="Times New Roman" w:hAnsi="Times New Roman" w:cs="Times New Roman"/>
          <w:bCs/>
          <w:spacing w:val="-4"/>
          <w:sz w:val="24"/>
          <w:szCs w:val="24"/>
          <w:lang w:eastAsia="en-US"/>
        </w:rPr>
        <w:t xml:space="preserve"> configuram uma rota emergente, com foco na pesquisa de materiais biocompatíveis e soluções para implantes e próteses. Apesar do baixo volume de citações, esta trajetória possui relevância estratégica para a diversificação industrial, integrando capacidades de manufatura avançada com demandas do setor de saúde. Estudos recentes indicam que o desenvolvimento de biomateriais na América Latina ainda enfrenta limitações em termos de transferência tecnológica e escalabilidade, exigindo maior articulação entre universidades e indústrias (LOPEZ</w:t>
      </w:r>
      <w:r w:rsidRPr="002C0A06">
        <w:rPr>
          <w:rFonts w:ascii="Times New Roman" w:eastAsia="Times New Roman" w:hAnsi="Times New Roman" w:cs="Times New Roman"/>
          <w:bCs/>
          <w:spacing w:val="-4"/>
          <w:sz w:val="24"/>
          <w:szCs w:val="24"/>
          <w:lang w:eastAsia="en-US"/>
        </w:rPr>
        <w:noBreakHyphen/>
        <w:t xml:space="preserve">NAVARRETE et al., 2022) </w:t>
      </w:r>
      <w:r w:rsidRPr="002C0A06">
        <w:rPr>
          <w:rFonts w:ascii="Times New Roman" w:eastAsia="Times New Roman" w:hAnsi="Times New Roman" w:cs="Times New Roman"/>
          <w:bCs/>
          <w:spacing w:val="-4"/>
          <w:sz w:val="24"/>
          <w:szCs w:val="24"/>
        </w:rPr>
        <w:t>(Figura 3)</w:t>
      </w:r>
      <w:r w:rsidRPr="002C0A06">
        <w:rPr>
          <w:rFonts w:ascii="Times New Roman" w:eastAsia="Times New Roman" w:hAnsi="Times New Roman" w:cs="Times New Roman"/>
          <w:bCs/>
          <w:spacing w:val="-4"/>
          <w:sz w:val="24"/>
          <w:szCs w:val="24"/>
          <w:lang w:eastAsia="en-US"/>
        </w:rPr>
        <w:t>.</w:t>
      </w:r>
    </w:p>
    <w:p w14:paraId="54544730" w14:textId="77777777" w:rsidR="0057376B" w:rsidRPr="002C0A06" w:rsidRDefault="0057376B" w:rsidP="0057376B">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lang w:eastAsia="en-US"/>
        </w:rPr>
      </w:pPr>
      <w:r w:rsidRPr="002C0A06">
        <w:rPr>
          <w:rFonts w:ascii="Times New Roman" w:eastAsia="Times New Roman" w:hAnsi="Times New Roman" w:cs="Times New Roman"/>
          <w:bCs/>
          <w:spacing w:val="-4"/>
          <w:sz w:val="24"/>
          <w:szCs w:val="24"/>
          <w:lang w:eastAsia="en-US"/>
        </w:rPr>
        <w:t xml:space="preserve">Por fim, a </w:t>
      </w:r>
      <w:r w:rsidRPr="002C0A06">
        <w:rPr>
          <w:rFonts w:ascii="Times New Roman" w:eastAsia="Times New Roman" w:hAnsi="Times New Roman" w:cs="Times New Roman"/>
          <w:spacing w:val="-4"/>
          <w:sz w:val="24"/>
          <w:szCs w:val="24"/>
          <w:u w:val="single"/>
          <w:lang w:eastAsia="en-US"/>
        </w:rPr>
        <w:t>rota de soldagem e corte com automação industrial</w:t>
      </w:r>
      <w:r w:rsidRPr="002C0A06">
        <w:rPr>
          <w:rFonts w:ascii="Times New Roman" w:eastAsia="Times New Roman" w:hAnsi="Times New Roman" w:cs="Times New Roman"/>
          <w:bCs/>
          <w:spacing w:val="-4"/>
          <w:sz w:val="24"/>
          <w:szCs w:val="24"/>
          <w:lang w:eastAsia="en-US"/>
        </w:rPr>
        <w:t xml:space="preserve"> representa um eixo tecnológico voltado à modernização de processos produtivos existentes. A literatura mostra que o uso de robótica e controle automatizado em processos de união e corte contribui para reduzir variabilidades e aumentar a confiabilidade operacional (ZHONG et al., 2017). Embora com menor expressão em termos de citações, essa rota é essencial para a consolidação da manufatura avançada, pois integra métodos tradicionais a tecnologias digitais, favorecendo ganhos de produtividade.</w:t>
      </w:r>
    </w:p>
    <w:p w14:paraId="403BCFD5" w14:textId="77777777" w:rsidR="0057376B" w:rsidRPr="002C0A06" w:rsidRDefault="0057376B" w:rsidP="0057376B">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lang w:eastAsia="en-US"/>
        </w:rPr>
      </w:pPr>
      <w:r w:rsidRPr="002C0A06">
        <w:rPr>
          <w:rFonts w:ascii="Times New Roman" w:eastAsia="Times New Roman" w:hAnsi="Times New Roman" w:cs="Times New Roman"/>
          <w:bCs/>
          <w:spacing w:val="-4"/>
          <w:sz w:val="24"/>
          <w:szCs w:val="24"/>
          <w:lang w:eastAsia="en-US"/>
        </w:rPr>
        <w:lastRenderedPageBreak/>
        <w:t>A análise dessas rotas evidencia que a América Latina apresenta capacidades diferenciadas em manufatura avançada, com destaque para a moldagem de plásticos e metalurgia de precisão, mas enfrenta desafios para consolidar trajetórias emergentes em conectividade industrial e biomateriais. O alinhamento entre essas rotas e políticas de especialização inteligente pode fortalecer a inserção da região em cadeias globais de valor, conforme destacado por McCann e Ortega</w:t>
      </w:r>
      <w:r w:rsidRPr="002C0A06">
        <w:rPr>
          <w:rFonts w:ascii="Times New Roman" w:eastAsia="Times New Roman" w:hAnsi="Times New Roman" w:cs="Times New Roman"/>
          <w:bCs/>
          <w:spacing w:val="-4"/>
          <w:sz w:val="24"/>
          <w:szCs w:val="24"/>
          <w:lang w:eastAsia="en-US"/>
        </w:rPr>
        <w:noBreakHyphen/>
      </w:r>
      <w:proofErr w:type="spellStart"/>
      <w:r w:rsidRPr="002C0A06">
        <w:rPr>
          <w:rFonts w:ascii="Times New Roman" w:eastAsia="Times New Roman" w:hAnsi="Times New Roman" w:cs="Times New Roman"/>
          <w:bCs/>
          <w:spacing w:val="-4"/>
          <w:sz w:val="24"/>
          <w:szCs w:val="24"/>
          <w:lang w:eastAsia="en-US"/>
        </w:rPr>
        <w:t>Argilés</w:t>
      </w:r>
      <w:proofErr w:type="spellEnd"/>
      <w:r w:rsidRPr="002C0A06">
        <w:rPr>
          <w:rFonts w:ascii="Times New Roman" w:eastAsia="Times New Roman" w:hAnsi="Times New Roman" w:cs="Times New Roman"/>
          <w:bCs/>
          <w:spacing w:val="-4"/>
          <w:sz w:val="24"/>
          <w:szCs w:val="24"/>
          <w:lang w:eastAsia="en-US"/>
        </w:rPr>
        <w:t xml:space="preserve"> (2021) </w:t>
      </w:r>
      <w:r w:rsidRPr="002C0A06">
        <w:rPr>
          <w:rFonts w:ascii="Times New Roman" w:eastAsia="Times New Roman" w:hAnsi="Times New Roman" w:cs="Times New Roman"/>
          <w:bCs/>
          <w:spacing w:val="-4"/>
          <w:sz w:val="24"/>
          <w:szCs w:val="24"/>
        </w:rPr>
        <w:t>(Figura 3)</w:t>
      </w:r>
      <w:r w:rsidRPr="002C0A06">
        <w:rPr>
          <w:rFonts w:ascii="Times New Roman" w:eastAsia="Times New Roman" w:hAnsi="Times New Roman" w:cs="Times New Roman"/>
          <w:bCs/>
          <w:spacing w:val="-4"/>
          <w:sz w:val="24"/>
          <w:szCs w:val="24"/>
          <w:lang w:eastAsia="en-US"/>
        </w:rPr>
        <w:t>.</w:t>
      </w:r>
    </w:p>
    <w:p w14:paraId="2096A1BB" w14:textId="77777777" w:rsidR="0057376B" w:rsidRPr="002C0A06" w:rsidRDefault="0057376B" w:rsidP="00863FA0">
      <w:pPr>
        <w:pStyle w:val="CustomNormal"/>
        <w:spacing w:line="360" w:lineRule="auto"/>
        <w:rPr>
          <w:rFonts w:ascii="Times New Roman" w:hAnsi="Times New Roman" w:cs="Times New Roman"/>
          <w:spacing w:val="-4"/>
          <w:sz w:val="24"/>
          <w:szCs w:val="24"/>
          <w:lang w:val="pt-BR"/>
        </w:rPr>
      </w:pPr>
    </w:p>
    <w:p w14:paraId="1BF4DA62" w14:textId="7EBC75ED" w:rsidR="00863FA0" w:rsidRPr="0057376B" w:rsidRDefault="0057376B" w:rsidP="00863FA0">
      <w:pPr>
        <w:pBdr>
          <w:top w:val="nil"/>
          <w:left w:val="nil"/>
          <w:bottom w:val="nil"/>
          <w:right w:val="nil"/>
          <w:between w:val="nil"/>
        </w:pBdr>
        <w:spacing w:line="360" w:lineRule="auto"/>
        <w:jc w:val="both"/>
        <w:rPr>
          <w:rFonts w:ascii="Times New Roman" w:eastAsia="Times New Roman" w:hAnsi="Times New Roman" w:cs="Times New Roman"/>
          <w:bCs/>
          <w:spacing w:val="-4"/>
          <w:sz w:val="24"/>
          <w:szCs w:val="24"/>
        </w:rPr>
      </w:pPr>
      <w:r w:rsidRPr="0057376B">
        <w:rPr>
          <w:rFonts w:ascii="Times New Roman" w:eastAsia="Times New Roman" w:hAnsi="Times New Roman" w:cs="Times New Roman"/>
          <w:bCs/>
          <w:spacing w:val="-4"/>
          <w:sz w:val="24"/>
          <w:szCs w:val="24"/>
        </w:rPr>
        <w:t xml:space="preserve">4.4 ANÁLISE DE IMPACTO E DE MATURIDADE    </w:t>
      </w:r>
    </w:p>
    <w:p w14:paraId="1B6AADE2" w14:textId="77777777" w:rsidR="00863FA0" w:rsidRPr="002C0A06" w:rsidRDefault="00863FA0" w:rsidP="00863FA0">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rPr>
      </w:pPr>
      <w:r w:rsidRPr="002C0A06">
        <w:rPr>
          <w:rFonts w:ascii="Times New Roman" w:eastAsia="Times New Roman" w:hAnsi="Times New Roman" w:cs="Times New Roman"/>
          <w:bCs/>
          <w:spacing w:val="-4"/>
          <w:sz w:val="24"/>
          <w:szCs w:val="24"/>
        </w:rPr>
        <w:t>A matriz de impacto versus maturidade tecnológica evidencia diferentes estágios de desenvolvimento das tecnologias, considerando o volume de citações como indicador de relevância científica e tecnológica. Estudos destacam que a avaliação integrada de maturidade e impacto contribui para orientar políticas de inovação e estratégias industriais, especialmente em regiões em desenvolvimento (MCCANN; ORTEGA</w:t>
      </w:r>
      <w:r w:rsidRPr="002C0A06">
        <w:rPr>
          <w:rFonts w:ascii="Times New Roman" w:eastAsia="Times New Roman" w:hAnsi="Times New Roman" w:cs="Times New Roman"/>
          <w:bCs/>
          <w:spacing w:val="-4"/>
          <w:sz w:val="24"/>
          <w:szCs w:val="24"/>
        </w:rPr>
        <w:noBreakHyphen/>
        <w:t>ARGILÉS, 2021; ZHANG et al., 2023) (Figura 4).</w:t>
      </w:r>
    </w:p>
    <w:p w14:paraId="669D6721" w14:textId="77777777" w:rsidR="00863FA0" w:rsidRPr="002C0A06" w:rsidRDefault="00863FA0" w:rsidP="00863FA0">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rPr>
      </w:pPr>
      <w:r w:rsidRPr="002C0A06">
        <w:rPr>
          <w:rFonts w:ascii="Times New Roman" w:eastAsia="Times New Roman" w:hAnsi="Times New Roman" w:cs="Times New Roman"/>
          <w:bCs/>
          <w:spacing w:val="-4"/>
          <w:sz w:val="24"/>
          <w:szCs w:val="24"/>
        </w:rPr>
        <w:t xml:space="preserve">A </w:t>
      </w:r>
      <w:r w:rsidRPr="002C0A06">
        <w:rPr>
          <w:rFonts w:ascii="Times New Roman" w:eastAsia="Times New Roman" w:hAnsi="Times New Roman" w:cs="Times New Roman"/>
          <w:spacing w:val="-4"/>
          <w:sz w:val="24"/>
          <w:szCs w:val="24"/>
          <w:u w:val="single"/>
        </w:rPr>
        <w:t>Moldagem de Plásticos associada à Manufatura Aditiva</w:t>
      </w:r>
      <w:r w:rsidRPr="002C0A06">
        <w:rPr>
          <w:rFonts w:ascii="Times New Roman" w:eastAsia="Times New Roman" w:hAnsi="Times New Roman" w:cs="Times New Roman"/>
          <w:bCs/>
          <w:spacing w:val="-4"/>
          <w:sz w:val="24"/>
          <w:szCs w:val="24"/>
        </w:rPr>
        <w:t xml:space="preserve"> destaca-se pelo maior volume de citações e pela combinação de alto impacto estratégico e elevada maturidade tecnológica. A adoção de impressão 3D em polímeros e compósitos possibilita a produção de geometrias complexas, customização em escala industrial e prototipagem rápida, favorecendo setores como automotivo, biomédico e aeroespacial (NGO et al., 2018; THOMPSON et al., 2021). Esses avanços sustentam sua posição como uma rota capaz de transformar processos produtivos e ampliar a competitividade industrial na América Latina (Figura 4).</w:t>
      </w:r>
    </w:p>
    <w:p w14:paraId="3F8A4763" w14:textId="77777777" w:rsidR="00863FA0" w:rsidRPr="002C0A06" w:rsidRDefault="00863FA0" w:rsidP="00863FA0">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rPr>
      </w:pPr>
      <w:r w:rsidRPr="002C0A06">
        <w:rPr>
          <w:rFonts w:ascii="Times New Roman" w:eastAsia="Times New Roman" w:hAnsi="Times New Roman" w:cs="Times New Roman"/>
          <w:bCs/>
          <w:spacing w:val="-4"/>
          <w:sz w:val="24"/>
          <w:szCs w:val="24"/>
        </w:rPr>
        <w:t xml:space="preserve">A </w:t>
      </w:r>
      <w:r w:rsidRPr="002C0A06">
        <w:rPr>
          <w:rFonts w:ascii="Times New Roman" w:eastAsia="Times New Roman" w:hAnsi="Times New Roman" w:cs="Times New Roman"/>
          <w:spacing w:val="-4"/>
          <w:sz w:val="24"/>
          <w:szCs w:val="24"/>
          <w:u w:val="single"/>
        </w:rPr>
        <w:t>Metalurgia do Pó e Ligas Avançadas</w:t>
      </w:r>
      <w:r w:rsidRPr="002C0A06">
        <w:rPr>
          <w:rFonts w:ascii="Times New Roman" w:eastAsia="Times New Roman" w:hAnsi="Times New Roman" w:cs="Times New Roman"/>
          <w:bCs/>
          <w:spacing w:val="-4"/>
          <w:sz w:val="24"/>
          <w:szCs w:val="24"/>
        </w:rPr>
        <w:t xml:space="preserve"> ocupa posição relevante, apresentando alto impacto e maturidade tecnológica consolidada. Essa rota combina propriedades mecânicas e térmicas otimizadas, essenciais para aplicações em setores como energia e aeroespacial. Além disso, a integração com processos de manufatura aditiva permite a fabricação de componentes complexos e de alto desempenho, aumentando a eficiência produtiva e a capacidade de inovação (GAO et al., 2021; ZHANG et al., 2023) (Figura 4).</w:t>
      </w:r>
    </w:p>
    <w:p w14:paraId="36E1781B" w14:textId="77777777" w:rsidR="00863FA0" w:rsidRPr="002C0A06" w:rsidRDefault="00863FA0" w:rsidP="00863FA0">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rPr>
      </w:pPr>
      <w:r w:rsidRPr="002C0A06">
        <w:rPr>
          <w:rFonts w:ascii="Times New Roman" w:eastAsia="Times New Roman" w:hAnsi="Times New Roman" w:cs="Times New Roman"/>
          <w:bCs/>
          <w:spacing w:val="-4"/>
          <w:sz w:val="24"/>
          <w:szCs w:val="24"/>
        </w:rPr>
        <w:t xml:space="preserve">A </w:t>
      </w:r>
      <w:r w:rsidRPr="002C0A06">
        <w:rPr>
          <w:rFonts w:ascii="Times New Roman" w:eastAsia="Times New Roman" w:hAnsi="Times New Roman" w:cs="Times New Roman"/>
          <w:spacing w:val="-4"/>
          <w:sz w:val="24"/>
          <w:szCs w:val="24"/>
          <w:u w:val="single"/>
        </w:rPr>
        <w:t>Conectividade Industrial e Indústria 4.0</w:t>
      </w:r>
      <w:r w:rsidRPr="002C0A06">
        <w:rPr>
          <w:rFonts w:ascii="Times New Roman" w:eastAsia="Times New Roman" w:hAnsi="Times New Roman" w:cs="Times New Roman"/>
          <w:bCs/>
          <w:spacing w:val="-4"/>
          <w:sz w:val="24"/>
          <w:szCs w:val="24"/>
        </w:rPr>
        <w:t xml:space="preserve"> constitui uma rota intermediária, com impacto estratégico moderado e maturidade crescente. Tecnologias como Internet das Coisas (IoT), sensores inteligentes e análise de dados em tempo real possibilitam sistemas </w:t>
      </w:r>
      <w:proofErr w:type="spellStart"/>
      <w:r w:rsidRPr="002C0A06">
        <w:rPr>
          <w:rFonts w:ascii="Times New Roman" w:eastAsia="Times New Roman" w:hAnsi="Times New Roman" w:cs="Times New Roman"/>
          <w:bCs/>
          <w:spacing w:val="-4"/>
          <w:sz w:val="24"/>
          <w:szCs w:val="24"/>
        </w:rPr>
        <w:t>ciberfísicos</w:t>
      </w:r>
      <w:proofErr w:type="spellEnd"/>
      <w:r w:rsidRPr="002C0A06">
        <w:rPr>
          <w:rFonts w:ascii="Times New Roman" w:eastAsia="Times New Roman" w:hAnsi="Times New Roman" w:cs="Times New Roman"/>
          <w:bCs/>
          <w:spacing w:val="-4"/>
          <w:sz w:val="24"/>
          <w:szCs w:val="24"/>
        </w:rPr>
        <w:t xml:space="preserve"> e linhas de produção adaptativas. Estudos indicam que a implementação dessas soluções é fundamental para que as demais rotas tecnológicas alcancem eficiência e integração plenas (LU, 2017; ZHONG et al., 2017) (Figura 4).</w:t>
      </w:r>
    </w:p>
    <w:p w14:paraId="02C9872B" w14:textId="77777777" w:rsidR="00863FA0" w:rsidRPr="002C0A06" w:rsidRDefault="00863FA0" w:rsidP="00863FA0">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rPr>
      </w:pPr>
      <w:r w:rsidRPr="002C0A06">
        <w:rPr>
          <w:rFonts w:ascii="Times New Roman" w:eastAsia="Times New Roman" w:hAnsi="Times New Roman" w:cs="Times New Roman"/>
          <w:bCs/>
          <w:spacing w:val="-4"/>
          <w:sz w:val="24"/>
          <w:szCs w:val="24"/>
        </w:rPr>
        <w:lastRenderedPageBreak/>
        <w:t xml:space="preserve">Os </w:t>
      </w:r>
      <w:r w:rsidRPr="002C0A06">
        <w:rPr>
          <w:rFonts w:ascii="Times New Roman" w:eastAsia="Times New Roman" w:hAnsi="Times New Roman" w:cs="Times New Roman"/>
          <w:spacing w:val="-4"/>
          <w:sz w:val="24"/>
          <w:szCs w:val="24"/>
          <w:u w:val="single"/>
        </w:rPr>
        <w:t>Biomateriais voltados a Dispositivos Médicos</w:t>
      </w:r>
      <w:r w:rsidRPr="002C0A06">
        <w:rPr>
          <w:rFonts w:ascii="Times New Roman" w:eastAsia="Times New Roman" w:hAnsi="Times New Roman" w:cs="Times New Roman"/>
          <w:bCs/>
          <w:spacing w:val="-4"/>
          <w:sz w:val="24"/>
          <w:szCs w:val="24"/>
        </w:rPr>
        <w:t xml:space="preserve"> apresentam baixa maturidade e impacto estratégico limitado, refletindo uma fase inicial de desenvolvimento na região. Embora seu potencial de aplicação em saúde seja elevado, avanços dependem de infraestrutura de pesquisa robusta, certificações regulatórias e colaborações entre universidades e empresas. O fortalecimento dessas redes pode transformar essa rota em vetor relevante de inovação em médio prazo (LOPEZ</w:t>
      </w:r>
      <w:r w:rsidRPr="002C0A06">
        <w:rPr>
          <w:rFonts w:ascii="Times New Roman" w:eastAsia="Times New Roman" w:hAnsi="Times New Roman" w:cs="Times New Roman"/>
          <w:bCs/>
          <w:spacing w:val="-4"/>
          <w:sz w:val="24"/>
          <w:szCs w:val="24"/>
        </w:rPr>
        <w:noBreakHyphen/>
        <w:t>NAVARRETE et al., 2022) (Figura 4).</w:t>
      </w:r>
    </w:p>
    <w:p w14:paraId="08532A8E" w14:textId="77777777" w:rsidR="00863FA0" w:rsidRPr="002C0A06" w:rsidRDefault="00863FA0" w:rsidP="00863FA0">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rPr>
      </w:pPr>
      <w:r w:rsidRPr="002C0A06">
        <w:rPr>
          <w:rFonts w:ascii="Times New Roman" w:eastAsia="Times New Roman" w:hAnsi="Times New Roman" w:cs="Times New Roman"/>
          <w:bCs/>
          <w:spacing w:val="-4"/>
          <w:sz w:val="24"/>
          <w:szCs w:val="24"/>
        </w:rPr>
        <w:t xml:space="preserve">Por fim, a </w:t>
      </w:r>
      <w:r w:rsidRPr="002C0A06">
        <w:rPr>
          <w:rFonts w:ascii="Times New Roman" w:eastAsia="Times New Roman" w:hAnsi="Times New Roman" w:cs="Times New Roman"/>
          <w:spacing w:val="-4"/>
          <w:sz w:val="24"/>
          <w:szCs w:val="24"/>
          <w:u w:val="single"/>
        </w:rPr>
        <w:t>Soldagem e Corte Automatizado</w:t>
      </w:r>
      <w:r w:rsidRPr="002C0A06">
        <w:rPr>
          <w:rFonts w:ascii="Times New Roman" w:eastAsia="Times New Roman" w:hAnsi="Times New Roman" w:cs="Times New Roman"/>
          <w:bCs/>
          <w:spacing w:val="-4"/>
          <w:sz w:val="24"/>
          <w:szCs w:val="24"/>
        </w:rPr>
        <w:t xml:space="preserve"> apresenta alta maturidade tecnológica, mas impacto estratégico reduzido. Essa rota é associada a melhorias incrementais em processos industriais já estabelecidos, garantindo eficiência e confiabilidade produtiva, mas sem o mesmo potencial de transformação estrutural observado em manufatura aditiva e metalurgia avançada (ZHONG et al., 2017) (Figura 4).</w:t>
      </w:r>
    </w:p>
    <w:p w14:paraId="79944A53" w14:textId="77777777" w:rsidR="00863FA0" w:rsidRPr="002C0A06" w:rsidRDefault="00863FA0" w:rsidP="00863FA0">
      <w:pPr>
        <w:pBdr>
          <w:top w:val="nil"/>
          <w:left w:val="nil"/>
          <w:bottom w:val="nil"/>
          <w:right w:val="nil"/>
          <w:between w:val="nil"/>
        </w:pBdr>
        <w:spacing w:line="360" w:lineRule="auto"/>
        <w:jc w:val="both"/>
        <w:rPr>
          <w:rFonts w:ascii="Times New Roman" w:eastAsia="Times New Roman" w:hAnsi="Times New Roman" w:cs="Times New Roman"/>
          <w:bCs/>
          <w:spacing w:val="-4"/>
          <w:sz w:val="24"/>
          <w:szCs w:val="24"/>
        </w:rPr>
      </w:pPr>
    </w:p>
    <w:p w14:paraId="48F44096" w14:textId="77777777" w:rsidR="00863FA0" w:rsidRPr="002C0A06" w:rsidRDefault="00863FA0" w:rsidP="00863FA0">
      <w:pPr>
        <w:spacing w:line="360" w:lineRule="auto"/>
        <w:jc w:val="center"/>
        <w:rPr>
          <w:rFonts w:ascii="Times New Roman" w:hAnsi="Times New Roman" w:cs="Times New Roman"/>
          <w:spacing w:val="-4"/>
          <w:sz w:val="24"/>
          <w:szCs w:val="24"/>
        </w:rPr>
      </w:pPr>
      <w:r w:rsidRPr="002C0A06">
        <w:rPr>
          <w:rFonts w:ascii="Times New Roman" w:hAnsi="Times New Roman" w:cs="Times New Roman"/>
          <w:noProof/>
          <w:spacing w:val="-4"/>
          <w:sz w:val="24"/>
          <w:szCs w:val="24"/>
        </w:rPr>
        <w:drawing>
          <wp:inline distT="0" distB="0" distL="0" distR="0" wp14:anchorId="18165F9B" wp14:editId="088263C7">
            <wp:extent cx="5235836" cy="3473450"/>
            <wp:effectExtent l="0" t="0" r="3175" b="0"/>
            <wp:docPr id="5" name="Picture 5" descr="Uma imagem contendo 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ma imagem contendo Tabela&#10;&#10;O conteúdo gerado por IA pode estar incorreto."/>
                    <pic:cNvPicPr/>
                  </pic:nvPicPr>
                  <pic:blipFill>
                    <a:blip r:embed="rId12"/>
                    <a:stretch>
                      <a:fillRect/>
                    </a:stretch>
                  </pic:blipFill>
                  <pic:spPr>
                    <a:xfrm>
                      <a:off x="0" y="0"/>
                      <a:ext cx="5253050" cy="3484870"/>
                    </a:xfrm>
                    <a:prstGeom prst="rect">
                      <a:avLst/>
                    </a:prstGeom>
                  </pic:spPr>
                </pic:pic>
              </a:graphicData>
            </a:graphic>
          </wp:inline>
        </w:drawing>
      </w:r>
    </w:p>
    <w:p w14:paraId="5D5EA184" w14:textId="77777777" w:rsidR="00863FA0" w:rsidRPr="002C0A06" w:rsidRDefault="00863FA0" w:rsidP="00863FA0">
      <w:pPr>
        <w:pBdr>
          <w:top w:val="nil"/>
          <w:left w:val="nil"/>
          <w:bottom w:val="nil"/>
          <w:right w:val="nil"/>
          <w:between w:val="nil"/>
        </w:pBdr>
        <w:spacing w:line="360" w:lineRule="auto"/>
        <w:jc w:val="center"/>
        <w:rPr>
          <w:rFonts w:ascii="Times New Roman" w:eastAsia="Times New Roman" w:hAnsi="Times New Roman" w:cs="Times New Roman"/>
          <w:bCs/>
          <w:spacing w:val="-4"/>
          <w:sz w:val="24"/>
          <w:szCs w:val="24"/>
        </w:rPr>
      </w:pPr>
      <w:r w:rsidRPr="002C0A06">
        <w:rPr>
          <w:rFonts w:ascii="Times New Roman" w:eastAsia="Times New Roman" w:hAnsi="Times New Roman" w:cs="Times New Roman"/>
          <w:bCs/>
          <w:spacing w:val="-4"/>
          <w:sz w:val="24"/>
          <w:szCs w:val="24"/>
        </w:rPr>
        <w:t xml:space="preserve">Figura 4: Matriz de impacto X maturidade tecnológica </w:t>
      </w:r>
      <w:r w:rsidRPr="002C0A06">
        <w:rPr>
          <w:rFonts w:ascii="Times New Roman" w:eastAsia="Times New Roman" w:hAnsi="Times New Roman" w:cs="Times New Roman"/>
          <w:bCs/>
          <w:spacing w:val="-4"/>
          <w:sz w:val="24"/>
          <w:szCs w:val="24"/>
          <w:lang w:eastAsia="en-US"/>
        </w:rPr>
        <w:t>no setor metalmecânico da América Latina</w:t>
      </w:r>
    </w:p>
    <w:p w14:paraId="12673BCB" w14:textId="77777777" w:rsidR="00863FA0" w:rsidRPr="002C0A06" w:rsidRDefault="00863FA0" w:rsidP="00863FA0">
      <w:pPr>
        <w:pBdr>
          <w:top w:val="nil"/>
          <w:left w:val="nil"/>
          <w:bottom w:val="nil"/>
          <w:right w:val="nil"/>
          <w:between w:val="nil"/>
        </w:pBdr>
        <w:spacing w:line="360" w:lineRule="auto"/>
        <w:jc w:val="both"/>
        <w:rPr>
          <w:rFonts w:ascii="Times New Roman" w:eastAsia="Times New Roman" w:hAnsi="Times New Roman" w:cs="Times New Roman"/>
          <w:bCs/>
          <w:spacing w:val="-4"/>
          <w:sz w:val="24"/>
          <w:szCs w:val="24"/>
        </w:rPr>
      </w:pPr>
    </w:p>
    <w:p w14:paraId="1D6D915F" w14:textId="77777777" w:rsidR="00863FA0" w:rsidRPr="002C0A06" w:rsidRDefault="00863FA0" w:rsidP="00863FA0">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rPr>
      </w:pPr>
      <w:r w:rsidRPr="002C0A06">
        <w:rPr>
          <w:rFonts w:ascii="Times New Roman" w:eastAsia="Times New Roman" w:hAnsi="Times New Roman" w:cs="Times New Roman"/>
          <w:bCs/>
          <w:spacing w:val="-4"/>
          <w:sz w:val="24"/>
          <w:szCs w:val="24"/>
        </w:rPr>
        <w:t xml:space="preserve">De forma conclusiva, a análise evidencia que a competitividade do setor metalmecânico na América Latina depende da combinação entre rotas consolidadas e emergentes. Tecnologias líderes, como manufatura aditiva e metalurgia avançada, apresentam maior capacidade de inserção em cadeias globais de valor, enquanto rotas emergentes, como biomateriais e conectividade </w:t>
      </w:r>
      <w:r w:rsidRPr="002C0A06">
        <w:rPr>
          <w:rFonts w:ascii="Times New Roman" w:eastAsia="Times New Roman" w:hAnsi="Times New Roman" w:cs="Times New Roman"/>
          <w:bCs/>
          <w:spacing w:val="-4"/>
          <w:sz w:val="24"/>
          <w:szCs w:val="24"/>
        </w:rPr>
        <w:lastRenderedPageBreak/>
        <w:t>industrial, necessitam de incentivos à pesquisa e à integração produtiva para alcançar maior impacto estratégico. A formulação de políticas industriais baseadas em especialização inteligente e cooperação universidade</w:t>
      </w:r>
      <w:r w:rsidRPr="002C0A06">
        <w:rPr>
          <w:rFonts w:ascii="Times New Roman" w:eastAsia="Times New Roman" w:hAnsi="Times New Roman" w:cs="Times New Roman"/>
          <w:bCs/>
          <w:spacing w:val="-4"/>
          <w:sz w:val="24"/>
          <w:szCs w:val="24"/>
        </w:rPr>
        <w:noBreakHyphen/>
        <w:t>empresa pode favorecer a maturação dessas tecnologias e ampliar o protagonismo da região no cenário global (MCCANN; ORTEGA</w:t>
      </w:r>
      <w:r w:rsidRPr="002C0A06">
        <w:rPr>
          <w:rFonts w:ascii="Times New Roman" w:eastAsia="Times New Roman" w:hAnsi="Times New Roman" w:cs="Times New Roman"/>
          <w:bCs/>
          <w:spacing w:val="-4"/>
          <w:sz w:val="24"/>
          <w:szCs w:val="24"/>
        </w:rPr>
        <w:noBreakHyphen/>
        <w:t>ARGILÉS, 2021) (Figura 4).</w:t>
      </w:r>
    </w:p>
    <w:p w14:paraId="0F6EACF3" w14:textId="5913EC56" w:rsidR="00863FA0" w:rsidRPr="0057376B" w:rsidRDefault="00863FA0" w:rsidP="00863FA0">
      <w:pPr>
        <w:pBdr>
          <w:top w:val="nil"/>
          <w:left w:val="nil"/>
          <w:bottom w:val="nil"/>
          <w:right w:val="nil"/>
          <w:between w:val="nil"/>
        </w:pBdr>
        <w:spacing w:line="360" w:lineRule="auto"/>
        <w:jc w:val="both"/>
        <w:rPr>
          <w:rFonts w:ascii="Times New Roman" w:eastAsia="Times New Roman" w:hAnsi="Times New Roman" w:cs="Times New Roman"/>
          <w:bCs/>
          <w:spacing w:val="-4"/>
          <w:sz w:val="24"/>
          <w:szCs w:val="24"/>
        </w:rPr>
      </w:pPr>
      <w:r w:rsidRPr="002C0A06">
        <w:rPr>
          <w:rFonts w:ascii="Times New Roman" w:hAnsi="Times New Roman" w:cs="Times New Roman"/>
          <w:spacing w:val="-4"/>
          <w:sz w:val="24"/>
          <w:szCs w:val="24"/>
        </w:rPr>
        <w:br/>
      </w:r>
      <w:r w:rsidR="0057376B" w:rsidRPr="0057376B">
        <w:rPr>
          <w:rFonts w:ascii="Times New Roman" w:eastAsia="Times New Roman" w:hAnsi="Times New Roman" w:cs="Times New Roman"/>
          <w:bCs/>
          <w:spacing w:val="-4"/>
          <w:sz w:val="24"/>
          <w:szCs w:val="24"/>
        </w:rPr>
        <w:t xml:space="preserve">4.5 ROADMAP ESTRATÉGICO INTEGRADO    </w:t>
      </w:r>
    </w:p>
    <w:p w14:paraId="23EDAC0A" w14:textId="77777777" w:rsidR="00863FA0" w:rsidRPr="002C0A06" w:rsidRDefault="00863FA0" w:rsidP="00863FA0">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rPr>
      </w:pPr>
      <w:r w:rsidRPr="002C0A06">
        <w:rPr>
          <w:rFonts w:ascii="Times New Roman" w:eastAsia="Times New Roman" w:hAnsi="Times New Roman" w:cs="Times New Roman"/>
          <w:bCs/>
          <w:spacing w:val="-4"/>
          <w:sz w:val="24"/>
          <w:szCs w:val="24"/>
        </w:rPr>
        <w:t xml:space="preserve">O </w:t>
      </w:r>
      <w:proofErr w:type="spellStart"/>
      <w:r w:rsidRPr="002C0A06">
        <w:rPr>
          <w:rFonts w:ascii="Times New Roman" w:eastAsia="Times New Roman" w:hAnsi="Times New Roman" w:cs="Times New Roman"/>
          <w:bCs/>
          <w:spacing w:val="-4"/>
          <w:sz w:val="24"/>
          <w:szCs w:val="24"/>
        </w:rPr>
        <w:t>roadmap</w:t>
      </w:r>
      <w:proofErr w:type="spellEnd"/>
      <w:r w:rsidRPr="002C0A06">
        <w:rPr>
          <w:rFonts w:ascii="Times New Roman" w:eastAsia="Times New Roman" w:hAnsi="Times New Roman" w:cs="Times New Roman"/>
          <w:bCs/>
          <w:spacing w:val="-4"/>
          <w:sz w:val="24"/>
          <w:szCs w:val="24"/>
        </w:rPr>
        <w:t xml:space="preserve"> tecnológico apresentado organiza o desenvolvimento da indústria metalmecânica e biomédica latino-americana em três horizontes temporais (curto, médio e longo prazo). A estrutura segue recomendações de planejamento tecnológico, que integram maturidade das tecnologias, demandas de mercado e capacidades regionais de inovação (PHAAL et al, 2004). Essa abordagem é coerente com a transição industrial global para ecossistemas digitais, baseados em Indústria 4.0 e cadeias produtivas sustentáveis (OECD, 2023) (Figura 5).</w:t>
      </w:r>
    </w:p>
    <w:p w14:paraId="6FEDB33A" w14:textId="77777777" w:rsidR="00863FA0" w:rsidRPr="002C0A06" w:rsidRDefault="00863FA0" w:rsidP="00863FA0">
      <w:pPr>
        <w:pBdr>
          <w:top w:val="nil"/>
          <w:left w:val="nil"/>
          <w:bottom w:val="nil"/>
          <w:right w:val="nil"/>
          <w:between w:val="nil"/>
        </w:pBdr>
        <w:spacing w:line="360" w:lineRule="auto"/>
        <w:jc w:val="both"/>
        <w:rPr>
          <w:rFonts w:ascii="Times New Roman" w:eastAsia="Times New Roman" w:hAnsi="Times New Roman" w:cs="Times New Roman"/>
          <w:bCs/>
          <w:spacing w:val="-4"/>
          <w:sz w:val="24"/>
          <w:szCs w:val="24"/>
        </w:rPr>
      </w:pPr>
    </w:p>
    <w:p w14:paraId="0D01AFBC" w14:textId="77777777" w:rsidR="00863FA0" w:rsidRPr="002C0A06" w:rsidRDefault="00863FA0" w:rsidP="00863FA0">
      <w:pPr>
        <w:spacing w:line="360" w:lineRule="auto"/>
        <w:jc w:val="center"/>
        <w:rPr>
          <w:rFonts w:ascii="Times New Roman" w:hAnsi="Times New Roman" w:cs="Times New Roman"/>
          <w:spacing w:val="-4"/>
          <w:sz w:val="24"/>
          <w:szCs w:val="24"/>
        </w:rPr>
      </w:pPr>
      <w:r w:rsidRPr="002C0A06">
        <w:rPr>
          <w:rFonts w:ascii="Times New Roman" w:hAnsi="Times New Roman" w:cs="Times New Roman"/>
          <w:noProof/>
          <w:spacing w:val="-4"/>
          <w:sz w:val="24"/>
          <w:szCs w:val="24"/>
        </w:rPr>
        <w:drawing>
          <wp:inline distT="0" distB="0" distL="0" distR="0" wp14:anchorId="1EFC33F2" wp14:editId="4C619DDC">
            <wp:extent cx="5733415" cy="2553970"/>
            <wp:effectExtent l="0" t="0" r="635" b="0"/>
            <wp:docPr id="224729064"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29064" name="Imagem 1" descr="Diagrama&#10;&#10;O conteúdo gerado por IA pode estar incorreto."/>
                    <pic:cNvPicPr/>
                  </pic:nvPicPr>
                  <pic:blipFill>
                    <a:blip r:embed="rId13"/>
                    <a:stretch>
                      <a:fillRect/>
                    </a:stretch>
                  </pic:blipFill>
                  <pic:spPr>
                    <a:xfrm>
                      <a:off x="0" y="0"/>
                      <a:ext cx="5733415" cy="2553970"/>
                    </a:xfrm>
                    <a:prstGeom prst="rect">
                      <a:avLst/>
                    </a:prstGeom>
                  </pic:spPr>
                </pic:pic>
              </a:graphicData>
            </a:graphic>
          </wp:inline>
        </w:drawing>
      </w:r>
    </w:p>
    <w:p w14:paraId="14BF75EC" w14:textId="77777777" w:rsidR="00863FA0" w:rsidRPr="002C0A06" w:rsidRDefault="00863FA0" w:rsidP="00863FA0">
      <w:pPr>
        <w:spacing w:line="360" w:lineRule="auto"/>
        <w:jc w:val="center"/>
        <w:rPr>
          <w:rFonts w:ascii="Times New Roman" w:eastAsia="Times New Roman" w:hAnsi="Times New Roman" w:cs="Times New Roman"/>
          <w:bCs/>
          <w:spacing w:val="-4"/>
          <w:sz w:val="24"/>
          <w:szCs w:val="24"/>
          <w:lang w:eastAsia="en-US"/>
        </w:rPr>
      </w:pPr>
      <w:r w:rsidRPr="002C0A06">
        <w:rPr>
          <w:rFonts w:ascii="Times New Roman" w:eastAsia="Times New Roman" w:hAnsi="Times New Roman" w:cs="Times New Roman"/>
          <w:bCs/>
          <w:spacing w:val="-4"/>
          <w:sz w:val="24"/>
          <w:szCs w:val="24"/>
        </w:rPr>
        <w:t xml:space="preserve">Figura 5. </w:t>
      </w:r>
      <w:proofErr w:type="spellStart"/>
      <w:r w:rsidRPr="002C0A06">
        <w:rPr>
          <w:rFonts w:ascii="Times New Roman" w:eastAsia="Times New Roman" w:hAnsi="Times New Roman" w:cs="Times New Roman"/>
          <w:bCs/>
          <w:spacing w:val="-4"/>
          <w:sz w:val="24"/>
          <w:szCs w:val="24"/>
        </w:rPr>
        <w:t>Roadmap</w:t>
      </w:r>
      <w:proofErr w:type="spellEnd"/>
      <w:r w:rsidRPr="002C0A06">
        <w:rPr>
          <w:rFonts w:ascii="Times New Roman" w:eastAsia="Times New Roman" w:hAnsi="Times New Roman" w:cs="Times New Roman"/>
          <w:bCs/>
          <w:spacing w:val="-4"/>
          <w:sz w:val="24"/>
          <w:szCs w:val="24"/>
        </w:rPr>
        <w:t xml:space="preserve"> tecnológico </w:t>
      </w:r>
      <w:r w:rsidRPr="002C0A06">
        <w:rPr>
          <w:rFonts w:ascii="Times New Roman" w:eastAsia="Times New Roman" w:hAnsi="Times New Roman" w:cs="Times New Roman"/>
          <w:bCs/>
          <w:spacing w:val="-4"/>
          <w:sz w:val="24"/>
          <w:szCs w:val="24"/>
          <w:lang w:eastAsia="en-US"/>
        </w:rPr>
        <w:t>no setor metalmecânico da América Latina</w:t>
      </w:r>
    </w:p>
    <w:p w14:paraId="101BA22C" w14:textId="77777777" w:rsidR="00863FA0" w:rsidRPr="002C0A06" w:rsidRDefault="00863FA0" w:rsidP="00863FA0">
      <w:pPr>
        <w:pBdr>
          <w:top w:val="nil"/>
          <w:left w:val="nil"/>
          <w:bottom w:val="nil"/>
          <w:right w:val="nil"/>
          <w:between w:val="nil"/>
        </w:pBdr>
        <w:spacing w:line="360" w:lineRule="auto"/>
        <w:jc w:val="both"/>
        <w:rPr>
          <w:rFonts w:ascii="Times New Roman" w:eastAsia="Times New Roman" w:hAnsi="Times New Roman" w:cs="Times New Roman"/>
          <w:bCs/>
          <w:spacing w:val="-4"/>
          <w:sz w:val="24"/>
          <w:szCs w:val="24"/>
        </w:rPr>
      </w:pPr>
    </w:p>
    <w:p w14:paraId="0F2937BF" w14:textId="77777777" w:rsidR="00863FA0" w:rsidRPr="002C0A06" w:rsidRDefault="00863FA0" w:rsidP="00863FA0">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rPr>
      </w:pPr>
      <w:r w:rsidRPr="002C0A06">
        <w:rPr>
          <w:rFonts w:ascii="Times New Roman" w:eastAsia="Times New Roman" w:hAnsi="Times New Roman" w:cs="Times New Roman"/>
          <w:bCs/>
          <w:spacing w:val="-4"/>
          <w:sz w:val="24"/>
          <w:szCs w:val="24"/>
        </w:rPr>
        <w:t xml:space="preserve">1. </w:t>
      </w:r>
      <w:r w:rsidRPr="002C0A06">
        <w:rPr>
          <w:rFonts w:ascii="Times New Roman" w:eastAsia="Times New Roman" w:hAnsi="Times New Roman" w:cs="Times New Roman"/>
          <w:bCs/>
          <w:spacing w:val="-4"/>
          <w:sz w:val="24"/>
          <w:szCs w:val="24"/>
          <w:u w:val="single"/>
        </w:rPr>
        <w:t>Curto Prazo (1</w:t>
      </w:r>
      <w:r w:rsidRPr="002C0A06">
        <w:rPr>
          <w:rFonts w:ascii="Times New Roman" w:eastAsia="Times New Roman" w:hAnsi="Times New Roman" w:cs="Times New Roman"/>
          <w:bCs/>
          <w:spacing w:val="-4"/>
          <w:sz w:val="24"/>
          <w:szCs w:val="24"/>
          <w:u w:val="single"/>
        </w:rPr>
        <w:noBreakHyphen/>
        <w:t>2 anos) - Consolidação de Capacidades</w:t>
      </w:r>
      <w:r w:rsidRPr="002C0A06">
        <w:rPr>
          <w:rFonts w:ascii="Times New Roman" w:eastAsia="Times New Roman" w:hAnsi="Times New Roman" w:cs="Times New Roman"/>
          <w:bCs/>
          <w:spacing w:val="-4"/>
          <w:sz w:val="24"/>
          <w:szCs w:val="24"/>
        </w:rPr>
        <w:t xml:space="preserve">: As prioridades imediatas incluem o fortalecimento de P&amp;D em moldagem inteligente de plásticos, o estabelecimento de parcerias universidade-indústria em metalurgia, a implementação de pilotos de IoT industrial e a criação de centros de competência regionais. O desenvolvimento de moldagem inteligente está associado à integração de sensores e sistemas de controle em processos de injeção e extrusão de polímeros. Gibson, Rosen e </w:t>
      </w:r>
      <w:proofErr w:type="spellStart"/>
      <w:r w:rsidRPr="002C0A06">
        <w:rPr>
          <w:rFonts w:ascii="Times New Roman" w:eastAsia="Times New Roman" w:hAnsi="Times New Roman" w:cs="Times New Roman"/>
          <w:bCs/>
          <w:spacing w:val="-4"/>
          <w:sz w:val="24"/>
          <w:szCs w:val="24"/>
        </w:rPr>
        <w:t>Stucker</w:t>
      </w:r>
      <w:proofErr w:type="spellEnd"/>
      <w:r w:rsidRPr="002C0A06">
        <w:rPr>
          <w:rFonts w:ascii="Times New Roman" w:eastAsia="Times New Roman" w:hAnsi="Times New Roman" w:cs="Times New Roman"/>
          <w:bCs/>
          <w:spacing w:val="-4"/>
          <w:sz w:val="24"/>
          <w:szCs w:val="24"/>
        </w:rPr>
        <w:t xml:space="preserve"> (2021) apontam que a prototipagem avançada e a digitalização do controle de processo reduzem ciclos de desenvolvimento e viabilizam o uso de materiais mais sustentáveis. A conexão universidade-indústria é central para acelerar a difusão de tecnologias de </w:t>
      </w:r>
      <w:r w:rsidRPr="002C0A06">
        <w:rPr>
          <w:rFonts w:ascii="Times New Roman" w:eastAsia="Times New Roman" w:hAnsi="Times New Roman" w:cs="Times New Roman"/>
          <w:bCs/>
          <w:spacing w:val="-4"/>
          <w:sz w:val="24"/>
          <w:szCs w:val="24"/>
        </w:rPr>
        <w:lastRenderedPageBreak/>
        <w:t xml:space="preserve">base metalúrgica, como ligas avançadas e metalurgia do pó. Estudos mostram que colaborações estruturadas favorecem transferência tecnológica, formação de recursos especializados e desenvolvimento de projetos conjuntos de inovação (PERKMANN et al., 2021). A adoção de pilotos de IoT industrial cria a infraestrutura para sistemas </w:t>
      </w:r>
      <w:proofErr w:type="spellStart"/>
      <w:r w:rsidRPr="002C0A06">
        <w:rPr>
          <w:rFonts w:ascii="Times New Roman" w:eastAsia="Times New Roman" w:hAnsi="Times New Roman" w:cs="Times New Roman"/>
          <w:bCs/>
          <w:spacing w:val="-4"/>
          <w:sz w:val="24"/>
          <w:szCs w:val="24"/>
        </w:rPr>
        <w:t>ciberfísicos</w:t>
      </w:r>
      <w:proofErr w:type="spellEnd"/>
      <w:r w:rsidRPr="002C0A06">
        <w:rPr>
          <w:rFonts w:ascii="Times New Roman" w:eastAsia="Times New Roman" w:hAnsi="Times New Roman" w:cs="Times New Roman"/>
          <w:bCs/>
          <w:spacing w:val="-4"/>
          <w:sz w:val="24"/>
          <w:szCs w:val="24"/>
        </w:rPr>
        <w:t xml:space="preserve"> e monitoramento preditivo. Segundo </w:t>
      </w:r>
      <w:proofErr w:type="spellStart"/>
      <w:r w:rsidRPr="002C0A06">
        <w:rPr>
          <w:rFonts w:ascii="Times New Roman" w:eastAsia="Times New Roman" w:hAnsi="Times New Roman" w:cs="Times New Roman"/>
          <w:bCs/>
          <w:spacing w:val="-4"/>
          <w:sz w:val="24"/>
          <w:szCs w:val="24"/>
        </w:rPr>
        <w:t>Kamble</w:t>
      </w:r>
      <w:proofErr w:type="spellEnd"/>
      <w:r w:rsidRPr="002C0A06">
        <w:rPr>
          <w:rFonts w:ascii="Times New Roman" w:eastAsia="Times New Roman" w:hAnsi="Times New Roman" w:cs="Times New Roman"/>
          <w:bCs/>
          <w:spacing w:val="-4"/>
          <w:sz w:val="24"/>
          <w:szCs w:val="24"/>
        </w:rPr>
        <w:t xml:space="preserve">, </w:t>
      </w:r>
      <w:proofErr w:type="spellStart"/>
      <w:r w:rsidRPr="002C0A06">
        <w:rPr>
          <w:rFonts w:ascii="Times New Roman" w:eastAsia="Times New Roman" w:hAnsi="Times New Roman" w:cs="Times New Roman"/>
          <w:bCs/>
          <w:spacing w:val="-4"/>
          <w:sz w:val="24"/>
          <w:szCs w:val="24"/>
        </w:rPr>
        <w:t>Gunasekaran</w:t>
      </w:r>
      <w:proofErr w:type="spellEnd"/>
      <w:r w:rsidRPr="002C0A06">
        <w:rPr>
          <w:rFonts w:ascii="Times New Roman" w:eastAsia="Times New Roman" w:hAnsi="Times New Roman" w:cs="Times New Roman"/>
          <w:bCs/>
          <w:spacing w:val="-4"/>
          <w:sz w:val="24"/>
          <w:szCs w:val="24"/>
        </w:rPr>
        <w:t xml:space="preserve"> e </w:t>
      </w:r>
      <w:proofErr w:type="spellStart"/>
      <w:r w:rsidRPr="002C0A06">
        <w:rPr>
          <w:rFonts w:ascii="Times New Roman" w:eastAsia="Times New Roman" w:hAnsi="Times New Roman" w:cs="Times New Roman"/>
          <w:bCs/>
          <w:spacing w:val="-4"/>
          <w:sz w:val="24"/>
          <w:szCs w:val="24"/>
        </w:rPr>
        <w:t>Dhone</w:t>
      </w:r>
      <w:proofErr w:type="spellEnd"/>
      <w:r w:rsidRPr="002C0A06">
        <w:rPr>
          <w:rFonts w:ascii="Times New Roman" w:eastAsia="Times New Roman" w:hAnsi="Times New Roman" w:cs="Times New Roman"/>
          <w:bCs/>
          <w:spacing w:val="-4"/>
          <w:sz w:val="24"/>
          <w:szCs w:val="24"/>
        </w:rPr>
        <w:t xml:space="preserve"> (2020), essas iniciativas são fundamentais para preparar o chão de fábrica para transformações mais profundas de Indústria 4.0, possibilitando coleta de dados em tempo real e integração com algoritmos de aprendizado de máquina (Figura 5).</w:t>
      </w:r>
    </w:p>
    <w:p w14:paraId="3B4C51FC" w14:textId="77777777" w:rsidR="00863FA0" w:rsidRPr="002C0A06" w:rsidRDefault="00863FA0" w:rsidP="00863FA0">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rPr>
      </w:pPr>
      <w:r w:rsidRPr="002C0A06">
        <w:rPr>
          <w:rFonts w:ascii="Times New Roman" w:eastAsia="Times New Roman" w:hAnsi="Times New Roman" w:cs="Times New Roman"/>
          <w:bCs/>
          <w:spacing w:val="-4"/>
          <w:sz w:val="24"/>
          <w:szCs w:val="24"/>
        </w:rPr>
        <w:t xml:space="preserve">2. </w:t>
      </w:r>
      <w:r w:rsidRPr="002C0A06">
        <w:rPr>
          <w:rFonts w:ascii="Times New Roman" w:eastAsia="Times New Roman" w:hAnsi="Times New Roman" w:cs="Times New Roman"/>
          <w:bCs/>
          <w:spacing w:val="-4"/>
          <w:sz w:val="24"/>
          <w:szCs w:val="24"/>
          <w:u w:val="single"/>
        </w:rPr>
        <w:t>Médio Prazo (3</w:t>
      </w:r>
      <w:r w:rsidRPr="002C0A06">
        <w:rPr>
          <w:rFonts w:ascii="Times New Roman" w:eastAsia="Times New Roman" w:hAnsi="Times New Roman" w:cs="Times New Roman"/>
          <w:bCs/>
          <w:spacing w:val="-4"/>
          <w:sz w:val="24"/>
          <w:szCs w:val="24"/>
          <w:u w:val="single"/>
        </w:rPr>
        <w:noBreakHyphen/>
        <w:t>5 anos) - Integração Tecnológica e Expansão Setorial</w:t>
      </w:r>
      <w:r w:rsidRPr="002C0A06">
        <w:rPr>
          <w:rFonts w:ascii="Times New Roman" w:eastAsia="Times New Roman" w:hAnsi="Times New Roman" w:cs="Times New Roman"/>
          <w:bCs/>
          <w:spacing w:val="-4"/>
          <w:sz w:val="24"/>
          <w:szCs w:val="24"/>
        </w:rPr>
        <w:t>: O horizonte de médio prazo envolve integração de manufatura aditiva com metalurgia do pó, expansão de aplicações biomédicas, desenvolvimento de plataformas de Indústria 4.0 e criação de redes de inovação transnacionais. A manufatura aditiva integrada à metalurgia do pó viabiliza processos híbridos de produção, relevantes para setores aeroespacial e médico. Tian et al. (2022) destacam que essa convergência possibilita novos materiais metálicos e maior complexidade geométrica em peças de alto desempenho, alinhando-se às rotas tecnológicas globais. As aplicações biomédicas incluem implantes personalizados e dispositivos médicos inteligentes, alinhadas ao movimento de personalização da medicina e ao uso de materiais biocompatíveis. A literatura recente mostra que a incorporação de sensores em dispositivos médicos e o uso de manufatura aditiva em biomateriais têm crescido significativamente, acelerando inovações em saúde (CHIA; WU, 2015). O desenvolvimento de plataformas de Indústria 4.0 e a formação de redes transnacionais ampliam a capacidade regional de inovação. De acordo com a OECD (2023), a cooperação internacional é crítica para países emergentes consolidarem ecossistemas tecnológicos capazes de competir globalmente, especialmente em ambientes de rápida difusão digital (Figura 5).</w:t>
      </w:r>
    </w:p>
    <w:p w14:paraId="79F201D7" w14:textId="77777777" w:rsidR="00863FA0" w:rsidRPr="002C0A06" w:rsidRDefault="00863FA0" w:rsidP="00863FA0">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rPr>
      </w:pPr>
      <w:r w:rsidRPr="002C0A06">
        <w:rPr>
          <w:rFonts w:ascii="Times New Roman" w:eastAsia="Times New Roman" w:hAnsi="Times New Roman" w:cs="Times New Roman"/>
          <w:bCs/>
          <w:spacing w:val="-4"/>
          <w:sz w:val="24"/>
          <w:szCs w:val="24"/>
        </w:rPr>
        <w:t xml:space="preserve">3. </w:t>
      </w:r>
      <w:r w:rsidRPr="002C0A06">
        <w:rPr>
          <w:rFonts w:ascii="Times New Roman" w:eastAsia="Times New Roman" w:hAnsi="Times New Roman" w:cs="Times New Roman"/>
          <w:bCs/>
          <w:spacing w:val="-4"/>
          <w:sz w:val="24"/>
          <w:szCs w:val="24"/>
          <w:u w:val="single"/>
        </w:rPr>
        <w:t>Longo Prazo (5+ anos) - Consolidação de Ecossistemas e Liderança Regional</w:t>
      </w:r>
      <w:r w:rsidRPr="002C0A06">
        <w:rPr>
          <w:rFonts w:ascii="Times New Roman" w:eastAsia="Times New Roman" w:hAnsi="Times New Roman" w:cs="Times New Roman"/>
          <w:bCs/>
          <w:spacing w:val="-4"/>
          <w:sz w:val="24"/>
          <w:szCs w:val="24"/>
        </w:rPr>
        <w:t xml:space="preserve">: No longo prazo, o </w:t>
      </w:r>
      <w:proofErr w:type="spellStart"/>
      <w:r w:rsidRPr="002C0A06">
        <w:rPr>
          <w:rFonts w:ascii="Times New Roman" w:eastAsia="Times New Roman" w:hAnsi="Times New Roman" w:cs="Times New Roman"/>
          <w:bCs/>
          <w:spacing w:val="-4"/>
          <w:sz w:val="24"/>
          <w:szCs w:val="24"/>
        </w:rPr>
        <w:t>roadmap</w:t>
      </w:r>
      <w:proofErr w:type="spellEnd"/>
      <w:r w:rsidRPr="002C0A06">
        <w:rPr>
          <w:rFonts w:ascii="Times New Roman" w:eastAsia="Times New Roman" w:hAnsi="Times New Roman" w:cs="Times New Roman"/>
          <w:bCs/>
          <w:spacing w:val="-4"/>
          <w:sz w:val="24"/>
          <w:szCs w:val="24"/>
        </w:rPr>
        <w:t xml:space="preserve"> projeta liderança em manufatura sustentável, consolidação de hubs de biomateriais avançados, integração completa de cadeias digitais e exportação de tecnologias para mercados globais. A manufatura sustentável está ancorada em processos de economia circular, utilização de materiais biodegradáveis e integração de energia renovável. Estudos recentes indicam que a transição para cadeias produtivas sustentáveis é impulsionada por regulamentações internacionais e exigências de competitividade em mercados globais (GEISSDOERFER et al., 2017). A consolidação de hubs de biomateriais projeta a América Latina como fornecedora de tecnologias médicas avançadas, alinhada à tendência global de regionalização da produção de dispositivos críticos (DIMITROV et al, 20</w:t>
      </w:r>
      <w:r>
        <w:rPr>
          <w:rFonts w:ascii="Times New Roman" w:eastAsia="Times New Roman" w:hAnsi="Times New Roman" w:cs="Times New Roman"/>
          <w:bCs/>
          <w:spacing w:val="-4"/>
          <w:sz w:val="24"/>
          <w:szCs w:val="24"/>
        </w:rPr>
        <w:t>0</w:t>
      </w:r>
      <w:r w:rsidRPr="002C0A06">
        <w:rPr>
          <w:rFonts w:ascii="Times New Roman" w:eastAsia="Times New Roman" w:hAnsi="Times New Roman" w:cs="Times New Roman"/>
          <w:bCs/>
          <w:spacing w:val="-4"/>
          <w:sz w:val="24"/>
          <w:szCs w:val="24"/>
        </w:rPr>
        <w:t xml:space="preserve">6). A integração completa de cadeias digitais caracteriza o estágio final de Indústria 4.0, com interoperabilidade total e uso intensivo de </w:t>
      </w:r>
      <w:r w:rsidRPr="002C0A06">
        <w:rPr>
          <w:rFonts w:ascii="Times New Roman" w:eastAsia="Times New Roman" w:hAnsi="Times New Roman" w:cs="Times New Roman"/>
          <w:bCs/>
          <w:spacing w:val="-4"/>
          <w:sz w:val="24"/>
          <w:szCs w:val="24"/>
        </w:rPr>
        <w:lastRenderedPageBreak/>
        <w:t xml:space="preserve">inteligência artificial para otimização de processos. Essa trajetória converge com modelos de transformação digital que enfatizam maturidade tecnológica progressiva, redes colaborativas e capacidade de exportação tecnológica (KAMBLE et al., 2020) (Figura 5). </w:t>
      </w:r>
    </w:p>
    <w:p w14:paraId="543D9861" w14:textId="77777777" w:rsidR="00863FA0" w:rsidRPr="002C0A06" w:rsidRDefault="00863FA0" w:rsidP="00863FA0">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rPr>
      </w:pPr>
      <w:r w:rsidRPr="002C0A06">
        <w:rPr>
          <w:rFonts w:ascii="Times New Roman" w:eastAsia="Times New Roman" w:hAnsi="Times New Roman" w:cs="Times New Roman"/>
          <w:bCs/>
          <w:spacing w:val="-4"/>
          <w:sz w:val="24"/>
          <w:szCs w:val="24"/>
        </w:rPr>
        <w:t xml:space="preserve">O </w:t>
      </w:r>
      <w:proofErr w:type="spellStart"/>
      <w:r w:rsidRPr="002C0A06">
        <w:rPr>
          <w:rFonts w:ascii="Times New Roman" w:eastAsia="Times New Roman" w:hAnsi="Times New Roman" w:cs="Times New Roman"/>
          <w:bCs/>
          <w:spacing w:val="-4"/>
          <w:sz w:val="24"/>
          <w:szCs w:val="24"/>
        </w:rPr>
        <w:t>roadmap</w:t>
      </w:r>
      <w:proofErr w:type="spellEnd"/>
      <w:r w:rsidRPr="002C0A06">
        <w:rPr>
          <w:rFonts w:ascii="Times New Roman" w:eastAsia="Times New Roman" w:hAnsi="Times New Roman" w:cs="Times New Roman"/>
          <w:bCs/>
          <w:spacing w:val="-4"/>
          <w:sz w:val="24"/>
          <w:szCs w:val="24"/>
        </w:rPr>
        <w:t xml:space="preserve"> sugere uma progressão que inicia com a estruturação de capacidades de P&amp;D e digitalização inicial, avança para integração de tecnologias emergentes e culmina na consolidação de ecossistemas industriais digitais e sustentáveis. O diálogo com a literatura mostra coerência com os modelos de maturidade tecnológica e com as tendências internacionais de Indústria 4.0, sustentabilidade e biomateriais avançados, reforçando a importância da cooperação regional e da inserção global para a competitividade da América Latina (Figura 5).</w:t>
      </w:r>
    </w:p>
    <w:p w14:paraId="521D2A69"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43F0E4B9" w14:textId="77777777" w:rsidR="00D8471E" w:rsidRDefault="005B76E5">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CONSIDERAÇÕES FINAIS E IMPLICAÇÕES</w:t>
      </w:r>
    </w:p>
    <w:p w14:paraId="288AD12C" w14:textId="1128BA8A" w:rsidR="00DB1A49" w:rsidRDefault="00DB1A49">
      <w:pPr>
        <w:spacing w:line="360" w:lineRule="auto"/>
        <w:ind w:firstLine="720"/>
        <w:jc w:val="both"/>
        <w:rPr>
          <w:rFonts w:ascii="Times New Roman" w:eastAsia="Times New Roman" w:hAnsi="Times New Roman" w:cs="Times New Roman"/>
          <w:b/>
          <w:sz w:val="28"/>
          <w:szCs w:val="28"/>
        </w:rPr>
      </w:pPr>
    </w:p>
    <w:p w14:paraId="49297F25" w14:textId="77777777" w:rsidR="00D8471E" w:rsidRDefault="005B76E5">
      <w:pPr>
        <w:numPr>
          <w:ilvl w:val="1"/>
          <w:numId w:val="3"/>
        </w:numPr>
        <w:pBdr>
          <w:top w:val="nil"/>
          <w:left w:val="nil"/>
          <w:bottom w:val="nil"/>
          <w:right w:val="nil"/>
          <w:between w:val="nil"/>
        </w:pBdr>
        <w:spacing w:line="360" w:lineRule="auto"/>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CONTRIBUIÇÃO DO TRABALHO</w:t>
      </w:r>
    </w:p>
    <w:p w14:paraId="7322C485" w14:textId="77777777" w:rsidR="00A01146" w:rsidRPr="002C0A06" w:rsidRDefault="00A01146" w:rsidP="00A01146">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rPr>
      </w:pPr>
      <w:r w:rsidRPr="002C0A06">
        <w:rPr>
          <w:rFonts w:ascii="Times New Roman" w:eastAsia="Times New Roman" w:hAnsi="Times New Roman" w:cs="Times New Roman"/>
          <w:bCs/>
          <w:spacing w:val="-4"/>
          <w:sz w:val="24"/>
          <w:szCs w:val="24"/>
        </w:rPr>
        <w:t>A análise dos dados relacionadas revela um cenário de inovação caracterizado por concentração geográfica e especialização tecnológica. Cinco rotas principais foram identificadas: moldagem de plásticos, metalurgia do pó, manufatura aditiva, biomateriais e conectividade industrial, que somam 879 citações, correspondendo a 54,2% do total. O Brasil concentra 72,8% dessas patentes, seguido pelo México (24,7%) e Argentina (2,5%), refletindo uma distribuição assimétrica da capacidade inovadora na região. Este padrão é consistente com estudos que apontam para a centralização de esforços de P&amp;D em polos tecnológicos específicos, especialmente em economias emergentes (MCCANN; ORTEGA-ARGILÉS, 2021; OECD, 2023).</w:t>
      </w:r>
    </w:p>
    <w:p w14:paraId="7E71E9C9" w14:textId="77777777" w:rsidR="00A01146" w:rsidRDefault="00A01146">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032A0C2A" w14:textId="77777777" w:rsidR="00D8471E" w:rsidRDefault="005B76E5">
      <w:pPr>
        <w:numPr>
          <w:ilvl w:val="1"/>
          <w:numId w:val="3"/>
        </w:numPr>
        <w:spacing w:line="360" w:lineRule="auto"/>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IMPLICAÇÕES TEÓRICAS E PRÁTICAS</w:t>
      </w:r>
    </w:p>
    <w:p w14:paraId="2F0A7531" w14:textId="77777777" w:rsidR="00AB7BDE" w:rsidRPr="002C0A06" w:rsidRDefault="00AB7BDE" w:rsidP="00AB7BDE">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rPr>
      </w:pPr>
      <w:r w:rsidRPr="002C0A06">
        <w:rPr>
          <w:rFonts w:ascii="Times New Roman" w:eastAsia="Times New Roman" w:hAnsi="Times New Roman" w:cs="Times New Roman"/>
          <w:bCs/>
          <w:spacing w:val="-4"/>
          <w:sz w:val="24"/>
          <w:szCs w:val="24"/>
        </w:rPr>
        <w:t xml:space="preserve">A convergência tecnológica observada indica oportunidades estratégicas em três frentes principais. A primeira refere-se à manufatura inteligente, que combina processos convencionais, como a moldagem de plásticos e a metalurgia do pó, com a digitalização e a adoção de tecnologias da Indústria 4.0, incluindo sistemas </w:t>
      </w:r>
      <w:proofErr w:type="spellStart"/>
      <w:r w:rsidRPr="002C0A06">
        <w:rPr>
          <w:rFonts w:ascii="Times New Roman" w:eastAsia="Times New Roman" w:hAnsi="Times New Roman" w:cs="Times New Roman"/>
          <w:bCs/>
          <w:spacing w:val="-4"/>
          <w:sz w:val="24"/>
          <w:szCs w:val="24"/>
        </w:rPr>
        <w:t>ciberfísicos</w:t>
      </w:r>
      <w:proofErr w:type="spellEnd"/>
      <w:r w:rsidRPr="002C0A06">
        <w:rPr>
          <w:rFonts w:ascii="Times New Roman" w:eastAsia="Times New Roman" w:hAnsi="Times New Roman" w:cs="Times New Roman"/>
          <w:bCs/>
          <w:spacing w:val="-4"/>
          <w:sz w:val="24"/>
          <w:szCs w:val="24"/>
        </w:rPr>
        <w:t xml:space="preserve">, internet das coisas (IoT) e análise de dados em tempo real (KAGERMANN et al., 2013; WANG et al., 2018). A integração de tecnologias digitais aos processos industriais está alinhada à transformação produtiva global, conforme destacado por </w:t>
      </w:r>
      <w:proofErr w:type="spellStart"/>
      <w:r w:rsidRPr="002C0A06">
        <w:rPr>
          <w:rFonts w:ascii="Times New Roman" w:eastAsia="Times New Roman" w:hAnsi="Times New Roman" w:cs="Times New Roman"/>
          <w:bCs/>
          <w:spacing w:val="-4"/>
          <w:sz w:val="24"/>
          <w:szCs w:val="24"/>
        </w:rPr>
        <w:t>Kamble</w:t>
      </w:r>
      <w:proofErr w:type="spellEnd"/>
      <w:r w:rsidRPr="002C0A06">
        <w:rPr>
          <w:rFonts w:ascii="Times New Roman" w:eastAsia="Times New Roman" w:hAnsi="Times New Roman" w:cs="Times New Roman"/>
          <w:bCs/>
          <w:spacing w:val="-4"/>
          <w:sz w:val="24"/>
          <w:szCs w:val="24"/>
        </w:rPr>
        <w:t xml:space="preserve"> et al. (2020), que evidenciam ganhos em rastreabilidade, flexibilidade e eficiência.</w:t>
      </w:r>
    </w:p>
    <w:p w14:paraId="3F3EB5A3" w14:textId="77777777" w:rsidR="00AB7BDE" w:rsidRPr="002C0A06" w:rsidRDefault="00AB7BDE" w:rsidP="00AB7BDE">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rPr>
      </w:pPr>
      <w:r w:rsidRPr="002C0A06">
        <w:rPr>
          <w:rFonts w:ascii="Times New Roman" w:eastAsia="Times New Roman" w:hAnsi="Times New Roman" w:cs="Times New Roman"/>
          <w:bCs/>
          <w:spacing w:val="-4"/>
          <w:sz w:val="24"/>
          <w:szCs w:val="24"/>
        </w:rPr>
        <w:t xml:space="preserve">A segunda frente envolve os biomateriais avançados, que apresentam potencial crescente para aplicações médicas, como implantes personalizados, dispositivos inteligentes e materiais biocompatíveis. A literatura recente demonstra que a convergência entre biomateriais e manufatura </w:t>
      </w:r>
      <w:r w:rsidRPr="002C0A06">
        <w:rPr>
          <w:rFonts w:ascii="Times New Roman" w:eastAsia="Times New Roman" w:hAnsi="Times New Roman" w:cs="Times New Roman"/>
          <w:bCs/>
          <w:spacing w:val="-4"/>
          <w:sz w:val="24"/>
          <w:szCs w:val="24"/>
        </w:rPr>
        <w:lastRenderedPageBreak/>
        <w:t>aditiva impulsiona a produção de dispositivos médicos sob demanda, favorecendo estratégias de medicina personalizada (CHIA; WU, 2015; DIMITROV et al., 20</w:t>
      </w:r>
      <w:r>
        <w:rPr>
          <w:rFonts w:ascii="Times New Roman" w:eastAsia="Times New Roman" w:hAnsi="Times New Roman" w:cs="Times New Roman"/>
          <w:bCs/>
          <w:spacing w:val="-4"/>
          <w:sz w:val="24"/>
          <w:szCs w:val="24"/>
        </w:rPr>
        <w:t>0</w:t>
      </w:r>
      <w:r w:rsidRPr="002C0A06">
        <w:rPr>
          <w:rFonts w:ascii="Times New Roman" w:eastAsia="Times New Roman" w:hAnsi="Times New Roman" w:cs="Times New Roman"/>
          <w:bCs/>
          <w:spacing w:val="-4"/>
          <w:sz w:val="24"/>
          <w:szCs w:val="24"/>
        </w:rPr>
        <w:t>6). No contexto latino-americano, a exploração dessa rota requer investimentos coordenados em centros de P&amp;D e o fortalecimento de regulações específicas para garantir padrões de qualidade e segurança.</w:t>
      </w:r>
    </w:p>
    <w:p w14:paraId="63CB0A13" w14:textId="77777777" w:rsidR="00AB7BDE" w:rsidRPr="002C0A06" w:rsidRDefault="00AB7BDE" w:rsidP="00AB7BDE">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rPr>
      </w:pPr>
      <w:r w:rsidRPr="002C0A06">
        <w:rPr>
          <w:rFonts w:ascii="Times New Roman" w:eastAsia="Times New Roman" w:hAnsi="Times New Roman" w:cs="Times New Roman"/>
          <w:bCs/>
          <w:spacing w:val="-4"/>
          <w:sz w:val="24"/>
          <w:szCs w:val="24"/>
        </w:rPr>
        <w:t xml:space="preserve">A terceira oportunidade refere-se à metalurgia de precisão e manufatura aditiva, cujo potencial de expansão está associado à produção de ligas metálicas para aplicações aeroespaciais e biomédicas. Estudos recentes em metalurgia do pó e impressão 3D de metais evidenciam avanços em propriedades mecânicas, otimização de processos híbridos e redução de desperdícios (TIAN et al., 2022). A literatura sobre </w:t>
      </w:r>
      <w:proofErr w:type="spellStart"/>
      <w:r w:rsidRPr="002C0A06">
        <w:rPr>
          <w:rFonts w:ascii="Times New Roman" w:eastAsia="Times New Roman" w:hAnsi="Times New Roman" w:cs="Times New Roman"/>
          <w:bCs/>
          <w:spacing w:val="-4"/>
          <w:sz w:val="24"/>
          <w:szCs w:val="24"/>
        </w:rPr>
        <w:t>roadmapping</w:t>
      </w:r>
      <w:proofErr w:type="spellEnd"/>
      <w:r w:rsidRPr="002C0A06">
        <w:rPr>
          <w:rFonts w:ascii="Times New Roman" w:eastAsia="Times New Roman" w:hAnsi="Times New Roman" w:cs="Times New Roman"/>
          <w:bCs/>
          <w:spacing w:val="-4"/>
          <w:sz w:val="24"/>
          <w:szCs w:val="24"/>
        </w:rPr>
        <w:t xml:space="preserve"> tecnológico recomenda que setores emergentes como este sejam apoiados por políticas industriais que promovam integração entre pesquisa básica, desenvolvimento experimental e aplicação industrial (PHAAL et al., 2004).</w:t>
      </w:r>
    </w:p>
    <w:p w14:paraId="7A01B85B" w14:textId="77777777" w:rsidR="00AB7BDE" w:rsidRDefault="00AB7BD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3F887A1E" w14:textId="77777777" w:rsidR="00D8471E" w:rsidRDefault="005B76E5">
      <w:pPr>
        <w:numPr>
          <w:ilvl w:val="1"/>
          <w:numId w:val="3"/>
        </w:numPr>
        <w:spacing w:line="360" w:lineRule="auto"/>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IMPLICAÇÕES GERENCIAIS</w:t>
      </w:r>
    </w:p>
    <w:p w14:paraId="435F0BB6" w14:textId="55ACE7DD" w:rsidR="00EA23D4" w:rsidRDefault="004A41C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4A41C5">
        <w:rPr>
          <w:rFonts w:ascii="Times New Roman" w:eastAsia="Times New Roman" w:hAnsi="Times New Roman" w:cs="Times New Roman"/>
          <w:sz w:val="24"/>
          <w:szCs w:val="24"/>
        </w:rPr>
        <w:t>As implicações gerenciais deste estudo evidenciam a necessidade de os gestores do setor metalmecânico latino-americano estruturarem estratégias alinhadas às rotas tecnológicas dominantes e emergentes. A priorização de investimentos em manufatura aditiva e metalurgia avançada, já consolidadas na região, deve ser acompanhada por políticas internas de P&amp;D que favoreçam a absorção de conhecimento e a formação de equipes multidisciplinares. Simultaneamente, torna-se imperativo que os gestores estimulem a adoção gradual de tecnologias de conectividade e biomateriais, a fim de diversificar competências e ampliar a competitividade em cadeias globais de valor. Além disso, a articulação com universidades e centros de pesquisa deve ser entendida como mecanismo estratégico de transferência de conhecimento, acelerando a inovação e reduzindo o tempo de maturação tecnológica. Assim, a gestão empresarial passa a demandar uma postura proativa de integração digital, cooperação interinstitucional e alinhamento a políticas de especialização inteligente, de modo a posicionar as organizações como protagonistas na transição para a Indústria 4.0 na América Latina</w:t>
      </w:r>
      <w:r>
        <w:rPr>
          <w:rFonts w:ascii="Times New Roman" w:eastAsia="Times New Roman" w:hAnsi="Times New Roman" w:cs="Times New Roman"/>
          <w:sz w:val="24"/>
          <w:szCs w:val="24"/>
        </w:rPr>
        <w:t>.</w:t>
      </w:r>
    </w:p>
    <w:p w14:paraId="161703CD" w14:textId="77777777" w:rsidR="004A41C5" w:rsidRDefault="004A41C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2A7E4BD7" w14:textId="77777777" w:rsidR="00D8471E" w:rsidRDefault="005B76E5">
      <w:pPr>
        <w:numPr>
          <w:ilvl w:val="1"/>
          <w:numId w:val="3"/>
        </w:numPr>
        <w:spacing w:line="360" w:lineRule="auto"/>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LIMITAÇÕES DA PESQUISA E ESTUDOS FUTUROS</w:t>
      </w:r>
    </w:p>
    <w:p w14:paraId="770E5C12" w14:textId="0F44A119" w:rsidR="00B50247" w:rsidRPr="002C0A06" w:rsidRDefault="00B50247" w:rsidP="00B50247">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rPr>
      </w:pPr>
      <w:r w:rsidRPr="002C0A06">
        <w:rPr>
          <w:rFonts w:ascii="Times New Roman" w:eastAsia="Times New Roman" w:hAnsi="Times New Roman" w:cs="Times New Roman"/>
          <w:bCs/>
          <w:spacing w:val="-4"/>
          <w:sz w:val="24"/>
          <w:szCs w:val="24"/>
        </w:rPr>
        <w:t xml:space="preserve">Apesar das oportunidades, desafios estruturais permanecem evidentes. A concentração geográfica da atividade inovadora no Brasil limita o desenvolvimento de ecossistemas regionais integrados, reduzindo o potencial de colaboração transnacional. A baixa exploração da conectividade industrial demonstra uma defasagem na adoção de soluções de digitalização avançada, essenciais para a integração completa de cadeias produtivas (KAMBLE et al., 2020). </w:t>
      </w:r>
      <w:r w:rsidRPr="002C0A06">
        <w:rPr>
          <w:rFonts w:ascii="Times New Roman" w:eastAsia="Times New Roman" w:hAnsi="Times New Roman" w:cs="Times New Roman"/>
          <w:bCs/>
          <w:spacing w:val="-4"/>
          <w:sz w:val="24"/>
          <w:szCs w:val="24"/>
        </w:rPr>
        <w:lastRenderedPageBreak/>
        <w:t>Além disso, a especialização em biomateriais ainda é incipiente, exigindo esforços coordenados em formação de competências, financiamento e regulamentação (PERKMANN et al., 2021).</w:t>
      </w:r>
    </w:p>
    <w:p w14:paraId="7CEF1B5E" w14:textId="77777777" w:rsidR="00B50247" w:rsidRPr="002C0A06" w:rsidRDefault="00B50247" w:rsidP="00B50247">
      <w:pPr>
        <w:pBdr>
          <w:top w:val="nil"/>
          <w:left w:val="nil"/>
          <w:bottom w:val="nil"/>
          <w:right w:val="nil"/>
          <w:between w:val="nil"/>
        </w:pBdr>
        <w:spacing w:line="360" w:lineRule="auto"/>
        <w:ind w:firstLine="720"/>
        <w:jc w:val="both"/>
        <w:rPr>
          <w:rFonts w:ascii="Times New Roman" w:eastAsia="Times New Roman" w:hAnsi="Times New Roman" w:cs="Times New Roman"/>
          <w:bCs/>
          <w:spacing w:val="-4"/>
          <w:sz w:val="24"/>
          <w:szCs w:val="24"/>
        </w:rPr>
      </w:pPr>
      <w:r w:rsidRPr="002C0A06">
        <w:rPr>
          <w:rFonts w:ascii="Times New Roman" w:eastAsia="Times New Roman" w:hAnsi="Times New Roman" w:cs="Times New Roman"/>
          <w:bCs/>
          <w:spacing w:val="-4"/>
          <w:sz w:val="24"/>
          <w:szCs w:val="24"/>
        </w:rPr>
        <w:t>Para enfrentar esses desafios, recomenda-se a validação das descobertas com especialistas setoriais, o mapeamento de atores-chave em cada rota tecnológica, o desenvolvimento de métricas de monitoramento e a criação de planos de ação específicos por país. A literatura sobre inovação colaborativa indica que parcerias universidade-indústria e consórcios tecnológicos regionais são mecanismos centrais para acelerar a transferência de conhecimento e ampliar a competitividade global (CHESBROUGH, 2020; OECD, 2023). A adoção dessa abordagem poderá posicionar a América Latina como um polo regional em manufatura avançada, com capacidade de inserção em nichos tecnológicos globais.</w:t>
      </w:r>
    </w:p>
    <w:p w14:paraId="033BDFA2" w14:textId="77777777" w:rsidR="00B009E4" w:rsidRDefault="00B009E4">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570EC4FD" w14:textId="77777777" w:rsidR="00D8471E" w:rsidRDefault="005B76E5">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REFERÊNCIAS</w:t>
      </w:r>
    </w:p>
    <w:p w14:paraId="74F5EF0F"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ARCHIBUGI, D.; PIANTA, M. Measuring technological change through patents and innovation surveys. </w:t>
      </w:r>
      <w:proofErr w:type="spellStart"/>
      <w:r w:rsidRPr="00AE5FCA">
        <w:rPr>
          <w:rFonts w:ascii="Times New Roman" w:eastAsia="Times New Roman" w:hAnsi="Times New Roman" w:cs="Times New Roman"/>
          <w:bCs/>
          <w:i/>
          <w:iCs/>
          <w:sz w:val="24"/>
          <w:szCs w:val="24"/>
          <w:lang w:val="en-US"/>
        </w:rPr>
        <w:t>Technovation</w:t>
      </w:r>
      <w:proofErr w:type="spellEnd"/>
      <w:r w:rsidRPr="00AE5FCA">
        <w:rPr>
          <w:rFonts w:ascii="Times New Roman" w:eastAsia="Times New Roman" w:hAnsi="Times New Roman" w:cs="Times New Roman"/>
          <w:bCs/>
          <w:sz w:val="24"/>
          <w:szCs w:val="24"/>
          <w:lang w:val="en-US"/>
        </w:rPr>
        <w:t xml:space="preserve">, v. 16, n. 9, p. 451-468, 1996. DOI: </w:t>
      </w:r>
      <w:hyperlink r:id="rId14" w:tgtFrame="_new" w:history="1">
        <w:r w:rsidRPr="00AE5FCA">
          <w:rPr>
            <w:rStyle w:val="Hyperlink"/>
            <w:rFonts w:ascii="Times New Roman" w:eastAsia="Times New Roman" w:hAnsi="Times New Roman" w:cs="Times New Roman"/>
            <w:bCs/>
            <w:sz w:val="24"/>
            <w:szCs w:val="24"/>
            <w:lang w:val="en-US"/>
          </w:rPr>
          <w:t>https://doi.org/10.1016/0166-4972(96)00031-4</w:t>
        </w:r>
      </w:hyperlink>
      <w:r w:rsidRPr="00AE5FCA">
        <w:rPr>
          <w:rFonts w:ascii="Times New Roman" w:eastAsia="Times New Roman" w:hAnsi="Times New Roman" w:cs="Times New Roman"/>
          <w:bCs/>
          <w:sz w:val="24"/>
          <w:szCs w:val="24"/>
          <w:lang w:val="en-US"/>
        </w:rPr>
        <w:t>.</w:t>
      </w:r>
    </w:p>
    <w:p w14:paraId="19E0FBE0"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BOCKEN, N. M. P.; SHORT, S. W.; RANA, P.; EVANS, S. A literature and practice review to develop sustainable business model archetypes. </w:t>
      </w:r>
      <w:r w:rsidRPr="00AE5FCA">
        <w:rPr>
          <w:rFonts w:ascii="Times New Roman" w:eastAsia="Times New Roman" w:hAnsi="Times New Roman" w:cs="Times New Roman"/>
          <w:bCs/>
          <w:i/>
          <w:iCs/>
          <w:sz w:val="24"/>
          <w:szCs w:val="24"/>
          <w:lang w:val="en-US"/>
        </w:rPr>
        <w:t>Journal of Cleaner Production</w:t>
      </w:r>
      <w:r w:rsidRPr="00AE5FCA">
        <w:rPr>
          <w:rFonts w:ascii="Times New Roman" w:eastAsia="Times New Roman" w:hAnsi="Times New Roman" w:cs="Times New Roman"/>
          <w:bCs/>
          <w:sz w:val="24"/>
          <w:szCs w:val="24"/>
          <w:lang w:val="en-US"/>
        </w:rPr>
        <w:t xml:space="preserve">, v. 65, p. 42-56, 2014. DOI: </w:t>
      </w:r>
      <w:hyperlink r:id="rId15" w:tgtFrame="_new" w:history="1">
        <w:r w:rsidRPr="00AE5FCA">
          <w:rPr>
            <w:rStyle w:val="Hyperlink"/>
            <w:rFonts w:ascii="Times New Roman" w:eastAsia="Times New Roman" w:hAnsi="Times New Roman" w:cs="Times New Roman"/>
            <w:bCs/>
            <w:sz w:val="24"/>
            <w:szCs w:val="24"/>
            <w:lang w:val="en-US"/>
          </w:rPr>
          <w:t>https://doi.org/10.1016/j.jclepro.2013.11.039</w:t>
        </w:r>
      </w:hyperlink>
      <w:r w:rsidRPr="00AE5FCA">
        <w:rPr>
          <w:rFonts w:ascii="Times New Roman" w:eastAsia="Times New Roman" w:hAnsi="Times New Roman" w:cs="Times New Roman"/>
          <w:bCs/>
          <w:sz w:val="24"/>
          <w:szCs w:val="24"/>
          <w:lang w:val="en-US"/>
        </w:rPr>
        <w:t>.</w:t>
      </w:r>
    </w:p>
    <w:p w14:paraId="672B89BA"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CASSIOLATO, J. E.; LASTRES, H. M. M. Systems of innovation and development: the implications of policy. </w:t>
      </w:r>
      <w:r w:rsidRPr="00AE5FCA">
        <w:rPr>
          <w:rFonts w:ascii="Times New Roman" w:eastAsia="Times New Roman" w:hAnsi="Times New Roman" w:cs="Times New Roman"/>
          <w:bCs/>
          <w:i/>
          <w:iCs/>
          <w:sz w:val="24"/>
          <w:szCs w:val="24"/>
          <w:lang w:val="en-US"/>
        </w:rPr>
        <w:t xml:space="preserve">São Paulo </w:t>
      </w:r>
      <w:proofErr w:type="spellStart"/>
      <w:r w:rsidRPr="00AE5FCA">
        <w:rPr>
          <w:rFonts w:ascii="Times New Roman" w:eastAsia="Times New Roman" w:hAnsi="Times New Roman" w:cs="Times New Roman"/>
          <w:bCs/>
          <w:i/>
          <w:iCs/>
          <w:sz w:val="24"/>
          <w:szCs w:val="24"/>
          <w:lang w:val="en-US"/>
        </w:rPr>
        <w:t>em</w:t>
      </w:r>
      <w:proofErr w:type="spellEnd"/>
      <w:r w:rsidRPr="00AE5FCA">
        <w:rPr>
          <w:rFonts w:ascii="Times New Roman" w:eastAsia="Times New Roman" w:hAnsi="Times New Roman" w:cs="Times New Roman"/>
          <w:bCs/>
          <w:i/>
          <w:iCs/>
          <w:sz w:val="24"/>
          <w:szCs w:val="24"/>
          <w:lang w:val="en-US"/>
        </w:rPr>
        <w:t xml:space="preserve"> </w:t>
      </w:r>
      <w:proofErr w:type="spellStart"/>
      <w:r w:rsidRPr="00AE5FCA">
        <w:rPr>
          <w:rFonts w:ascii="Times New Roman" w:eastAsia="Times New Roman" w:hAnsi="Times New Roman" w:cs="Times New Roman"/>
          <w:bCs/>
          <w:i/>
          <w:iCs/>
          <w:sz w:val="24"/>
          <w:szCs w:val="24"/>
          <w:lang w:val="en-US"/>
        </w:rPr>
        <w:t>Perspectivas</w:t>
      </w:r>
      <w:proofErr w:type="spellEnd"/>
      <w:r w:rsidRPr="00AE5FCA">
        <w:rPr>
          <w:rFonts w:ascii="Times New Roman" w:eastAsia="Times New Roman" w:hAnsi="Times New Roman" w:cs="Times New Roman"/>
          <w:bCs/>
          <w:sz w:val="24"/>
          <w:szCs w:val="24"/>
          <w:lang w:val="en-US"/>
        </w:rPr>
        <w:t>, v. 19, n. 1, p. 34-45, 2005.</w:t>
      </w:r>
    </w:p>
    <w:p w14:paraId="0C4F9E1C"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CHESBROUGH, H. </w:t>
      </w:r>
      <w:r w:rsidRPr="00AE5FCA">
        <w:rPr>
          <w:rFonts w:ascii="Times New Roman" w:eastAsia="Times New Roman" w:hAnsi="Times New Roman" w:cs="Times New Roman"/>
          <w:bCs/>
          <w:i/>
          <w:iCs/>
          <w:sz w:val="24"/>
          <w:szCs w:val="24"/>
          <w:lang w:val="en-US"/>
        </w:rPr>
        <w:t>Open innovation results: going beyond the hype and getting down to business</w:t>
      </w:r>
      <w:r w:rsidRPr="00AE5FCA">
        <w:rPr>
          <w:rFonts w:ascii="Times New Roman" w:eastAsia="Times New Roman" w:hAnsi="Times New Roman" w:cs="Times New Roman"/>
          <w:bCs/>
          <w:sz w:val="24"/>
          <w:szCs w:val="24"/>
          <w:lang w:val="en-US"/>
        </w:rPr>
        <w:t xml:space="preserve">. Oxford: Oxford University Press, 2020. DOI: </w:t>
      </w:r>
      <w:hyperlink r:id="rId16" w:tgtFrame="_new" w:history="1">
        <w:r w:rsidRPr="00AE5FCA">
          <w:rPr>
            <w:rStyle w:val="Hyperlink"/>
            <w:rFonts w:ascii="Times New Roman" w:eastAsia="Times New Roman" w:hAnsi="Times New Roman" w:cs="Times New Roman"/>
            <w:bCs/>
            <w:sz w:val="24"/>
            <w:szCs w:val="24"/>
            <w:lang w:val="en-US"/>
          </w:rPr>
          <w:t>https://doi.org/10.1093/oso/9780198841906.001.0001</w:t>
        </w:r>
      </w:hyperlink>
      <w:r w:rsidRPr="00AE5FCA">
        <w:rPr>
          <w:rFonts w:ascii="Times New Roman" w:eastAsia="Times New Roman" w:hAnsi="Times New Roman" w:cs="Times New Roman"/>
          <w:bCs/>
          <w:sz w:val="24"/>
          <w:szCs w:val="24"/>
          <w:lang w:val="en-US"/>
        </w:rPr>
        <w:t>.</w:t>
      </w:r>
    </w:p>
    <w:p w14:paraId="65713D1C"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CHIA, H. N.; WU, B. M. Recent advances in 3D printing of biomaterials. </w:t>
      </w:r>
      <w:r w:rsidRPr="00AE5FCA">
        <w:rPr>
          <w:rFonts w:ascii="Times New Roman" w:eastAsia="Times New Roman" w:hAnsi="Times New Roman" w:cs="Times New Roman"/>
          <w:bCs/>
          <w:i/>
          <w:iCs/>
          <w:sz w:val="24"/>
          <w:szCs w:val="24"/>
          <w:lang w:val="en-US"/>
        </w:rPr>
        <w:t>Journal of Biological Engineering</w:t>
      </w:r>
      <w:r w:rsidRPr="00AE5FCA">
        <w:rPr>
          <w:rFonts w:ascii="Times New Roman" w:eastAsia="Times New Roman" w:hAnsi="Times New Roman" w:cs="Times New Roman"/>
          <w:bCs/>
          <w:sz w:val="24"/>
          <w:szCs w:val="24"/>
          <w:lang w:val="en-US"/>
        </w:rPr>
        <w:t xml:space="preserve">, v. 9, n. 1, p. 4, 2015. DOI: </w:t>
      </w:r>
      <w:hyperlink r:id="rId17" w:tgtFrame="_new" w:history="1">
        <w:r w:rsidRPr="00AE5FCA">
          <w:rPr>
            <w:rStyle w:val="Hyperlink"/>
            <w:rFonts w:ascii="Times New Roman" w:eastAsia="Times New Roman" w:hAnsi="Times New Roman" w:cs="Times New Roman"/>
            <w:bCs/>
            <w:sz w:val="24"/>
            <w:szCs w:val="24"/>
            <w:lang w:val="en-US"/>
          </w:rPr>
          <w:t>https://doi.org/10.1186/s13036-015-0001-4</w:t>
        </w:r>
      </w:hyperlink>
      <w:r w:rsidRPr="00AE5FCA">
        <w:rPr>
          <w:rFonts w:ascii="Times New Roman" w:eastAsia="Times New Roman" w:hAnsi="Times New Roman" w:cs="Times New Roman"/>
          <w:bCs/>
          <w:sz w:val="24"/>
          <w:szCs w:val="24"/>
          <w:lang w:val="en-US"/>
        </w:rPr>
        <w:t>.</w:t>
      </w:r>
    </w:p>
    <w:p w14:paraId="44424A11"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COZZENS, S. E.; MELKERS, J. </w:t>
      </w:r>
      <w:r w:rsidRPr="00AE5FCA">
        <w:rPr>
          <w:rFonts w:ascii="Times New Roman" w:eastAsia="Times New Roman" w:hAnsi="Times New Roman" w:cs="Times New Roman"/>
          <w:bCs/>
          <w:i/>
          <w:iCs/>
          <w:sz w:val="24"/>
          <w:szCs w:val="24"/>
          <w:lang w:val="en-US"/>
        </w:rPr>
        <w:t>The research and development system in transition</w:t>
      </w:r>
      <w:r w:rsidRPr="00AE5FCA">
        <w:rPr>
          <w:rFonts w:ascii="Times New Roman" w:eastAsia="Times New Roman" w:hAnsi="Times New Roman" w:cs="Times New Roman"/>
          <w:bCs/>
          <w:sz w:val="24"/>
          <w:szCs w:val="24"/>
          <w:lang w:val="en-US"/>
        </w:rPr>
        <w:t>. Cham: Springer, 2018.</w:t>
      </w:r>
    </w:p>
    <w:p w14:paraId="3E20416C" w14:textId="77777777" w:rsidR="005B76E5"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DIMITROV, D.; SCHREVE, K.; DE BEER, N. Advances in three-dimensional printing: rapid prototyping tool for product design. </w:t>
      </w:r>
      <w:r w:rsidRPr="00AE5FCA">
        <w:rPr>
          <w:rFonts w:ascii="Times New Roman" w:eastAsia="Times New Roman" w:hAnsi="Times New Roman" w:cs="Times New Roman"/>
          <w:bCs/>
          <w:i/>
          <w:iCs/>
          <w:sz w:val="24"/>
          <w:szCs w:val="24"/>
          <w:lang w:val="en-US"/>
        </w:rPr>
        <w:t>Rapid Prototyping Journal</w:t>
      </w:r>
      <w:r w:rsidRPr="00AE5FCA">
        <w:rPr>
          <w:rFonts w:ascii="Times New Roman" w:eastAsia="Times New Roman" w:hAnsi="Times New Roman" w:cs="Times New Roman"/>
          <w:bCs/>
          <w:sz w:val="24"/>
          <w:szCs w:val="24"/>
          <w:lang w:val="en-US"/>
        </w:rPr>
        <w:t xml:space="preserve">, v. 12, n. 2, p. 136-147, 2006. DOI: </w:t>
      </w:r>
      <w:hyperlink r:id="rId18" w:tgtFrame="_new" w:history="1">
        <w:r w:rsidRPr="00AE5FCA">
          <w:rPr>
            <w:rStyle w:val="Hyperlink"/>
            <w:rFonts w:ascii="Times New Roman" w:eastAsia="Times New Roman" w:hAnsi="Times New Roman" w:cs="Times New Roman"/>
            <w:bCs/>
            <w:sz w:val="24"/>
            <w:szCs w:val="24"/>
            <w:lang w:val="en-US"/>
          </w:rPr>
          <w:t>https://doi.org/10.1108/13552540610670717</w:t>
        </w:r>
      </w:hyperlink>
      <w:r w:rsidRPr="00AE5FCA">
        <w:rPr>
          <w:rFonts w:ascii="Times New Roman" w:eastAsia="Times New Roman" w:hAnsi="Times New Roman" w:cs="Times New Roman"/>
          <w:bCs/>
          <w:sz w:val="24"/>
          <w:szCs w:val="24"/>
          <w:lang w:val="en-US"/>
        </w:rPr>
        <w:t>.</w:t>
      </w:r>
    </w:p>
    <w:p w14:paraId="767A9E81" w14:textId="77777777" w:rsidR="005B76E5" w:rsidRPr="00AE5FCA" w:rsidRDefault="005B76E5" w:rsidP="005B76E5">
      <w:pPr>
        <w:spacing w:line="360" w:lineRule="auto"/>
        <w:rPr>
          <w:rFonts w:ascii="Times New Roman" w:eastAsia="Times New Roman" w:hAnsi="Times New Roman" w:cs="Times New Roman"/>
          <w:bCs/>
          <w:sz w:val="24"/>
          <w:szCs w:val="24"/>
          <w:lang w:val="en-US"/>
        </w:rPr>
      </w:pPr>
      <w:r w:rsidRPr="00C63B2C">
        <w:rPr>
          <w:rFonts w:ascii="Times New Roman" w:eastAsia="Times New Roman" w:hAnsi="Times New Roman" w:cs="Times New Roman"/>
          <w:bCs/>
          <w:sz w:val="24"/>
          <w:szCs w:val="24"/>
          <w:lang w:val="en-US"/>
        </w:rPr>
        <w:t xml:space="preserve">DING, B.; FERRÀS HERNÁNDEZ, X. Case study as a methodological foundation for Technology </w:t>
      </w:r>
      <w:proofErr w:type="spellStart"/>
      <w:r w:rsidRPr="00C63B2C">
        <w:rPr>
          <w:rFonts w:ascii="Times New Roman" w:eastAsia="Times New Roman" w:hAnsi="Times New Roman" w:cs="Times New Roman"/>
          <w:bCs/>
          <w:sz w:val="24"/>
          <w:szCs w:val="24"/>
          <w:lang w:val="en-US"/>
        </w:rPr>
        <w:t>Roadmapping</w:t>
      </w:r>
      <w:proofErr w:type="spellEnd"/>
      <w:r w:rsidRPr="00C63B2C">
        <w:rPr>
          <w:rFonts w:ascii="Times New Roman" w:eastAsia="Times New Roman" w:hAnsi="Times New Roman" w:cs="Times New Roman"/>
          <w:bCs/>
          <w:sz w:val="24"/>
          <w:szCs w:val="24"/>
          <w:lang w:val="en-US"/>
        </w:rPr>
        <w:t xml:space="preserve"> (TRM): Literature review and future research agenda. Journal of Engineering and Technology Management, v. 67, p. 101731, 1 </w:t>
      </w:r>
      <w:proofErr w:type="spellStart"/>
      <w:r w:rsidRPr="00C63B2C">
        <w:rPr>
          <w:rFonts w:ascii="Times New Roman" w:eastAsia="Times New Roman" w:hAnsi="Times New Roman" w:cs="Times New Roman"/>
          <w:bCs/>
          <w:sz w:val="24"/>
          <w:szCs w:val="24"/>
          <w:lang w:val="en-US"/>
        </w:rPr>
        <w:t>jan.</w:t>
      </w:r>
      <w:proofErr w:type="spellEnd"/>
      <w:r w:rsidRPr="00C63B2C">
        <w:rPr>
          <w:rFonts w:ascii="Times New Roman" w:eastAsia="Times New Roman" w:hAnsi="Times New Roman" w:cs="Times New Roman"/>
          <w:bCs/>
          <w:sz w:val="24"/>
          <w:szCs w:val="24"/>
          <w:lang w:val="en-US"/>
        </w:rPr>
        <w:t xml:space="preserve"> 2023. </w:t>
      </w:r>
    </w:p>
    <w:p w14:paraId="591FA5A3"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lastRenderedPageBreak/>
        <w:t xml:space="preserve">DOSI, G. Technological paradigms and technological trajectories: a suggested interpretation of the determinants and directions of technical change. </w:t>
      </w:r>
      <w:r w:rsidRPr="00AE5FCA">
        <w:rPr>
          <w:rFonts w:ascii="Times New Roman" w:eastAsia="Times New Roman" w:hAnsi="Times New Roman" w:cs="Times New Roman"/>
          <w:bCs/>
          <w:i/>
          <w:iCs/>
          <w:sz w:val="24"/>
          <w:szCs w:val="24"/>
          <w:lang w:val="en-US"/>
        </w:rPr>
        <w:t>Research Policy</w:t>
      </w:r>
      <w:r w:rsidRPr="00AE5FCA">
        <w:rPr>
          <w:rFonts w:ascii="Times New Roman" w:eastAsia="Times New Roman" w:hAnsi="Times New Roman" w:cs="Times New Roman"/>
          <w:bCs/>
          <w:sz w:val="24"/>
          <w:szCs w:val="24"/>
          <w:lang w:val="en-US"/>
        </w:rPr>
        <w:t>, v. 11, n. 3, p. 147-162, 1982.</w:t>
      </w:r>
    </w:p>
    <w:p w14:paraId="2E2231E9"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EXADAKTYLOS, D.; GHODSI, M.; RUNGI, A. What do firms gain from patenting? The case of the global ICT industry. </w:t>
      </w:r>
      <w:r w:rsidRPr="00AE5FCA">
        <w:rPr>
          <w:rFonts w:ascii="Times New Roman" w:eastAsia="Times New Roman" w:hAnsi="Times New Roman" w:cs="Times New Roman"/>
          <w:bCs/>
          <w:i/>
          <w:iCs/>
          <w:sz w:val="24"/>
          <w:szCs w:val="24"/>
          <w:lang w:val="en-US"/>
        </w:rPr>
        <w:t>SSRN Electronic Journal</w:t>
      </w:r>
      <w:r w:rsidRPr="00AE5FCA">
        <w:rPr>
          <w:rFonts w:ascii="Times New Roman" w:eastAsia="Times New Roman" w:hAnsi="Times New Roman" w:cs="Times New Roman"/>
          <w:bCs/>
          <w:sz w:val="24"/>
          <w:szCs w:val="24"/>
          <w:lang w:val="en-US"/>
        </w:rPr>
        <w:t xml:space="preserve">, 2021. DOI: </w:t>
      </w:r>
      <w:hyperlink r:id="rId19" w:tgtFrame="_new" w:history="1">
        <w:r w:rsidRPr="00AE5FCA">
          <w:rPr>
            <w:rStyle w:val="Hyperlink"/>
            <w:rFonts w:ascii="Times New Roman" w:eastAsia="Times New Roman" w:hAnsi="Times New Roman" w:cs="Times New Roman"/>
            <w:bCs/>
            <w:sz w:val="24"/>
            <w:szCs w:val="24"/>
            <w:lang w:val="en-US"/>
          </w:rPr>
          <w:t>https://doi.org/10.2139/ssrn.3897611</w:t>
        </w:r>
      </w:hyperlink>
      <w:r w:rsidRPr="00AE5FCA">
        <w:rPr>
          <w:rFonts w:ascii="Times New Roman" w:eastAsia="Times New Roman" w:hAnsi="Times New Roman" w:cs="Times New Roman"/>
          <w:bCs/>
          <w:sz w:val="24"/>
          <w:szCs w:val="24"/>
          <w:lang w:val="en-US"/>
        </w:rPr>
        <w:t>.</w:t>
      </w:r>
    </w:p>
    <w:p w14:paraId="70E18D5C"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GAO, L.; ZHANG, Y.; XU, W. Patent analysis and technology evolution in additive manufacturing: a global perspective. </w:t>
      </w:r>
      <w:r w:rsidRPr="00AE5FCA">
        <w:rPr>
          <w:rFonts w:ascii="Times New Roman" w:eastAsia="Times New Roman" w:hAnsi="Times New Roman" w:cs="Times New Roman"/>
          <w:bCs/>
          <w:i/>
          <w:iCs/>
          <w:sz w:val="24"/>
          <w:szCs w:val="24"/>
          <w:lang w:val="en-US"/>
        </w:rPr>
        <w:t>Journal of Manufacturing Systems</w:t>
      </w:r>
      <w:r w:rsidRPr="00AE5FCA">
        <w:rPr>
          <w:rFonts w:ascii="Times New Roman" w:eastAsia="Times New Roman" w:hAnsi="Times New Roman" w:cs="Times New Roman"/>
          <w:bCs/>
          <w:sz w:val="24"/>
          <w:szCs w:val="24"/>
          <w:lang w:val="en-US"/>
        </w:rPr>
        <w:t xml:space="preserve">, v. 68, p. 345-357, 2023. DOI: </w:t>
      </w:r>
      <w:hyperlink r:id="rId20" w:tgtFrame="_new" w:history="1">
        <w:r w:rsidRPr="00AE5FCA">
          <w:rPr>
            <w:rStyle w:val="Hyperlink"/>
            <w:rFonts w:ascii="Times New Roman" w:eastAsia="Times New Roman" w:hAnsi="Times New Roman" w:cs="Times New Roman"/>
            <w:bCs/>
            <w:sz w:val="24"/>
            <w:szCs w:val="24"/>
            <w:lang w:val="en-US"/>
          </w:rPr>
          <w:t>https://doi.org/10.1016/j.jmsy.2023.03.009</w:t>
        </w:r>
      </w:hyperlink>
      <w:r w:rsidRPr="00AE5FCA">
        <w:rPr>
          <w:rFonts w:ascii="Times New Roman" w:eastAsia="Times New Roman" w:hAnsi="Times New Roman" w:cs="Times New Roman"/>
          <w:bCs/>
          <w:sz w:val="24"/>
          <w:szCs w:val="24"/>
          <w:lang w:val="en-US"/>
        </w:rPr>
        <w:t>.</w:t>
      </w:r>
    </w:p>
    <w:p w14:paraId="17F8FAD6"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GEISSDOERFER, M.; SAVAGET, P.; BOCKEN, N. M. P.; HULTINK, E. J. The circular economy – a new sustainability paradigm? </w:t>
      </w:r>
      <w:r w:rsidRPr="00AE5FCA">
        <w:rPr>
          <w:rFonts w:ascii="Times New Roman" w:eastAsia="Times New Roman" w:hAnsi="Times New Roman" w:cs="Times New Roman"/>
          <w:bCs/>
          <w:i/>
          <w:iCs/>
          <w:sz w:val="24"/>
          <w:szCs w:val="24"/>
          <w:lang w:val="en-US"/>
        </w:rPr>
        <w:t>Journal of Cleaner Production</w:t>
      </w:r>
      <w:r w:rsidRPr="00AE5FCA">
        <w:rPr>
          <w:rFonts w:ascii="Times New Roman" w:eastAsia="Times New Roman" w:hAnsi="Times New Roman" w:cs="Times New Roman"/>
          <w:bCs/>
          <w:sz w:val="24"/>
          <w:szCs w:val="24"/>
          <w:lang w:val="en-US"/>
        </w:rPr>
        <w:t xml:space="preserve">, v. 143, p. 757-768, 2017. DOI: </w:t>
      </w:r>
      <w:hyperlink r:id="rId21" w:tgtFrame="_new" w:history="1">
        <w:r w:rsidRPr="00AE5FCA">
          <w:rPr>
            <w:rStyle w:val="Hyperlink"/>
            <w:rFonts w:ascii="Times New Roman" w:eastAsia="Times New Roman" w:hAnsi="Times New Roman" w:cs="Times New Roman"/>
            <w:bCs/>
            <w:sz w:val="24"/>
            <w:szCs w:val="24"/>
            <w:lang w:val="en-US"/>
          </w:rPr>
          <w:t>https://doi.org/10.1016/j.jclepro.2016.12.048</w:t>
        </w:r>
      </w:hyperlink>
      <w:r w:rsidRPr="00AE5FCA">
        <w:rPr>
          <w:rFonts w:ascii="Times New Roman" w:eastAsia="Times New Roman" w:hAnsi="Times New Roman" w:cs="Times New Roman"/>
          <w:bCs/>
          <w:sz w:val="24"/>
          <w:szCs w:val="24"/>
          <w:lang w:val="en-US"/>
        </w:rPr>
        <w:t>.</w:t>
      </w:r>
    </w:p>
    <w:p w14:paraId="45BB9352"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GERMAN, R. M. </w:t>
      </w:r>
      <w:r w:rsidRPr="00AE5FCA">
        <w:rPr>
          <w:rFonts w:ascii="Times New Roman" w:eastAsia="Times New Roman" w:hAnsi="Times New Roman" w:cs="Times New Roman"/>
          <w:bCs/>
          <w:i/>
          <w:iCs/>
          <w:sz w:val="24"/>
          <w:szCs w:val="24"/>
          <w:lang w:val="en-US"/>
        </w:rPr>
        <w:t>Powder metallurgy and particulate materials processing</w:t>
      </w:r>
      <w:r w:rsidRPr="00AE5FCA">
        <w:rPr>
          <w:rFonts w:ascii="Times New Roman" w:eastAsia="Times New Roman" w:hAnsi="Times New Roman" w:cs="Times New Roman"/>
          <w:bCs/>
          <w:sz w:val="24"/>
          <w:szCs w:val="24"/>
          <w:lang w:val="en-US"/>
        </w:rPr>
        <w:t>. Princeton: Metal Powder Industries Federation, 2005.</w:t>
      </w:r>
    </w:p>
    <w:p w14:paraId="480F97BE"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GIBSON, I.; ROSEN, D. W.; STUCKER, B. </w:t>
      </w:r>
      <w:r w:rsidRPr="00AE5FCA">
        <w:rPr>
          <w:rFonts w:ascii="Times New Roman" w:eastAsia="Times New Roman" w:hAnsi="Times New Roman" w:cs="Times New Roman"/>
          <w:bCs/>
          <w:i/>
          <w:iCs/>
          <w:sz w:val="24"/>
          <w:szCs w:val="24"/>
          <w:lang w:val="en-US"/>
        </w:rPr>
        <w:t>Additive manufacturing technologies: 3D printing, rapid prototyping, and direct digital manufacturing</w:t>
      </w:r>
      <w:r w:rsidRPr="00AE5FCA">
        <w:rPr>
          <w:rFonts w:ascii="Times New Roman" w:eastAsia="Times New Roman" w:hAnsi="Times New Roman" w:cs="Times New Roman"/>
          <w:bCs/>
          <w:sz w:val="24"/>
          <w:szCs w:val="24"/>
          <w:lang w:val="en-US"/>
        </w:rPr>
        <w:t xml:space="preserve">. 3. ed. Cham: Springer, 2021. DOI: </w:t>
      </w:r>
      <w:hyperlink r:id="rId22" w:tgtFrame="_new" w:history="1">
        <w:r w:rsidRPr="00AE5FCA">
          <w:rPr>
            <w:rStyle w:val="Hyperlink"/>
            <w:rFonts w:ascii="Times New Roman" w:eastAsia="Times New Roman" w:hAnsi="Times New Roman" w:cs="Times New Roman"/>
            <w:bCs/>
            <w:sz w:val="24"/>
            <w:szCs w:val="24"/>
            <w:lang w:val="en-US"/>
          </w:rPr>
          <w:t>https://doi.org/10.1007/978-3-030-56127-7</w:t>
        </w:r>
      </w:hyperlink>
      <w:r w:rsidRPr="00AE5FCA">
        <w:rPr>
          <w:rFonts w:ascii="Times New Roman" w:eastAsia="Times New Roman" w:hAnsi="Times New Roman" w:cs="Times New Roman"/>
          <w:bCs/>
          <w:sz w:val="24"/>
          <w:szCs w:val="24"/>
          <w:lang w:val="en-US"/>
        </w:rPr>
        <w:t>.</w:t>
      </w:r>
    </w:p>
    <w:p w14:paraId="193D1D88"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GRILICHES, Z. Patent statistics as economic indicators: a survey. </w:t>
      </w:r>
      <w:r w:rsidRPr="00AE5FCA">
        <w:rPr>
          <w:rFonts w:ascii="Times New Roman" w:eastAsia="Times New Roman" w:hAnsi="Times New Roman" w:cs="Times New Roman"/>
          <w:bCs/>
          <w:i/>
          <w:iCs/>
          <w:sz w:val="24"/>
          <w:szCs w:val="24"/>
          <w:lang w:val="en-US"/>
        </w:rPr>
        <w:t>Journal of Economic Literature</w:t>
      </w:r>
      <w:r w:rsidRPr="00AE5FCA">
        <w:rPr>
          <w:rFonts w:ascii="Times New Roman" w:eastAsia="Times New Roman" w:hAnsi="Times New Roman" w:cs="Times New Roman"/>
          <w:bCs/>
          <w:sz w:val="24"/>
          <w:szCs w:val="24"/>
          <w:lang w:val="en-US"/>
        </w:rPr>
        <w:t>, v. 28, n. 4, p. 1661-1707, 1990.</w:t>
      </w:r>
    </w:p>
    <w:p w14:paraId="58A2A526"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GUERRERO, M.; URBANO, D. The impact of Triple Helix agents on entrepreneurial innovations' performance: an inside look at enterprises located in an emerging economy. </w:t>
      </w:r>
      <w:r w:rsidRPr="00AE5FCA">
        <w:rPr>
          <w:rFonts w:ascii="Times New Roman" w:eastAsia="Times New Roman" w:hAnsi="Times New Roman" w:cs="Times New Roman"/>
          <w:bCs/>
          <w:i/>
          <w:iCs/>
          <w:sz w:val="24"/>
          <w:szCs w:val="24"/>
          <w:lang w:val="en-US"/>
        </w:rPr>
        <w:t>Technological Forecasting and Social Change</w:t>
      </w:r>
      <w:r w:rsidRPr="00AE5FCA">
        <w:rPr>
          <w:rFonts w:ascii="Times New Roman" w:eastAsia="Times New Roman" w:hAnsi="Times New Roman" w:cs="Times New Roman"/>
          <w:bCs/>
          <w:sz w:val="24"/>
          <w:szCs w:val="24"/>
          <w:lang w:val="en-US"/>
        </w:rPr>
        <w:t xml:space="preserve">, v. 119, p. 294-309, 2017. DOI: </w:t>
      </w:r>
      <w:hyperlink r:id="rId23" w:tgtFrame="_new" w:history="1">
        <w:r w:rsidRPr="00AE5FCA">
          <w:rPr>
            <w:rStyle w:val="Hyperlink"/>
            <w:rFonts w:ascii="Times New Roman" w:eastAsia="Times New Roman" w:hAnsi="Times New Roman" w:cs="Times New Roman"/>
            <w:bCs/>
            <w:sz w:val="24"/>
            <w:szCs w:val="24"/>
            <w:lang w:val="en-US"/>
          </w:rPr>
          <w:t>https://doi.org/10.1016/j.techfore.2016.06.015</w:t>
        </w:r>
      </w:hyperlink>
      <w:r w:rsidRPr="00AE5FCA">
        <w:rPr>
          <w:rFonts w:ascii="Times New Roman" w:eastAsia="Times New Roman" w:hAnsi="Times New Roman" w:cs="Times New Roman"/>
          <w:bCs/>
          <w:sz w:val="24"/>
          <w:szCs w:val="24"/>
          <w:lang w:val="en-US"/>
        </w:rPr>
        <w:t>.</w:t>
      </w:r>
    </w:p>
    <w:p w14:paraId="72A68C3A"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HALL, B. H.; MAFFIOLI, A. Evaluating the impact of technology development funds in emerging economies: evidence from Latin America. </w:t>
      </w:r>
      <w:r w:rsidRPr="00AE5FCA">
        <w:rPr>
          <w:rFonts w:ascii="Times New Roman" w:eastAsia="Times New Roman" w:hAnsi="Times New Roman" w:cs="Times New Roman"/>
          <w:bCs/>
          <w:i/>
          <w:iCs/>
          <w:sz w:val="24"/>
          <w:szCs w:val="24"/>
          <w:lang w:val="en-US"/>
        </w:rPr>
        <w:t>European Journal of Development Research</w:t>
      </w:r>
      <w:r w:rsidRPr="00AE5FCA">
        <w:rPr>
          <w:rFonts w:ascii="Times New Roman" w:eastAsia="Times New Roman" w:hAnsi="Times New Roman" w:cs="Times New Roman"/>
          <w:bCs/>
          <w:sz w:val="24"/>
          <w:szCs w:val="24"/>
          <w:lang w:val="en-US"/>
        </w:rPr>
        <w:t>, v. 20, n. 2, p. 172-198, 2008.</w:t>
      </w:r>
    </w:p>
    <w:p w14:paraId="7A5E7CB6"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HALL, B. H.; HELMERS, C.; ROGERS, M.; SENA, V. The choice between formal and informal intellectual property: a review. </w:t>
      </w:r>
      <w:r w:rsidRPr="00AE5FCA">
        <w:rPr>
          <w:rFonts w:ascii="Times New Roman" w:eastAsia="Times New Roman" w:hAnsi="Times New Roman" w:cs="Times New Roman"/>
          <w:bCs/>
          <w:i/>
          <w:iCs/>
          <w:sz w:val="24"/>
          <w:szCs w:val="24"/>
          <w:lang w:val="en-US"/>
        </w:rPr>
        <w:t>Journal of Economic Literature</w:t>
      </w:r>
      <w:r w:rsidRPr="00AE5FCA">
        <w:rPr>
          <w:rFonts w:ascii="Times New Roman" w:eastAsia="Times New Roman" w:hAnsi="Times New Roman" w:cs="Times New Roman"/>
          <w:bCs/>
          <w:sz w:val="24"/>
          <w:szCs w:val="24"/>
          <w:lang w:val="en-US"/>
        </w:rPr>
        <w:t xml:space="preserve">, v. 57, n. 3, p. 623-679, 2019. DOI: </w:t>
      </w:r>
      <w:hyperlink r:id="rId24" w:tgtFrame="_new" w:history="1">
        <w:r w:rsidRPr="00AE5FCA">
          <w:rPr>
            <w:rStyle w:val="Hyperlink"/>
            <w:rFonts w:ascii="Times New Roman" w:eastAsia="Times New Roman" w:hAnsi="Times New Roman" w:cs="Times New Roman"/>
            <w:bCs/>
            <w:sz w:val="24"/>
            <w:szCs w:val="24"/>
            <w:lang w:val="en-US"/>
          </w:rPr>
          <w:t>https://doi.org/10.1257/jel.20181445</w:t>
        </w:r>
      </w:hyperlink>
      <w:r w:rsidRPr="00AE5FCA">
        <w:rPr>
          <w:rFonts w:ascii="Times New Roman" w:eastAsia="Times New Roman" w:hAnsi="Times New Roman" w:cs="Times New Roman"/>
          <w:bCs/>
          <w:sz w:val="24"/>
          <w:szCs w:val="24"/>
          <w:lang w:val="en-US"/>
        </w:rPr>
        <w:t>.</w:t>
      </w:r>
    </w:p>
    <w:p w14:paraId="15E344D6"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KAGERMANN, H.; WAHLSTER, W.; HELBIG, J. </w:t>
      </w:r>
      <w:r w:rsidRPr="00AE5FCA">
        <w:rPr>
          <w:rFonts w:ascii="Times New Roman" w:eastAsia="Times New Roman" w:hAnsi="Times New Roman" w:cs="Times New Roman"/>
          <w:bCs/>
          <w:i/>
          <w:iCs/>
          <w:sz w:val="24"/>
          <w:szCs w:val="24"/>
          <w:lang w:val="en-US"/>
        </w:rPr>
        <w:t>Recommendations for implementing the strategic initiative INDUSTRIE 4.0: final report of the Industrie 4.0 Working Group</w:t>
      </w:r>
      <w:r w:rsidRPr="00AE5FCA">
        <w:rPr>
          <w:rFonts w:ascii="Times New Roman" w:eastAsia="Times New Roman" w:hAnsi="Times New Roman" w:cs="Times New Roman"/>
          <w:bCs/>
          <w:sz w:val="24"/>
          <w:szCs w:val="24"/>
          <w:lang w:val="en-US"/>
        </w:rPr>
        <w:t xml:space="preserve">. Frankfurt: </w:t>
      </w:r>
      <w:proofErr w:type="spellStart"/>
      <w:r w:rsidRPr="00AE5FCA">
        <w:rPr>
          <w:rFonts w:ascii="Times New Roman" w:eastAsia="Times New Roman" w:hAnsi="Times New Roman" w:cs="Times New Roman"/>
          <w:bCs/>
          <w:sz w:val="24"/>
          <w:szCs w:val="24"/>
          <w:lang w:val="en-US"/>
        </w:rPr>
        <w:t>acatech</w:t>
      </w:r>
      <w:proofErr w:type="spellEnd"/>
      <w:r w:rsidRPr="00AE5FCA">
        <w:rPr>
          <w:rFonts w:ascii="Times New Roman" w:eastAsia="Times New Roman" w:hAnsi="Times New Roman" w:cs="Times New Roman"/>
          <w:bCs/>
          <w:sz w:val="24"/>
          <w:szCs w:val="24"/>
          <w:lang w:val="en-US"/>
        </w:rPr>
        <w:t>, 2013.</w:t>
      </w:r>
    </w:p>
    <w:p w14:paraId="4AD47CD0"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lastRenderedPageBreak/>
        <w:t xml:space="preserve">KAMBLE, S. S.; GUNASEKARAN, A.; DHONE, N. C. Industry 4.0 and lean manufacturing practices for sustainable </w:t>
      </w:r>
      <w:proofErr w:type="spellStart"/>
      <w:r w:rsidRPr="00AE5FCA">
        <w:rPr>
          <w:rFonts w:ascii="Times New Roman" w:eastAsia="Times New Roman" w:hAnsi="Times New Roman" w:cs="Times New Roman"/>
          <w:bCs/>
          <w:sz w:val="24"/>
          <w:szCs w:val="24"/>
          <w:lang w:val="en-US"/>
        </w:rPr>
        <w:t>organisational</w:t>
      </w:r>
      <w:proofErr w:type="spellEnd"/>
      <w:r w:rsidRPr="00AE5FCA">
        <w:rPr>
          <w:rFonts w:ascii="Times New Roman" w:eastAsia="Times New Roman" w:hAnsi="Times New Roman" w:cs="Times New Roman"/>
          <w:bCs/>
          <w:sz w:val="24"/>
          <w:szCs w:val="24"/>
          <w:lang w:val="en-US"/>
        </w:rPr>
        <w:t xml:space="preserve"> performance in Indian manufacturing companies. </w:t>
      </w:r>
      <w:r w:rsidRPr="00AE5FCA">
        <w:rPr>
          <w:rFonts w:ascii="Times New Roman" w:eastAsia="Times New Roman" w:hAnsi="Times New Roman" w:cs="Times New Roman"/>
          <w:bCs/>
          <w:i/>
          <w:iCs/>
          <w:sz w:val="24"/>
          <w:szCs w:val="24"/>
          <w:lang w:val="en-US"/>
        </w:rPr>
        <w:t>International Journal of Production Research</w:t>
      </w:r>
      <w:r w:rsidRPr="00AE5FCA">
        <w:rPr>
          <w:rFonts w:ascii="Times New Roman" w:eastAsia="Times New Roman" w:hAnsi="Times New Roman" w:cs="Times New Roman"/>
          <w:bCs/>
          <w:sz w:val="24"/>
          <w:szCs w:val="24"/>
          <w:lang w:val="en-US"/>
        </w:rPr>
        <w:t xml:space="preserve">, v. 58, n. 5, p. 1319-1337, 2020. DOI: </w:t>
      </w:r>
      <w:hyperlink r:id="rId25" w:tgtFrame="_new" w:history="1">
        <w:r w:rsidRPr="00AE5FCA">
          <w:rPr>
            <w:rStyle w:val="Hyperlink"/>
            <w:rFonts w:ascii="Times New Roman" w:eastAsia="Times New Roman" w:hAnsi="Times New Roman" w:cs="Times New Roman"/>
            <w:bCs/>
            <w:sz w:val="24"/>
            <w:szCs w:val="24"/>
            <w:lang w:val="en-US"/>
          </w:rPr>
          <w:t>https://doi.org/10.1080/00207543.2019.1630772</w:t>
        </w:r>
      </w:hyperlink>
      <w:r w:rsidRPr="00AE5FCA">
        <w:rPr>
          <w:rFonts w:ascii="Times New Roman" w:eastAsia="Times New Roman" w:hAnsi="Times New Roman" w:cs="Times New Roman"/>
          <w:bCs/>
          <w:sz w:val="24"/>
          <w:szCs w:val="24"/>
          <w:lang w:val="en-US"/>
        </w:rPr>
        <w:t>.</w:t>
      </w:r>
    </w:p>
    <w:p w14:paraId="54C524CF"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fr-FR"/>
        </w:rPr>
        <w:t xml:space="preserve">KANG, H. S. </w:t>
      </w:r>
      <w:r w:rsidRPr="00AE5FCA">
        <w:rPr>
          <w:rFonts w:ascii="Times New Roman" w:eastAsia="Times New Roman" w:hAnsi="Times New Roman" w:cs="Times New Roman"/>
          <w:bCs/>
          <w:i/>
          <w:iCs/>
          <w:sz w:val="24"/>
          <w:szCs w:val="24"/>
          <w:lang w:val="fr-FR"/>
        </w:rPr>
        <w:t>et al.</w:t>
      </w:r>
      <w:r w:rsidRPr="00AE5FCA">
        <w:rPr>
          <w:rFonts w:ascii="Times New Roman" w:eastAsia="Times New Roman" w:hAnsi="Times New Roman" w:cs="Times New Roman"/>
          <w:bCs/>
          <w:sz w:val="24"/>
          <w:szCs w:val="24"/>
          <w:lang w:val="fr-FR"/>
        </w:rPr>
        <w:t xml:space="preserve"> </w:t>
      </w:r>
      <w:r w:rsidRPr="00AE5FCA">
        <w:rPr>
          <w:rFonts w:ascii="Times New Roman" w:eastAsia="Times New Roman" w:hAnsi="Times New Roman" w:cs="Times New Roman"/>
          <w:bCs/>
          <w:sz w:val="24"/>
          <w:szCs w:val="24"/>
          <w:lang w:val="en-US"/>
        </w:rPr>
        <w:t xml:space="preserve">Smart manufacturing: past research, present findings, and future directions. </w:t>
      </w:r>
      <w:r w:rsidRPr="00AE5FCA">
        <w:rPr>
          <w:rFonts w:ascii="Times New Roman" w:eastAsia="Times New Roman" w:hAnsi="Times New Roman" w:cs="Times New Roman"/>
          <w:bCs/>
          <w:i/>
          <w:iCs/>
          <w:sz w:val="24"/>
          <w:szCs w:val="24"/>
          <w:lang w:val="en-US"/>
        </w:rPr>
        <w:t>International Journal of Precision Engineering and Manufacturing-Green Technology</w:t>
      </w:r>
      <w:r w:rsidRPr="00AE5FCA">
        <w:rPr>
          <w:rFonts w:ascii="Times New Roman" w:eastAsia="Times New Roman" w:hAnsi="Times New Roman" w:cs="Times New Roman"/>
          <w:bCs/>
          <w:sz w:val="24"/>
          <w:szCs w:val="24"/>
          <w:lang w:val="en-US"/>
        </w:rPr>
        <w:t xml:space="preserve">, v. 3, n. 1, p. 111-128, 2016. DOI: </w:t>
      </w:r>
      <w:hyperlink r:id="rId26" w:tgtFrame="_new" w:history="1">
        <w:r w:rsidRPr="00AE5FCA">
          <w:rPr>
            <w:rStyle w:val="Hyperlink"/>
            <w:rFonts w:ascii="Times New Roman" w:eastAsia="Times New Roman" w:hAnsi="Times New Roman" w:cs="Times New Roman"/>
            <w:bCs/>
            <w:sz w:val="24"/>
            <w:szCs w:val="24"/>
            <w:lang w:val="en-US"/>
          </w:rPr>
          <w:t>https://doi.org/10.1007/s40684-016-0015-5</w:t>
        </w:r>
      </w:hyperlink>
      <w:r w:rsidRPr="00AE5FCA">
        <w:rPr>
          <w:rFonts w:ascii="Times New Roman" w:eastAsia="Times New Roman" w:hAnsi="Times New Roman" w:cs="Times New Roman"/>
          <w:bCs/>
          <w:sz w:val="24"/>
          <w:szCs w:val="24"/>
          <w:lang w:val="en-US"/>
        </w:rPr>
        <w:t>.</w:t>
      </w:r>
    </w:p>
    <w:p w14:paraId="2A21EC99"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KIRCHHERR, J.; REIKE, D.; HEKKERT, M. Conceptualizing the circular economy: an analysis of 114 definitions. </w:t>
      </w:r>
      <w:r w:rsidRPr="00AE5FCA">
        <w:rPr>
          <w:rFonts w:ascii="Times New Roman" w:eastAsia="Times New Roman" w:hAnsi="Times New Roman" w:cs="Times New Roman"/>
          <w:bCs/>
          <w:i/>
          <w:iCs/>
          <w:sz w:val="24"/>
          <w:szCs w:val="24"/>
          <w:lang w:val="en-US"/>
        </w:rPr>
        <w:t>Resources, Conservation and Recycling</w:t>
      </w:r>
      <w:r w:rsidRPr="00AE5FCA">
        <w:rPr>
          <w:rFonts w:ascii="Times New Roman" w:eastAsia="Times New Roman" w:hAnsi="Times New Roman" w:cs="Times New Roman"/>
          <w:bCs/>
          <w:sz w:val="24"/>
          <w:szCs w:val="24"/>
          <w:lang w:val="en-US"/>
        </w:rPr>
        <w:t xml:space="preserve">, v. 127, p. 221-232, 2018. DOI: </w:t>
      </w:r>
      <w:hyperlink r:id="rId27" w:tgtFrame="_new" w:history="1">
        <w:r w:rsidRPr="00AE5FCA">
          <w:rPr>
            <w:rStyle w:val="Hyperlink"/>
            <w:rFonts w:ascii="Times New Roman" w:eastAsia="Times New Roman" w:hAnsi="Times New Roman" w:cs="Times New Roman"/>
            <w:bCs/>
            <w:sz w:val="24"/>
            <w:szCs w:val="24"/>
            <w:lang w:val="en-US"/>
          </w:rPr>
          <w:t>https://doi.org/10.1016/j.resconrec.2017.09.005</w:t>
        </w:r>
      </w:hyperlink>
      <w:r w:rsidRPr="00AE5FCA">
        <w:rPr>
          <w:rFonts w:ascii="Times New Roman" w:eastAsia="Times New Roman" w:hAnsi="Times New Roman" w:cs="Times New Roman"/>
          <w:bCs/>
          <w:sz w:val="24"/>
          <w:szCs w:val="24"/>
          <w:lang w:val="en-US"/>
        </w:rPr>
        <w:t>.</w:t>
      </w:r>
    </w:p>
    <w:p w14:paraId="727E636D"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KOGUT, B.; ZANDER, U. Knowledge of the firm, combinative capabilities, and the replication of technology. </w:t>
      </w:r>
      <w:r w:rsidRPr="00AE5FCA">
        <w:rPr>
          <w:rFonts w:ascii="Times New Roman" w:eastAsia="Times New Roman" w:hAnsi="Times New Roman" w:cs="Times New Roman"/>
          <w:bCs/>
          <w:i/>
          <w:iCs/>
          <w:sz w:val="24"/>
          <w:szCs w:val="24"/>
          <w:lang w:val="en-US"/>
        </w:rPr>
        <w:t>Organization Science</w:t>
      </w:r>
      <w:r w:rsidRPr="00AE5FCA">
        <w:rPr>
          <w:rFonts w:ascii="Times New Roman" w:eastAsia="Times New Roman" w:hAnsi="Times New Roman" w:cs="Times New Roman"/>
          <w:bCs/>
          <w:sz w:val="24"/>
          <w:szCs w:val="24"/>
          <w:lang w:val="en-US"/>
        </w:rPr>
        <w:t xml:space="preserve">, v. 3, n. 3, p. 383-397, 1992. DOI: </w:t>
      </w:r>
      <w:hyperlink r:id="rId28" w:tgtFrame="_new" w:history="1">
        <w:r w:rsidRPr="00AE5FCA">
          <w:rPr>
            <w:rStyle w:val="Hyperlink"/>
            <w:rFonts w:ascii="Times New Roman" w:eastAsia="Times New Roman" w:hAnsi="Times New Roman" w:cs="Times New Roman"/>
            <w:bCs/>
            <w:sz w:val="24"/>
            <w:szCs w:val="24"/>
            <w:lang w:val="en-US"/>
          </w:rPr>
          <w:t>https://doi.org/10.1287/orsc.3.3.383</w:t>
        </w:r>
      </w:hyperlink>
      <w:r w:rsidRPr="00AE5FCA">
        <w:rPr>
          <w:rFonts w:ascii="Times New Roman" w:eastAsia="Times New Roman" w:hAnsi="Times New Roman" w:cs="Times New Roman"/>
          <w:bCs/>
          <w:sz w:val="24"/>
          <w:szCs w:val="24"/>
          <w:lang w:val="en-US"/>
        </w:rPr>
        <w:t>.</w:t>
      </w:r>
    </w:p>
    <w:p w14:paraId="75B92F20" w14:textId="77777777" w:rsidR="005B76E5"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KRAEMER-MBULA, E.; WUNSCH-VINCENT, S. (Org.). </w:t>
      </w:r>
      <w:r w:rsidRPr="00AE5FCA">
        <w:rPr>
          <w:rFonts w:ascii="Times New Roman" w:eastAsia="Times New Roman" w:hAnsi="Times New Roman" w:cs="Times New Roman"/>
          <w:bCs/>
          <w:i/>
          <w:iCs/>
          <w:sz w:val="24"/>
          <w:szCs w:val="24"/>
          <w:lang w:val="en-US"/>
        </w:rPr>
        <w:t>Innovation and development in the Global South</w:t>
      </w:r>
      <w:r w:rsidRPr="00AE5FCA">
        <w:rPr>
          <w:rFonts w:ascii="Times New Roman" w:eastAsia="Times New Roman" w:hAnsi="Times New Roman" w:cs="Times New Roman"/>
          <w:bCs/>
          <w:sz w:val="24"/>
          <w:szCs w:val="24"/>
          <w:lang w:val="en-US"/>
        </w:rPr>
        <w:t>. Cham: Springer, 2020.</w:t>
      </w:r>
    </w:p>
    <w:p w14:paraId="5C51D96E" w14:textId="77777777" w:rsidR="005B76E5" w:rsidRPr="002F18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s-ES"/>
        </w:rPr>
        <w:t xml:space="preserve">LA INDUSTRIA metalmecánica en México y América Latina: transformación y retos rumbo a TECMA 2025. </w:t>
      </w:r>
      <w:r w:rsidRPr="00AE5FCA">
        <w:rPr>
          <w:rFonts w:ascii="Times New Roman" w:eastAsia="Times New Roman" w:hAnsi="Times New Roman" w:cs="Times New Roman"/>
          <w:bCs/>
          <w:sz w:val="24"/>
          <w:szCs w:val="24"/>
        </w:rPr>
        <w:t xml:space="preserve">Disponível em: </w:t>
      </w:r>
      <w:hyperlink r:id="rId29" w:tgtFrame="_new" w:history="1">
        <w:r w:rsidRPr="00AE5FCA">
          <w:rPr>
            <w:rStyle w:val="Hyperlink"/>
            <w:rFonts w:ascii="Times New Roman" w:eastAsia="Times New Roman" w:hAnsi="Times New Roman" w:cs="Times New Roman"/>
            <w:bCs/>
            <w:sz w:val="24"/>
            <w:szCs w:val="24"/>
          </w:rPr>
          <w:t>https://mexicoindustry.com/noticia/la-industria-metalmecanica-en-mexico-y-america-latina-transformacion-y-retos-rumbo-a-tecma-2025</w:t>
        </w:r>
      </w:hyperlink>
      <w:r w:rsidRPr="00AE5FCA">
        <w:rPr>
          <w:rFonts w:ascii="Times New Roman" w:eastAsia="Times New Roman" w:hAnsi="Times New Roman" w:cs="Times New Roman"/>
          <w:bCs/>
          <w:sz w:val="24"/>
          <w:szCs w:val="24"/>
        </w:rPr>
        <w:t xml:space="preserve">. </w:t>
      </w:r>
      <w:proofErr w:type="spellStart"/>
      <w:r w:rsidRPr="002F18CA">
        <w:rPr>
          <w:rFonts w:ascii="Times New Roman" w:eastAsia="Times New Roman" w:hAnsi="Times New Roman" w:cs="Times New Roman"/>
          <w:bCs/>
          <w:sz w:val="24"/>
          <w:szCs w:val="24"/>
          <w:lang w:val="en-US"/>
        </w:rPr>
        <w:t>Acesso</w:t>
      </w:r>
      <w:proofErr w:type="spellEnd"/>
      <w:r w:rsidRPr="002F18CA">
        <w:rPr>
          <w:rFonts w:ascii="Times New Roman" w:eastAsia="Times New Roman" w:hAnsi="Times New Roman" w:cs="Times New Roman"/>
          <w:bCs/>
          <w:sz w:val="24"/>
          <w:szCs w:val="24"/>
          <w:lang w:val="en-US"/>
        </w:rPr>
        <w:t xml:space="preserve"> </w:t>
      </w:r>
      <w:proofErr w:type="spellStart"/>
      <w:r w:rsidRPr="002F18CA">
        <w:rPr>
          <w:rFonts w:ascii="Times New Roman" w:eastAsia="Times New Roman" w:hAnsi="Times New Roman" w:cs="Times New Roman"/>
          <w:bCs/>
          <w:sz w:val="24"/>
          <w:szCs w:val="24"/>
          <w:lang w:val="en-US"/>
        </w:rPr>
        <w:t>em</w:t>
      </w:r>
      <w:proofErr w:type="spellEnd"/>
      <w:r w:rsidRPr="002F18CA">
        <w:rPr>
          <w:rFonts w:ascii="Times New Roman" w:eastAsia="Times New Roman" w:hAnsi="Times New Roman" w:cs="Times New Roman"/>
          <w:bCs/>
          <w:sz w:val="24"/>
          <w:szCs w:val="24"/>
          <w:lang w:val="en-US"/>
        </w:rPr>
        <w:t>: 4 ago. 2025.</w:t>
      </w:r>
    </w:p>
    <w:p w14:paraId="4B0F4613"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LEE, J.; CAMERON, C.; HASSANZADEH, A. Industrial AI and digital transformation for smart manufacturing. </w:t>
      </w:r>
      <w:r w:rsidRPr="00AE5FCA">
        <w:rPr>
          <w:rFonts w:ascii="Times New Roman" w:eastAsia="Times New Roman" w:hAnsi="Times New Roman" w:cs="Times New Roman"/>
          <w:bCs/>
          <w:i/>
          <w:iCs/>
          <w:sz w:val="24"/>
          <w:szCs w:val="24"/>
          <w:lang w:val="en-US"/>
        </w:rPr>
        <w:t>Journal of Manufacturing Systems</w:t>
      </w:r>
      <w:r w:rsidRPr="00AE5FCA">
        <w:rPr>
          <w:rFonts w:ascii="Times New Roman" w:eastAsia="Times New Roman" w:hAnsi="Times New Roman" w:cs="Times New Roman"/>
          <w:bCs/>
          <w:sz w:val="24"/>
          <w:szCs w:val="24"/>
          <w:lang w:val="en-US"/>
        </w:rPr>
        <w:t xml:space="preserve">, v. 62, p. 288-301, 2022. DOI: </w:t>
      </w:r>
      <w:hyperlink r:id="rId30" w:tgtFrame="_new" w:history="1">
        <w:r w:rsidRPr="00AE5FCA">
          <w:rPr>
            <w:rStyle w:val="Hyperlink"/>
            <w:rFonts w:ascii="Times New Roman" w:eastAsia="Times New Roman" w:hAnsi="Times New Roman" w:cs="Times New Roman"/>
            <w:bCs/>
            <w:sz w:val="24"/>
            <w:szCs w:val="24"/>
            <w:lang w:val="en-US"/>
          </w:rPr>
          <w:t>https://doi.org/10.1016/j.jmsy.2021.11.002</w:t>
        </w:r>
      </w:hyperlink>
      <w:r w:rsidRPr="00AE5FCA">
        <w:rPr>
          <w:rFonts w:ascii="Times New Roman" w:eastAsia="Times New Roman" w:hAnsi="Times New Roman" w:cs="Times New Roman"/>
          <w:bCs/>
          <w:sz w:val="24"/>
          <w:szCs w:val="24"/>
          <w:lang w:val="en-US"/>
        </w:rPr>
        <w:t>.</w:t>
      </w:r>
    </w:p>
    <w:p w14:paraId="24001D12" w14:textId="77777777" w:rsidR="005B76E5" w:rsidRPr="00AE5FCA" w:rsidRDefault="005B76E5" w:rsidP="005B76E5">
      <w:pPr>
        <w:spacing w:line="360" w:lineRule="auto"/>
        <w:jc w:val="both"/>
        <w:rPr>
          <w:rFonts w:ascii="Times New Roman" w:eastAsia="Times New Roman" w:hAnsi="Times New Roman" w:cs="Times New Roman"/>
          <w:bCs/>
          <w:sz w:val="24"/>
          <w:szCs w:val="24"/>
          <w:lang w:val="fr-FR"/>
        </w:rPr>
      </w:pPr>
      <w:r w:rsidRPr="00AE5FCA">
        <w:rPr>
          <w:rFonts w:ascii="Times New Roman" w:eastAsia="Times New Roman" w:hAnsi="Times New Roman" w:cs="Times New Roman"/>
          <w:bCs/>
          <w:sz w:val="24"/>
          <w:szCs w:val="24"/>
          <w:lang w:val="en-US"/>
        </w:rPr>
        <w:t xml:space="preserve">LEE, S.; YOON, B.; PARK, Y. An approach to discovering new technology opportunities: keyword-based patent map approach. </w:t>
      </w:r>
      <w:r w:rsidRPr="00AE5FCA">
        <w:rPr>
          <w:rFonts w:ascii="Times New Roman" w:eastAsia="Times New Roman" w:hAnsi="Times New Roman" w:cs="Times New Roman"/>
          <w:bCs/>
          <w:i/>
          <w:iCs/>
          <w:sz w:val="24"/>
          <w:szCs w:val="24"/>
          <w:lang w:val="fr-FR"/>
        </w:rPr>
        <w:t>Technovation</w:t>
      </w:r>
      <w:r w:rsidRPr="00AE5FCA">
        <w:rPr>
          <w:rFonts w:ascii="Times New Roman" w:eastAsia="Times New Roman" w:hAnsi="Times New Roman" w:cs="Times New Roman"/>
          <w:bCs/>
          <w:sz w:val="24"/>
          <w:szCs w:val="24"/>
          <w:lang w:val="fr-FR"/>
        </w:rPr>
        <w:t xml:space="preserve">, v. 29, n. 6-7, p. 481-497, 2009. DOI: </w:t>
      </w:r>
      <w:r>
        <w:fldChar w:fldCharType="begin"/>
      </w:r>
      <w:r>
        <w:instrText>HYPERLINK "https://doi.org/10.1016/j.technovation.2008.10.006" \t "_new"</w:instrText>
      </w:r>
      <w:r>
        <w:fldChar w:fldCharType="separate"/>
      </w:r>
      <w:r w:rsidRPr="00AE5FCA">
        <w:rPr>
          <w:rStyle w:val="Hyperlink"/>
          <w:rFonts w:ascii="Times New Roman" w:eastAsia="Times New Roman" w:hAnsi="Times New Roman" w:cs="Times New Roman"/>
          <w:bCs/>
          <w:sz w:val="24"/>
          <w:szCs w:val="24"/>
          <w:lang w:val="fr-FR"/>
        </w:rPr>
        <w:t>https://doi.org/10.1016/j.technovation.2008.10.006</w:t>
      </w:r>
      <w:r>
        <w:fldChar w:fldCharType="end"/>
      </w:r>
      <w:r w:rsidRPr="00AE5FCA">
        <w:rPr>
          <w:rFonts w:ascii="Times New Roman" w:eastAsia="Times New Roman" w:hAnsi="Times New Roman" w:cs="Times New Roman"/>
          <w:bCs/>
          <w:sz w:val="24"/>
          <w:szCs w:val="24"/>
          <w:lang w:val="fr-FR"/>
        </w:rPr>
        <w:t>.</w:t>
      </w:r>
    </w:p>
    <w:p w14:paraId="33681109"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LEYDESDORFF, L.; PARK, H. W.; LENGYEL, B. A global map of science based on the ISI subject categories. </w:t>
      </w:r>
      <w:r w:rsidRPr="00AE5FCA">
        <w:rPr>
          <w:rFonts w:ascii="Times New Roman" w:eastAsia="Times New Roman" w:hAnsi="Times New Roman" w:cs="Times New Roman"/>
          <w:bCs/>
          <w:i/>
          <w:iCs/>
          <w:sz w:val="24"/>
          <w:szCs w:val="24"/>
          <w:lang w:val="en-US"/>
        </w:rPr>
        <w:t>Journal of the American Society for Information Science and Technology</w:t>
      </w:r>
      <w:r w:rsidRPr="00AE5FCA">
        <w:rPr>
          <w:rFonts w:ascii="Times New Roman" w:eastAsia="Times New Roman" w:hAnsi="Times New Roman" w:cs="Times New Roman"/>
          <w:bCs/>
          <w:sz w:val="24"/>
          <w:szCs w:val="24"/>
          <w:lang w:val="en-US"/>
        </w:rPr>
        <w:t xml:space="preserve">, v. 65, n. 12, p. 2381-2395, 2014. DOI: </w:t>
      </w:r>
      <w:hyperlink r:id="rId31" w:tgtFrame="_new" w:history="1">
        <w:r w:rsidRPr="00AE5FCA">
          <w:rPr>
            <w:rStyle w:val="Hyperlink"/>
            <w:rFonts w:ascii="Times New Roman" w:eastAsia="Times New Roman" w:hAnsi="Times New Roman" w:cs="Times New Roman"/>
            <w:bCs/>
            <w:sz w:val="24"/>
            <w:szCs w:val="24"/>
            <w:lang w:val="en-US"/>
          </w:rPr>
          <w:t>https://doi.org/10.1002/asi.23179</w:t>
        </w:r>
      </w:hyperlink>
      <w:r w:rsidRPr="00AE5FCA">
        <w:rPr>
          <w:rFonts w:ascii="Times New Roman" w:eastAsia="Times New Roman" w:hAnsi="Times New Roman" w:cs="Times New Roman"/>
          <w:bCs/>
          <w:sz w:val="24"/>
          <w:szCs w:val="24"/>
          <w:lang w:val="en-US"/>
        </w:rPr>
        <w:t>.</w:t>
      </w:r>
    </w:p>
    <w:p w14:paraId="3A624369"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LI, L. </w:t>
      </w:r>
      <w:r w:rsidRPr="00AE5FCA">
        <w:rPr>
          <w:rFonts w:ascii="Times New Roman" w:eastAsia="Times New Roman" w:hAnsi="Times New Roman" w:cs="Times New Roman"/>
          <w:bCs/>
          <w:i/>
          <w:iCs/>
          <w:sz w:val="24"/>
          <w:szCs w:val="24"/>
          <w:lang w:val="en-US"/>
        </w:rPr>
        <w:t>et al.</w:t>
      </w:r>
      <w:r w:rsidRPr="00AE5FCA">
        <w:rPr>
          <w:rFonts w:ascii="Times New Roman" w:eastAsia="Times New Roman" w:hAnsi="Times New Roman" w:cs="Times New Roman"/>
          <w:bCs/>
          <w:sz w:val="24"/>
          <w:szCs w:val="24"/>
          <w:lang w:val="en-US"/>
        </w:rPr>
        <w:t xml:space="preserve"> Industrial Internet of Things-based collaborative sensing intelligence: framework and applications. </w:t>
      </w:r>
      <w:r w:rsidRPr="00AE5FCA">
        <w:rPr>
          <w:rFonts w:ascii="Times New Roman" w:eastAsia="Times New Roman" w:hAnsi="Times New Roman" w:cs="Times New Roman"/>
          <w:bCs/>
          <w:i/>
          <w:iCs/>
          <w:sz w:val="24"/>
          <w:szCs w:val="24"/>
          <w:lang w:val="en-US"/>
        </w:rPr>
        <w:t>IEEE Industrial Electronics Magazine</w:t>
      </w:r>
      <w:r w:rsidRPr="00AE5FCA">
        <w:rPr>
          <w:rFonts w:ascii="Times New Roman" w:eastAsia="Times New Roman" w:hAnsi="Times New Roman" w:cs="Times New Roman"/>
          <w:bCs/>
          <w:sz w:val="24"/>
          <w:szCs w:val="24"/>
          <w:lang w:val="en-US"/>
        </w:rPr>
        <w:t xml:space="preserve">, v. 14, n. 3, p. 5-14, 2020. DOI: </w:t>
      </w:r>
      <w:hyperlink r:id="rId32" w:tgtFrame="_new" w:history="1">
        <w:r w:rsidRPr="00AE5FCA">
          <w:rPr>
            <w:rStyle w:val="Hyperlink"/>
            <w:rFonts w:ascii="Times New Roman" w:eastAsia="Times New Roman" w:hAnsi="Times New Roman" w:cs="Times New Roman"/>
            <w:bCs/>
            <w:sz w:val="24"/>
            <w:szCs w:val="24"/>
            <w:lang w:val="en-US"/>
          </w:rPr>
          <w:t>https://doi.org/10.1109/MIE.2020.2995444</w:t>
        </w:r>
      </w:hyperlink>
      <w:r w:rsidRPr="00AE5FCA">
        <w:rPr>
          <w:rFonts w:ascii="Times New Roman" w:eastAsia="Times New Roman" w:hAnsi="Times New Roman" w:cs="Times New Roman"/>
          <w:bCs/>
          <w:sz w:val="24"/>
          <w:szCs w:val="24"/>
          <w:lang w:val="en-US"/>
        </w:rPr>
        <w:t>.</w:t>
      </w:r>
    </w:p>
    <w:p w14:paraId="66C0F560"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LIAO, Y.; DESCHAMPS, F.; LOURES, E. D. F. R.; RAMOS, L. F. P. Past, present and future of Industry 4.0: a systematic literature review and research agenda proposal. </w:t>
      </w:r>
      <w:r w:rsidRPr="00AE5FCA">
        <w:rPr>
          <w:rFonts w:ascii="Times New Roman" w:eastAsia="Times New Roman" w:hAnsi="Times New Roman" w:cs="Times New Roman"/>
          <w:bCs/>
          <w:i/>
          <w:iCs/>
          <w:sz w:val="24"/>
          <w:szCs w:val="24"/>
          <w:lang w:val="en-US"/>
        </w:rPr>
        <w:t xml:space="preserve">International </w:t>
      </w:r>
      <w:r w:rsidRPr="00AE5FCA">
        <w:rPr>
          <w:rFonts w:ascii="Times New Roman" w:eastAsia="Times New Roman" w:hAnsi="Times New Roman" w:cs="Times New Roman"/>
          <w:bCs/>
          <w:i/>
          <w:iCs/>
          <w:sz w:val="24"/>
          <w:szCs w:val="24"/>
          <w:lang w:val="en-US"/>
        </w:rPr>
        <w:lastRenderedPageBreak/>
        <w:t>Journal of Production Research</w:t>
      </w:r>
      <w:r w:rsidRPr="00AE5FCA">
        <w:rPr>
          <w:rFonts w:ascii="Times New Roman" w:eastAsia="Times New Roman" w:hAnsi="Times New Roman" w:cs="Times New Roman"/>
          <w:bCs/>
          <w:sz w:val="24"/>
          <w:szCs w:val="24"/>
          <w:lang w:val="en-US"/>
        </w:rPr>
        <w:t xml:space="preserve">, v. 55, n. 12, p. 3609-3629, 2018. DOI: </w:t>
      </w:r>
      <w:hyperlink r:id="rId33" w:tgtFrame="_new" w:history="1">
        <w:r w:rsidRPr="00AE5FCA">
          <w:rPr>
            <w:rStyle w:val="Hyperlink"/>
            <w:rFonts w:ascii="Times New Roman" w:eastAsia="Times New Roman" w:hAnsi="Times New Roman" w:cs="Times New Roman"/>
            <w:bCs/>
            <w:sz w:val="24"/>
            <w:szCs w:val="24"/>
            <w:lang w:val="en-US"/>
          </w:rPr>
          <w:t>https://doi.org/10.1080/00207543.2017.1308576</w:t>
        </w:r>
      </w:hyperlink>
      <w:r w:rsidRPr="00AE5FCA">
        <w:rPr>
          <w:rFonts w:ascii="Times New Roman" w:eastAsia="Times New Roman" w:hAnsi="Times New Roman" w:cs="Times New Roman"/>
          <w:bCs/>
          <w:sz w:val="24"/>
          <w:szCs w:val="24"/>
          <w:lang w:val="en-US"/>
        </w:rPr>
        <w:t>.</w:t>
      </w:r>
    </w:p>
    <w:p w14:paraId="139242BD"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LIU, P. </w:t>
      </w:r>
      <w:r w:rsidRPr="00AE5FCA">
        <w:rPr>
          <w:rFonts w:ascii="Times New Roman" w:eastAsia="Times New Roman" w:hAnsi="Times New Roman" w:cs="Times New Roman"/>
          <w:bCs/>
          <w:i/>
          <w:iCs/>
          <w:sz w:val="24"/>
          <w:szCs w:val="24"/>
          <w:lang w:val="en-US"/>
        </w:rPr>
        <w:t>et al.</w:t>
      </w:r>
      <w:r w:rsidRPr="00AE5FCA">
        <w:rPr>
          <w:rFonts w:ascii="Times New Roman" w:eastAsia="Times New Roman" w:hAnsi="Times New Roman" w:cs="Times New Roman"/>
          <w:bCs/>
          <w:sz w:val="24"/>
          <w:szCs w:val="24"/>
          <w:lang w:val="en-US"/>
        </w:rPr>
        <w:t xml:space="preserve"> Temporal motifs in patent opposition and collaboration networks. </w:t>
      </w:r>
      <w:r w:rsidRPr="00AE5FCA">
        <w:rPr>
          <w:rFonts w:ascii="Times New Roman" w:eastAsia="Times New Roman" w:hAnsi="Times New Roman" w:cs="Times New Roman"/>
          <w:bCs/>
          <w:i/>
          <w:iCs/>
          <w:sz w:val="24"/>
          <w:szCs w:val="24"/>
          <w:lang w:val="en-US"/>
        </w:rPr>
        <w:t>Scientific Reports</w:t>
      </w:r>
      <w:r w:rsidRPr="00AE5FCA">
        <w:rPr>
          <w:rFonts w:ascii="Times New Roman" w:eastAsia="Times New Roman" w:hAnsi="Times New Roman" w:cs="Times New Roman"/>
          <w:bCs/>
          <w:sz w:val="24"/>
          <w:szCs w:val="24"/>
          <w:lang w:val="en-US"/>
        </w:rPr>
        <w:t>, v. 12, n. 1, p. 1-11, 2022. DOI: https://doi.org/10.1038/s41598-021-04600-8.</w:t>
      </w:r>
    </w:p>
    <w:p w14:paraId="6D16FE7C"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LOPEZ NAVARRETE, G.; FLORES </w:t>
      </w:r>
      <w:proofErr w:type="spellStart"/>
      <w:r w:rsidRPr="00AE5FCA">
        <w:rPr>
          <w:rFonts w:ascii="Times New Roman" w:eastAsia="Times New Roman" w:hAnsi="Times New Roman" w:cs="Times New Roman"/>
          <w:bCs/>
          <w:sz w:val="24"/>
          <w:szCs w:val="24"/>
          <w:lang w:val="en-US"/>
        </w:rPr>
        <w:t>FLORES</w:t>
      </w:r>
      <w:proofErr w:type="spellEnd"/>
      <w:r w:rsidRPr="00AE5FCA">
        <w:rPr>
          <w:rFonts w:ascii="Times New Roman" w:eastAsia="Times New Roman" w:hAnsi="Times New Roman" w:cs="Times New Roman"/>
          <w:bCs/>
          <w:sz w:val="24"/>
          <w:szCs w:val="24"/>
          <w:lang w:val="en-US"/>
        </w:rPr>
        <w:t xml:space="preserve">, E.; SÁNCHEZ RAMÍREZ, J. F.; ACOSTA GONZÁLEZ, F. Advances in biocompatible materials in Latin America: challenges and opportunities. </w:t>
      </w:r>
      <w:r w:rsidRPr="00AE5FCA">
        <w:rPr>
          <w:rFonts w:ascii="Times New Roman" w:eastAsia="Times New Roman" w:hAnsi="Times New Roman" w:cs="Times New Roman"/>
          <w:bCs/>
          <w:i/>
          <w:iCs/>
          <w:sz w:val="24"/>
          <w:szCs w:val="24"/>
          <w:lang w:val="en-US"/>
        </w:rPr>
        <w:t>Journal of Biomaterials Applications</w:t>
      </w:r>
      <w:r w:rsidRPr="00AE5FCA">
        <w:rPr>
          <w:rFonts w:ascii="Times New Roman" w:eastAsia="Times New Roman" w:hAnsi="Times New Roman" w:cs="Times New Roman"/>
          <w:bCs/>
          <w:sz w:val="24"/>
          <w:szCs w:val="24"/>
          <w:lang w:val="en-US"/>
        </w:rPr>
        <w:t xml:space="preserve">, v. 37, n. 2, p. 224-239, 2022. DOI: </w:t>
      </w:r>
      <w:hyperlink r:id="rId34" w:tgtFrame="_new" w:history="1">
        <w:r w:rsidRPr="00AE5FCA">
          <w:rPr>
            <w:rStyle w:val="Hyperlink"/>
            <w:rFonts w:ascii="Times New Roman" w:eastAsia="Times New Roman" w:hAnsi="Times New Roman" w:cs="Times New Roman"/>
            <w:bCs/>
            <w:sz w:val="24"/>
            <w:szCs w:val="24"/>
            <w:lang w:val="en-US"/>
          </w:rPr>
          <w:t>https://doi.org/10.1177/08853282221107187</w:t>
        </w:r>
      </w:hyperlink>
      <w:r w:rsidRPr="00AE5FCA">
        <w:rPr>
          <w:rFonts w:ascii="Times New Roman" w:eastAsia="Times New Roman" w:hAnsi="Times New Roman" w:cs="Times New Roman"/>
          <w:bCs/>
          <w:sz w:val="24"/>
          <w:szCs w:val="24"/>
          <w:lang w:val="en-US"/>
        </w:rPr>
        <w:t>.</w:t>
      </w:r>
    </w:p>
    <w:p w14:paraId="262DD33C"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LU, Y. Industry 4.0: a survey on technologies, applications and open research issues. </w:t>
      </w:r>
      <w:r w:rsidRPr="00AE5FCA">
        <w:rPr>
          <w:rFonts w:ascii="Times New Roman" w:eastAsia="Times New Roman" w:hAnsi="Times New Roman" w:cs="Times New Roman"/>
          <w:bCs/>
          <w:i/>
          <w:iCs/>
          <w:sz w:val="24"/>
          <w:szCs w:val="24"/>
          <w:lang w:val="en-US"/>
        </w:rPr>
        <w:t>Journal of Industrial Information Integration</w:t>
      </w:r>
      <w:r w:rsidRPr="00AE5FCA">
        <w:rPr>
          <w:rFonts w:ascii="Times New Roman" w:eastAsia="Times New Roman" w:hAnsi="Times New Roman" w:cs="Times New Roman"/>
          <w:bCs/>
          <w:sz w:val="24"/>
          <w:szCs w:val="24"/>
          <w:lang w:val="en-US"/>
        </w:rPr>
        <w:t xml:space="preserve">, v. 6, p. 1-10, 2017. DOI: </w:t>
      </w:r>
      <w:hyperlink r:id="rId35" w:tgtFrame="_new" w:history="1">
        <w:r w:rsidRPr="00AE5FCA">
          <w:rPr>
            <w:rStyle w:val="Hyperlink"/>
            <w:rFonts w:ascii="Times New Roman" w:eastAsia="Times New Roman" w:hAnsi="Times New Roman" w:cs="Times New Roman"/>
            <w:bCs/>
            <w:sz w:val="24"/>
            <w:szCs w:val="24"/>
            <w:lang w:val="en-US"/>
          </w:rPr>
          <w:t>https://doi.org/10.1016/j.jii.2017.04.005</w:t>
        </w:r>
      </w:hyperlink>
      <w:r w:rsidRPr="00AE5FCA">
        <w:rPr>
          <w:rFonts w:ascii="Times New Roman" w:eastAsia="Times New Roman" w:hAnsi="Times New Roman" w:cs="Times New Roman"/>
          <w:bCs/>
          <w:sz w:val="24"/>
          <w:szCs w:val="24"/>
          <w:lang w:val="en-US"/>
        </w:rPr>
        <w:t>.</w:t>
      </w:r>
    </w:p>
    <w:p w14:paraId="470D65C2"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LUNDVALL, B.-Å. </w:t>
      </w:r>
      <w:r w:rsidRPr="00AE5FCA">
        <w:rPr>
          <w:rFonts w:ascii="Times New Roman" w:eastAsia="Times New Roman" w:hAnsi="Times New Roman" w:cs="Times New Roman"/>
          <w:bCs/>
          <w:i/>
          <w:iCs/>
          <w:sz w:val="24"/>
          <w:szCs w:val="24"/>
          <w:lang w:val="en-US"/>
        </w:rPr>
        <w:t>The learning economy and the economics of hope</w:t>
      </w:r>
      <w:r w:rsidRPr="00AE5FCA">
        <w:rPr>
          <w:rFonts w:ascii="Times New Roman" w:eastAsia="Times New Roman" w:hAnsi="Times New Roman" w:cs="Times New Roman"/>
          <w:bCs/>
          <w:sz w:val="24"/>
          <w:szCs w:val="24"/>
          <w:lang w:val="en-US"/>
        </w:rPr>
        <w:t>. London: Anthem Press, 2016.</w:t>
      </w:r>
    </w:p>
    <w:p w14:paraId="6805AFD2" w14:textId="77777777" w:rsidR="005B76E5" w:rsidRPr="00AE5FCA" w:rsidRDefault="005B76E5" w:rsidP="005B76E5">
      <w:pPr>
        <w:spacing w:line="360" w:lineRule="auto"/>
        <w:jc w:val="both"/>
        <w:rPr>
          <w:rFonts w:ascii="Times New Roman" w:eastAsia="Times New Roman" w:hAnsi="Times New Roman" w:cs="Times New Roman"/>
          <w:bCs/>
          <w:sz w:val="24"/>
          <w:szCs w:val="24"/>
        </w:rPr>
      </w:pPr>
      <w:r w:rsidRPr="00AE5FCA">
        <w:rPr>
          <w:rFonts w:ascii="Times New Roman" w:eastAsia="Times New Roman" w:hAnsi="Times New Roman" w:cs="Times New Roman"/>
          <w:bCs/>
          <w:sz w:val="24"/>
          <w:szCs w:val="24"/>
          <w:lang w:val="en-US"/>
        </w:rPr>
        <w:t xml:space="preserve">MANKINS, J. C. Technology readiness assessments: a retrospective. </w:t>
      </w:r>
      <w:r w:rsidRPr="00AE5FCA">
        <w:rPr>
          <w:rFonts w:ascii="Times New Roman" w:eastAsia="Times New Roman" w:hAnsi="Times New Roman" w:cs="Times New Roman"/>
          <w:bCs/>
          <w:i/>
          <w:iCs/>
          <w:sz w:val="24"/>
          <w:szCs w:val="24"/>
        </w:rPr>
        <w:t xml:space="preserve">Acta </w:t>
      </w:r>
      <w:proofErr w:type="spellStart"/>
      <w:r w:rsidRPr="00AE5FCA">
        <w:rPr>
          <w:rFonts w:ascii="Times New Roman" w:eastAsia="Times New Roman" w:hAnsi="Times New Roman" w:cs="Times New Roman"/>
          <w:bCs/>
          <w:i/>
          <w:iCs/>
          <w:sz w:val="24"/>
          <w:szCs w:val="24"/>
        </w:rPr>
        <w:t>Astronautica</w:t>
      </w:r>
      <w:proofErr w:type="spellEnd"/>
      <w:r w:rsidRPr="00AE5FCA">
        <w:rPr>
          <w:rFonts w:ascii="Times New Roman" w:eastAsia="Times New Roman" w:hAnsi="Times New Roman" w:cs="Times New Roman"/>
          <w:bCs/>
          <w:sz w:val="24"/>
          <w:szCs w:val="24"/>
        </w:rPr>
        <w:t xml:space="preserve">, v. 65, n. 9-10, p. 1216-1223, 2009. DOI: </w:t>
      </w:r>
      <w:hyperlink r:id="rId36" w:tgtFrame="_new" w:history="1">
        <w:r w:rsidRPr="00AE5FCA">
          <w:rPr>
            <w:rStyle w:val="Hyperlink"/>
            <w:rFonts w:ascii="Times New Roman" w:eastAsia="Times New Roman" w:hAnsi="Times New Roman" w:cs="Times New Roman"/>
            <w:bCs/>
            <w:sz w:val="24"/>
            <w:szCs w:val="24"/>
          </w:rPr>
          <w:t>https://doi.org/10.1016/j.actaastro.2009.03.058</w:t>
        </w:r>
      </w:hyperlink>
      <w:r w:rsidRPr="00AE5FCA">
        <w:rPr>
          <w:rFonts w:ascii="Times New Roman" w:eastAsia="Times New Roman" w:hAnsi="Times New Roman" w:cs="Times New Roman"/>
          <w:bCs/>
          <w:sz w:val="24"/>
          <w:szCs w:val="24"/>
        </w:rPr>
        <w:t>.</w:t>
      </w:r>
    </w:p>
    <w:p w14:paraId="3D36FE28"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MARKMAN, G. D.; GIANIODIS, P. T.; PHAN, P. H. Full-time faculty or part-time entrepreneurs. </w:t>
      </w:r>
      <w:r w:rsidRPr="00AE5FCA">
        <w:rPr>
          <w:rFonts w:ascii="Times New Roman" w:eastAsia="Times New Roman" w:hAnsi="Times New Roman" w:cs="Times New Roman"/>
          <w:bCs/>
          <w:i/>
          <w:iCs/>
          <w:sz w:val="24"/>
          <w:szCs w:val="24"/>
          <w:lang w:val="en-US"/>
        </w:rPr>
        <w:t>IEEE Transactions on Engineering Management</w:t>
      </w:r>
      <w:r w:rsidRPr="00AE5FCA">
        <w:rPr>
          <w:rFonts w:ascii="Times New Roman" w:eastAsia="Times New Roman" w:hAnsi="Times New Roman" w:cs="Times New Roman"/>
          <w:bCs/>
          <w:sz w:val="24"/>
          <w:szCs w:val="24"/>
          <w:lang w:val="en-US"/>
        </w:rPr>
        <w:t xml:space="preserve">, v. 55, n. 1, p. 29-36, 2008. DOI: </w:t>
      </w:r>
      <w:hyperlink r:id="rId37" w:tgtFrame="_new" w:history="1">
        <w:r w:rsidRPr="00AE5FCA">
          <w:rPr>
            <w:rStyle w:val="Hyperlink"/>
            <w:rFonts w:ascii="Times New Roman" w:eastAsia="Times New Roman" w:hAnsi="Times New Roman" w:cs="Times New Roman"/>
            <w:bCs/>
            <w:sz w:val="24"/>
            <w:szCs w:val="24"/>
            <w:lang w:val="en-US"/>
          </w:rPr>
          <w:t>https://doi.org/10.1109/TEM.2007.912807</w:t>
        </w:r>
      </w:hyperlink>
      <w:r w:rsidRPr="00AE5FCA">
        <w:rPr>
          <w:rFonts w:ascii="Times New Roman" w:eastAsia="Times New Roman" w:hAnsi="Times New Roman" w:cs="Times New Roman"/>
          <w:bCs/>
          <w:sz w:val="24"/>
          <w:szCs w:val="24"/>
          <w:lang w:val="en-US"/>
        </w:rPr>
        <w:t>.</w:t>
      </w:r>
    </w:p>
    <w:p w14:paraId="01C10978"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MARTÍNEZ-BORREGUERO, F. J.; GARCÍA-GUTIÉRREZ, I. Fostering innovative Industry 4.0 value networks. In: </w:t>
      </w:r>
      <w:r w:rsidRPr="00AE5FCA">
        <w:rPr>
          <w:rFonts w:ascii="Times New Roman" w:eastAsia="Times New Roman" w:hAnsi="Times New Roman" w:cs="Times New Roman"/>
          <w:bCs/>
          <w:i/>
          <w:iCs/>
          <w:sz w:val="24"/>
          <w:szCs w:val="24"/>
          <w:lang w:val="en-US"/>
        </w:rPr>
        <w:t>Lecture Notes on Data Engineering and Communications Technologies</w:t>
      </w:r>
      <w:r w:rsidRPr="00AE5FCA">
        <w:rPr>
          <w:rFonts w:ascii="Times New Roman" w:eastAsia="Times New Roman" w:hAnsi="Times New Roman" w:cs="Times New Roman"/>
          <w:bCs/>
          <w:sz w:val="24"/>
          <w:szCs w:val="24"/>
          <w:lang w:val="en-US"/>
        </w:rPr>
        <w:t>. v. 160, p. 425-429, 2023.</w:t>
      </w:r>
    </w:p>
    <w:p w14:paraId="6594F843"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MCCANN, P.; ORTEGA-ARGILÉS, R. Smart </w:t>
      </w:r>
      <w:proofErr w:type="spellStart"/>
      <w:r w:rsidRPr="00AE5FCA">
        <w:rPr>
          <w:rFonts w:ascii="Times New Roman" w:eastAsia="Times New Roman" w:hAnsi="Times New Roman" w:cs="Times New Roman"/>
          <w:bCs/>
          <w:sz w:val="24"/>
          <w:szCs w:val="24"/>
          <w:lang w:val="en-US"/>
        </w:rPr>
        <w:t>specialisation</w:t>
      </w:r>
      <w:proofErr w:type="spellEnd"/>
      <w:r w:rsidRPr="00AE5FCA">
        <w:rPr>
          <w:rFonts w:ascii="Times New Roman" w:eastAsia="Times New Roman" w:hAnsi="Times New Roman" w:cs="Times New Roman"/>
          <w:bCs/>
          <w:sz w:val="24"/>
          <w:szCs w:val="24"/>
          <w:lang w:val="en-US"/>
        </w:rPr>
        <w:t xml:space="preserve"> and regional policy in times of crisis. </w:t>
      </w:r>
      <w:r w:rsidRPr="00AE5FCA">
        <w:rPr>
          <w:rFonts w:ascii="Times New Roman" w:eastAsia="Times New Roman" w:hAnsi="Times New Roman" w:cs="Times New Roman"/>
          <w:bCs/>
          <w:i/>
          <w:iCs/>
          <w:sz w:val="24"/>
          <w:szCs w:val="24"/>
          <w:lang w:val="en-US"/>
        </w:rPr>
        <w:t>Regional Studies</w:t>
      </w:r>
      <w:r w:rsidRPr="00AE5FCA">
        <w:rPr>
          <w:rFonts w:ascii="Times New Roman" w:eastAsia="Times New Roman" w:hAnsi="Times New Roman" w:cs="Times New Roman"/>
          <w:bCs/>
          <w:sz w:val="24"/>
          <w:szCs w:val="24"/>
          <w:lang w:val="en-US"/>
        </w:rPr>
        <w:t xml:space="preserve">, v. 55, n. 3, p. 403-415, 2021. DOI: </w:t>
      </w:r>
      <w:hyperlink r:id="rId38" w:tgtFrame="_new" w:history="1">
        <w:r w:rsidRPr="00AE5FCA">
          <w:rPr>
            <w:rStyle w:val="Hyperlink"/>
            <w:rFonts w:ascii="Times New Roman" w:eastAsia="Times New Roman" w:hAnsi="Times New Roman" w:cs="Times New Roman"/>
            <w:bCs/>
            <w:sz w:val="24"/>
            <w:szCs w:val="24"/>
            <w:lang w:val="en-US"/>
          </w:rPr>
          <w:t>https://doi.org/10.1080/00343404.2021.1872783</w:t>
        </w:r>
      </w:hyperlink>
      <w:r w:rsidRPr="00AE5FCA">
        <w:rPr>
          <w:rFonts w:ascii="Times New Roman" w:eastAsia="Times New Roman" w:hAnsi="Times New Roman" w:cs="Times New Roman"/>
          <w:bCs/>
          <w:sz w:val="24"/>
          <w:szCs w:val="24"/>
          <w:lang w:val="en-US"/>
        </w:rPr>
        <w:t>.</w:t>
      </w:r>
    </w:p>
    <w:p w14:paraId="1F0520F9"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MEJÍA, C.; KAJIKAWA, Y. Patent research in academic literature: landscape and trends with a focus on patent analytics. </w:t>
      </w:r>
      <w:r w:rsidRPr="00AE5FCA">
        <w:rPr>
          <w:rFonts w:ascii="Times New Roman" w:eastAsia="Times New Roman" w:hAnsi="Times New Roman" w:cs="Times New Roman"/>
          <w:bCs/>
          <w:i/>
          <w:iCs/>
          <w:sz w:val="24"/>
          <w:szCs w:val="24"/>
          <w:lang w:val="en-US"/>
        </w:rPr>
        <w:t>Frontiers in Research Metrics and Analytics</w:t>
      </w:r>
      <w:r w:rsidRPr="00AE5FCA">
        <w:rPr>
          <w:rFonts w:ascii="Times New Roman" w:eastAsia="Times New Roman" w:hAnsi="Times New Roman" w:cs="Times New Roman"/>
          <w:bCs/>
          <w:sz w:val="24"/>
          <w:szCs w:val="24"/>
          <w:lang w:val="en-US"/>
        </w:rPr>
        <w:t xml:space="preserve">, v. 9, p. 1484685, 2025. DOI: </w:t>
      </w:r>
      <w:hyperlink r:id="rId39" w:tgtFrame="_new" w:history="1">
        <w:r w:rsidRPr="00AE5FCA">
          <w:rPr>
            <w:rStyle w:val="Hyperlink"/>
            <w:rFonts w:ascii="Times New Roman" w:eastAsia="Times New Roman" w:hAnsi="Times New Roman" w:cs="Times New Roman"/>
            <w:bCs/>
            <w:sz w:val="24"/>
            <w:szCs w:val="24"/>
            <w:lang w:val="en-US"/>
          </w:rPr>
          <w:t>https://doi.org/10.3389/frma.2024.1484685</w:t>
        </w:r>
      </w:hyperlink>
      <w:r w:rsidRPr="00AE5FCA">
        <w:rPr>
          <w:rFonts w:ascii="Times New Roman" w:eastAsia="Times New Roman" w:hAnsi="Times New Roman" w:cs="Times New Roman"/>
          <w:bCs/>
          <w:sz w:val="24"/>
          <w:szCs w:val="24"/>
          <w:lang w:val="en-US"/>
        </w:rPr>
        <w:t>.</w:t>
      </w:r>
    </w:p>
    <w:p w14:paraId="22CEB9E4" w14:textId="77777777" w:rsidR="005B76E5" w:rsidRPr="00AE5FCA" w:rsidRDefault="005B76E5" w:rsidP="005B76E5">
      <w:pPr>
        <w:spacing w:line="360" w:lineRule="auto"/>
        <w:jc w:val="both"/>
        <w:rPr>
          <w:rFonts w:ascii="Times New Roman" w:eastAsia="Times New Roman" w:hAnsi="Times New Roman" w:cs="Times New Roman"/>
          <w:bCs/>
          <w:sz w:val="24"/>
          <w:szCs w:val="24"/>
          <w:lang w:val="fr-FR"/>
        </w:rPr>
      </w:pPr>
      <w:r w:rsidRPr="00AE5FCA">
        <w:rPr>
          <w:rFonts w:ascii="Times New Roman" w:eastAsia="Times New Roman" w:hAnsi="Times New Roman" w:cs="Times New Roman"/>
          <w:bCs/>
          <w:sz w:val="24"/>
          <w:szCs w:val="24"/>
          <w:lang w:val="en-US"/>
        </w:rPr>
        <w:t xml:space="preserve">MINGHUI, Z. </w:t>
      </w:r>
      <w:r w:rsidRPr="00AE5FCA">
        <w:rPr>
          <w:rFonts w:ascii="Times New Roman" w:eastAsia="Times New Roman" w:hAnsi="Times New Roman" w:cs="Times New Roman"/>
          <w:bCs/>
          <w:i/>
          <w:iCs/>
          <w:sz w:val="24"/>
          <w:szCs w:val="24"/>
          <w:lang w:val="en-US"/>
        </w:rPr>
        <w:t>et al.</w:t>
      </w:r>
      <w:r w:rsidRPr="00AE5FCA">
        <w:rPr>
          <w:rFonts w:ascii="Times New Roman" w:eastAsia="Times New Roman" w:hAnsi="Times New Roman" w:cs="Times New Roman"/>
          <w:bCs/>
          <w:sz w:val="24"/>
          <w:szCs w:val="24"/>
          <w:lang w:val="en-US"/>
        </w:rPr>
        <w:t xml:space="preserve"> Literature review and practice comparison of technology foresight. </w:t>
      </w:r>
      <w:r w:rsidRPr="00AE5FCA">
        <w:rPr>
          <w:rFonts w:ascii="Times New Roman" w:eastAsia="Times New Roman" w:hAnsi="Times New Roman" w:cs="Times New Roman"/>
          <w:bCs/>
          <w:i/>
          <w:iCs/>
          <w:sz w:val="24"/>
          <w:szCs w:val="24"/>
          <w:lang w:val="fr-FR"/>
        </w:rPr>
        <w:t>Procedia Computer Science</w:t>
      </w:r>
      <w:r w:rsidRPr="00AE5FCA">
        <w:rPr>
          <w:rFonts w:ascii="Times New Roman" w:eastAsia="Times New Roman" w:hAnsi="Times New Roman" w:cs="Times New Roman"/>
          <w:bCs/>
          <w:sz w:val="24"/>
          <w:szCs w:val="24"/>
          <w:lang w:val="fr-FR"/>
        </w:rPr>
        <w:t>, v. 199, p. 837-844, 2022. DOI: https://doi.org/10.1016/j.procs.2022.01.100.</w:t>
      </w:r>
    </w:p>
    <w:p w14:paraId="6FBE139A" w14:textId="77777777" w:rsidR="005B76E5" w:rsidRPr="00AE5FCA" w:rsidRDefault="005B76E5" w:rsidP="005B76E5">
      <w:pPr>
        <w:spacing w:line="360" w:lineRule="auto"/>
        <w:jc w:val="both"/>
        <w:rPr>
          <w:rFonts w:ascii="Times New Roman" w:eastAsia="Times New Roman" w:hAnsi="Times New Roman" w:cs="Times New Roman"/>
          <w:bCs/>
          <w:sz w:val="24"/>
          <w:szCs w:val="24"/>
          <w:lang w:val="fr-FR"/>
        </w:rPr>
      </w:pPr>
      <w:r w:rsidRPr="00AE5FCA">
        <w:rPr>
          <w:rFonts w:ascii="Times New Roman" w:eastAsia="Times New Roman" w:hAnsi="Times New Roman" w:cs="Times New Roman"/>
          <w:bCs/>
          <w:sz w:val="24"/>
          <w:szCs w:val="24"/>
          <w:lang w:val="fr-FR"/>
        </w:rPr>
        <w:t xml:space="preserve">MUSYUNI, P. </w:t>
      </w:r>
      <w:r w:rsidRPr="00AE5FCA">
        <w:rPr>
          <w:rFonts w:ascii="Times New Roman" w:eastAsia="Times New Roman" w:hAnsi="Times New Roman" w:cs="Times New Roman"/>
          <w:bCs/>
          <w:i/>
          <w:iCs/>
          <w:sz w:val="24"/>
          <w:szCs w:val="24"/>
          <w:lang w:val="fr-FR"/>
        </w:rPr>
        <w:t>et al.</w:t>
      </w:r>
      <w:r w:rsidRPr="00AE5FCA">
        <w:rPr>
          <w:rFonts w:ascii="Times New Roman" w:eastAsia="Times New Roman" w:hAnsi="Times New Roman" w:cs="Times New Roman"/>
          <w:bCs/>
          <w:sz w:val="24"/>
          <w:szCs w:val="24"/>
          <w:lang w:val="fr-FR"/>
        </w:rPr>
        <w:t xml:space="preserve"> </w:t>
      </w:r>
      <w:r w:rsidRPr="00AE5FCA">
        <w:rPr>
          <w:rFonts w:ascii="Times New Roman" w:eastAsia="Times New Roman" w:hAnsi="Times New Roman" w:cs="Times New Roman"/>
          <w:bCs/>
          <w:sz w:val="24"/>
          <w:szCs w:val="24"/>
          <w:lang w:val="en-US"/>
        </w:rPr>
        <w:t xml:space="preserve">A case study: analysis of patents on coronaviruses and COVID-19 for technological assessment and future research. </w:t>
      </w:r>
      <w:r w:rsidRPr="00AE5FCA">
        <w:rPr>
          <w:rFonts w:ascii="Times New Roman" w:eastAsia="Times New Roman" w:hAnsi="Times New Roman" w:cs="Times New Roman"/>
          <w:bCs/>
          <w:i/>
          <w:iCs/>
          <w:sz w:val="24"/>
          <w:szCs w:val="24"/>
          <w:lang w:val="fr-FR"/>
        </w:rPr>
        <w:t>Current Pharmaceutical Design</w:t>
      </w:r>
      <w:r w:rsidRPr="00AE5FCA">
        <w:rPr>
          <w:rFonts w:ascii="Times New Roman" w:eastAsia="Times New Roman" w:hAnsi="Times New Roman" w:cs="Times New Roman"/>
          <w:bCs/>
          <w:sz w:val="24"/>
          <w:szCs w:val="24"/>
          <w:lang w:val="fr-FR"/>
        </w:rPr>
        <w:t>, v. 27, n. 3, p. 423-439, 2020. DOI: https://doi.org/10.2174/1381612826666200724110553.</w:t>
      </w:r>
    </w:p>
    <w:p w14:paraId="6A02E87D"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fr-FR"/>
        </w:rPr>
        <w:lastRenderedPageBreak/>
        <w:t xml:space="preserve">NGO, T. D. </w:t>
      </w:r>
      <w:r w:rsidRPr="00AE5FCA">
        <w:rPr>
          <w:rFonts w:ascii="Times New Roman" w:eastAsia="Times New Roman" w:hAnsi="Times New Roman" w:cs="Times New Roman"/>
          <w:bCs/>
          <w:i/>
          <w:iCs/>
          <w:sz w:val="24"/>
          <w:szCs w:val="24"/>
          <w:lang w:val="fr-FR"/>
        </w:rPr>
        <w:t>et al.</w:t>
      </w:r>
      <w:r w:rsidRPr="00AE5FCA">
        <w:rPr>
          <w:rFonts w:ascii="Times New Roman" w:eastAsia="Times New Roman" w:hAnsi="Times New Roman" w:cs="Times New Roman"/>
          <w:bCs/>
          <w:sz w:val="24"/>
          <w:szCs w:val="24"/>
          <w:lang w:val="fr-FR"/>
        </w:rPr>
        <w:t xml:space="preserve"> </w:t>
      </w:r>
      <w:r w:rsidRPr="00AE5FCA">
        <w:rPr>
          <w:rFonts w:ascii="Times New Roman" w:eastAsia="Times New Roman" w:hAnsi="Times New Roman" w:cs="Times New Roman"/>
          <w:bCs/>
          <w:sz w:val="24"/>
          <w:szCs w:val="24"/>
          <w:lang w:val="en-US"/>
        </w:rPr>
        <w:t xml:space="preserve">Additive manufacturing (3D printing): a review of materials, methods, applications and challenges. </w:t>
      </w:r>
      <w:r w:rsidRPr="00AE5FCA">
        <w:rPr>
          <w:rFonts w:ascii="Times New Roman" w:eastAsia="Times New Roman" w:hAnsi="Times New Roman" w:cs="Times New Roman"/>
          <w:bCs/>
          <w:i/>
          <w:iCs/>
          <w:sz w:val="24"/>
          <w:szCs w:val="24"/>
          <w:lang w:val="en-US"/>
        </w:rPr>
        <w:t>Composites Part B: Engineering</w:t>
      </w:r>
      <w:r w:rsidRPr="00AE5FCA">
        <w:rPr>
          <w:rFonts w:ascii="Times New Roman" w:eastAsia="Times New Roman" w:hAnsi="Times New Roman" w:cs="Times New Roman"/>
          <w:bCs/>
          <w:sz w:val="24"/>
          <w:szCs w:val="24"/>
          <w:lang w:val="en-US"/>
        </w:rPr>
        <w:t xml:space="preserve">, v. 143, p. 172-196, 2018. DOI: </w:t>
      </w:r>
      <w:hyperlink r:id="rId40" w:tgtFrame="_new" w:history="1">
        <w:r w:rsidRPr="00AE5FCA">
          <w:rPr>
            <w:rStyle w:val="Hyperlink"/>
            <w:rFonts w:ascii="Times New Roman" w:eastAsia="Times New Roman" w:hAnsi="Times New Roman" w:cs="Times New Roman"/>
            <w:bCs/>
            <w:sz w:val="24"/>
            <w:szCs w:val="24"/>
            <w:lang w:val="en-US"/>
          </w:rPr>
          <w:t>https://doi.org/10.1016/j.compositesb.2018.02.012</w:t>
        </w:r>
      </w:hyperlink>
      <w:r w:rsidRPr="00AE5FCA">
        <w:rPr>
          <w:rFonts w:ascii="Times New Roman" w:eastAsia="Times New Roman" w:hAnsi="Times New Roman" w:cs="Times New Roman"/>
          <w:bCs/>
          <w:sz w:val="24"/>
          <w:szCs w:val="24"/>
          <w:lang w:val="en-US"/>
        </w:rPr>
        <w:t>.</w:t>
      </w:r>
    </w:p>
    <w:p w14:paraId="0C9DF2D5"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OECD. </w:t>
      </w:r>
      <w:r w:rsidRPr="00AE5FCA">
        <w:rPr>
          <w:rFonts w:ascii="Times New Roman" w:eastAsia="Times New Roman" w:hAnsi="Times New Roman" w:cs="Times New Roman"/>
          <w:bCs/>
          <w:i/>
          <w:iCs/>
          <w:sz w:val="24"/>
          <w:szCs w:val="24"/>
          <w:lang w:val="en-US"/>
        </w:rPr>
        <w:t>OECD Science, Technology and Innovation Outlook 2023</w:t>
      </w:r>
      <w:r w:rsidRPr="00AE5FCA">
        <w:rPr>
          <w:rFonts w:ascii="Times New Roman" w:eastAsia="Times New Roman" w:hAnsi="Times New Roman" w:cs="Times New Roman"/>
          <w:bCs/>
          <w:sz w:val="24"/>
          <w:szCs w:val="24"/>
          <w:lang w:val="en-US"/>
        </w:rPr>
        <w:t xml:space="preserve">. Paris: OECD Publishing, 2023. DOI: </w:t>
      </w:r>
      <w:hyperlink r:id="rId41" w:tgtFrame="_new" w:history="1">
        <w:r w:rsidRPr="00AE5FCA">
          <w:rPr>
            <w:rStyle w:val="Hyperlink"/>
            <w:rFonts w:ascii="Times New Roman" w:eastAsia="Times New Roman" w:hAnsi="Times New Roman" w:cs="Times New Roman"/>
            <w:bCs/>
            <w:sz w:val="24"/>
            <w:szCs w:val="24"/>
            <w:lang w:val="en-US"/>
          </w:rPr>
          <w:t>https://doi.org/10.1787/sti_outlook-2023-en</w:t>
        </w:r>
      </w:hyperlink>
      <w:r w:rsidRPr="00AE5FCA">
        <w:rPr>
          <w:rFonts w:ascii="Times New Roman" w:eastAsia="Times New Roman" w:hAnsi="Times New Roman" w:cs="Times New Roman"/>
          <w:bCs/>
          <w:sz w:val="24"/>
          <w:szCs w:val="24"/>
          <w:lang w:val="en-US"/>
        </w:rPr>
        <w:t>.</w:t>
      </w:r>
    </w:p>
    <w:p w14:paraId="22798CAE"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PERKMANN, M. </w:t>
      </w:r>
      <w:r w:rsidRPr="00AE5FCA">
        <w:rPr>
          <w:rFonts w:ascii="Times New Roman" w:eastAsia="Times New Roman" w:hAnsi="Times New Roman" w:cs="Times New Roman"/>
          <w:bCs/>
          <w:i/>
          <w:iCs/>
          <w:sz w:val="24"/>
          <w:szCs w:val="24"/>
          <w:lang w:val="en-US"/>
        </w:rPr>
        <w:t>et al.</w:t>
      </w:r>
      <w:r w:rsidRPr="00AE5FCA">
        <w:rPr>
          <w:rFonts w:ascii="Times New Roman" w:eastAsia="Times New Roman" w:hAnsi="Times New Roman" w:cs="Times New Roman"/>
          <w:bCs/>
          <w:sz w:val="24"/>
          <w:szCs w:val="24"/>
          <w:lang w:val="en-US"/>
        </w:rPr>
        <w:t xml:space="preserve"> Academic engagement: a review of the literature 2011-2019. </w:t>
      </w:r>
      <w:r w:rsidRPr="00AE5FCA">
        <w:rPr>
          <w:rFonts w:ascii="Times New Roman" w:eastAsia="Times New Roman" w:hAnsi="Times New Roman" w:cs="Times New Roman"/>
          <w:bCs/>
          <w:i/>
          <w:iCs/>
          <w:sz w:val="24"/>
          <w:szCs w:val="24"/>
          <w:lang w:val="en-US"/>
        </w:rPr>
        <w:t>Research Policy</w:t>
      </w:r>
      <w:r w:rsidRPr="00AE5FCA">
        <w:rPr>
          <w:rFonts w:ascii="Times New Roman" w:eastAsia="Times New Roman" w:hAnsi="Times New Roman" w:cs="Times New Roman"/>
          <w:bCs/>
          <w:sz w:val="24"/>
          <w:szCs w:val="24"/>
          <w:lang w:val="en-US"/>
        </w:rPr>
        <w:t xml:space="preserve">, v. 50, n. 1, 104114, 2021. DOI: </w:t>
      </w:r>
      <w:hyperlink r:id="rId42" w:tgtFrame="_new" w:history="1">
        <w:r w:rsidRPr="00AE5FCA">
          <w:rPr>
            <w:rStyle w:val="Hyperlink"/>
            <w:rFonts w:ascii="Times New Roman" w:eastAsia="Times New Roman" w:hAnsi="Times New Roman" w:cs="Times New Roman"/>
            <w:bCs/>
            <w:sz w:val="24"/>
            <w:szCs w:val="24"/>
            <w:lang w:val="en-US"/>
          </w:rPr>
          <w:t>https://doi.org/10.1016/j.respol.2020.104114</w:t>
        </w:r>
      </w:hyperlink>
      <w:r w:rsidRPr="00AE5FCA">
        <w:rPr>
          <w:rFonts w:ascii="Times New Roman" w:eastAsia="Times New Roman" w:hAnsi="Times New Roman" w:cs="Times New Roman"/>
          <w:bCs/>
          <w:sz w:val="24"/>
          <w:szCs w:val="24"/>
          <w:lang w:val="en-US"/>
        </w:rPr>
        <w:t>.</w:t>
      </w:r>
    </w:p>
    <w:p w14:paraId="2C16A4A3" w14:textId="0477C618"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PHAAL, R.; FARRUKH, C. J. P.; PROBERT, D. R. Technology </w:t>
      </w:r>
      <w:proofErr w:type="spellStart"/>
      <w:r w:rsidRPr="00AE5FCA">
        <w:rPr>
          <w:rFonts w:ascii="Times New Roman" w:eastAsia="Times New Roman" w:hAnsi="Times New Roman" w:cs="Times New Roman"/>
          <w:bCs/>
          <w:sz w:val="24"/>
          <w:szCs w:val="24"/>
          <w:lang w:val="en-US"/>
        </w:rPr>
        <w:t>roadmapping</w:t>
      </w:r>
      <w:proofErr w:type="spellEnd"/>
      <w:r w:rsidR="002C2A7F">
        <w:rPr>
          <w:rFonts w:ascii="Times New Roman" w:eastAsia="Times New Roman" w:hAnsi="Times New Roman" w:cs="Times New Roman"/>
          <w:bCs/>
          <w:sz w:val="24"/>
          <w:szCs w:val="24"/>
          <w:lang w:val="en-US"/>
        </w:rPr>
        <w:t xml:space="preserve">: </w:t>
      </w:r>
      <w:r w:rsidRPr="00AE5FCA">
        <w:rPr>
          <w:rFonts w:ascii="Times New Roman" w:eastAsia="Times New Roman" w:hAnsi="Times New Roman" w:cs="Times New Roman"/>
          <w:bCs/>
          <w:sz w:val="24"/>
          <w:szCs w:val="24"/>
          <w:lang w:val="en-US"/>
        </w:rPr>
        <w:t xml:space="preserve">a planning framework for evolution and revolution. </w:t>
      </w:r>
      <w:r w:rsidRPr="00AE5FCA">
        <w:rPr>
          <w:rFonts w:ascii="Times New Roman" w:eastAsia="Times New Roman" w:hAnsi="Times New Roman" w:cs="Times New Roman"/>
          <w:bCs/>
          <w:i/>
          <w:iCs/>
          <w:sz w:val="24"/>
          <w:szCs w:val="24"/>
          <w:lang w:val="en-US"/>
        </w:rPr>
        <w:t>Technological Forecasting and Social Change</w:t>
      </w:r>
      <w:r w:rsidRPr="00AE5FCA">
        <w:rPr>
          <w:rFonts w:ascii="Times New Roman" w:eastAsia="Times New Roman" w:hAnsi="Times New Roman" w:cs="Times New Roman"/>
          <w:bCs/>
          <w:sz w:val="24"/>
          <w:szCs w:val="24"/>
          <w:lang w:val="en-US"/>
        </w:rPr>
        <w:t xml:space="preserve">, v. 71, n. 1-2, p. 5-26, 2004. DOI: </w:t>
      </w:r>
      <w:hyperlink r:id="rId43" w:tgtFrame="_new" w:history="1">
        <w:r w:rsidRPr="00AE5FCA">
          <w:rPr>
            <w:rStyle w:val="Hyperlink"/>
            <w:rFonts w:ascii="Times New Roman" w:eastAsia="Times New Roman" w:hAnsi="Times New Roman" w:cs="Times New Roman"/>
            <w:bCs/>
            <w:sz w:val="24"/>
            <w:szCs w:val="24"/>
            <w:lang w:val="en-US"/>
          </w:rPr>
          <w:t>https://doi.org/10.1016/S0040-1625(03)00072-6</w:t>
        </w:r>
      </w:hyperlink>
      <w:r w:rsidRPr="00AE5FCA">
        <w:rPr>
          <w:rFonts w:ascii="Times New Roman" w:eastAsia="Times New Roman" w:hAnsi="Times New Roman" w:cs="Times New Roman"/>
          <w:bCs/>
          <w:sz w:val="24"/>
          <w:szCs w:val="24"/>
          <w:lang w:val="en-US"/>
        </w:rPr>
        <w:t>.</w:t>
      </w:r>
    </w:p>
    <w:p w14:paraId="7BB6C83E"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POEGE, F.; HARHOFF, D.; GAESSLER, F.; BARUFFALDI, S. H. Science quality and the value of inventions. </w:t>
      </w:r>
      <w:r w:rsidRPr="00AE5FCA">
        <w:rPr>
          <w:rFonts w:ascii="Times New Roman" w:eastAsia="Times New Roman" w:hAnsi="Times New Roman" w:cs="Times New Roman"/>
          <w:bCs/>
          <w:i/>
          <w:iCs/>
          <w:sz w:val="24"/>
          <w:szCs w:val="24"/>
          <w:lang w:val="en-US"/>
        </w:rPr>
        <w:t>Science Advances</w:t>
      </w:r>
      <w:r w:rsidRPr="00AE5FCA">
        <w:rPr>
          <w:rFonts w:ascii="Times New Roman" w:eastAsia="Times New Roman" w:hAnsi="Times New Roman" w:cs="Times New Roman"/>
          <w:bCs/>
          <w:sz w:val="24"/>
          <w:szCs w:val="24"/>
          <w:lang w:val="en-US"/>
        </w:rPr>
        <w:t xml:space="preserve">, v. 5, n. 12, eaay7323, 2019. DOI: </w:t>
      </w:r>
      <w:hyperlink r:id="rId44" w:tgtFrame="_new" w:history="1">
        <w:r w:rsidRPr="00AE5FCA">
          <w:rPr>
            <w:rStyle w:val="Hyperlink"/>
            <w:rFonts w:ascii="Times New Roman" w:eastAsia="Times New Roman" w:hAnsi="Times New Roman" w:cs="Times New Roman"/>
            <w:bCs/>
            <w:sz w:val="24"/>
            <w:szCs w:val="24"/>
            <w:lang w:val="en-US"/>
          </w:rPr>
          <w:t>https://doi.org/10.1126/sciadv.aay7323</w:t>
        </w:r>
      </w:hyperlink>
      <w:r w:rsidRPr="00AE5FCA">
        <w:rPr>
          <w:rFonts w:ascii="Times New Roman" w:eastAsia="Times New Roman" w:hAnsi="Times New Roman" w:cs="Times New Roman"/>
          <w:bCs/>
          <w:sz w:val="24"/>
          <w:szCs w:val="24"/>
          <w:lang w:val="en-US"/>
        </w:rPr>
        <w:t>.</w:t>
      </w:r>
    </w:p>
    <w:p w14:paraId="2E2CFA38"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PORTER, A. L.; KONGTHON, A.; LU, J. C. Research profiling: improving the literature review. </w:t>
      </w:r>
      <w:proofErr w:type="spellStart"/>
      <w:r w:rsidRPr="00AE5FCA">
        <w:rPr>
          <w:rFonts w:ascii="Times New Roman" w:eastAsia="Times New Roman" w:hAnsi="Times New Roman" w:cs="Times New Roman"/>
          <w:bCs/>
          <w:i/>
          <w:iCs/>
          <w:sz w:val="24"/>
          <w:szCs w:val="24"/>
          <w:lang w:val="en-US"/>
        </w:rPr>
        <w:t>Scientometrics</w:t>
      </w:r>
      <w:proofErr w:type="spellEnd"/>
      <w:r w:rsidRPr="00AE5FCA">
        <w:rPr>
          <w:rFonts w:ascii="Times New Roman" w:eastAsia="Times New Roman" w:hAnsi="Times New Roman" w:cs="Times New Roman"/>
          <w:bCs/>
          <w:sz w:val="24"/>
          <w:szCs w:val="24"/>
          <w:lang w:val="en-US"/>
        </w:rPr>
        <w:t xml:space="preserve">, v. 123, n. 2, p. 1071-1091, 2020. DOI: </w:t>
      </w:r>
      <w:hyperlink r:id="rId45" w:tgtFrame="_new" w:history="1">
        <w:r w:rsidRPr="00AE5FCA">
          <w:rPr>
            <w:rStyle w:val="Hyperlink"/>
            <w:rFonts w:ascii="Times New Roman" w:eastAsia="Times New Roman" w:hAnsi="Times New Roman" w:cs="Times New Roman"/>
            <w:bCs/>
            <w:sz w:val="24"/>
            <w:szCs w:val="24"/>
            <w:lang w:val="en-US"/>
          </w:rPr>
          <w:t>https://doi.org/10.1007/s11192-020-03387-3</w:t>
        </w:r>
      </w:hyperlink>
      <w:r w:rsidRPr="00AE5FCA">
        <w:rPr>
          <w:rFonts w:ascii="Times New Roman" w:eastAsia="Times New Roman" w:hAnsi="Times New Roman" w:cs="Times New Roman"/>
          <w:bCs/>
          <w:sz w:val="24"/>
          <w:szCs w:val="24"/>
          <w:lang w:val="en-US"/>
        </w:rPr>
        <w:t>.</w:t>
      </w:r>
    </w:p>
    <w:p w14:paraId="0E880E63"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POWDER based additive manufacturing: a critical review of commonly used methods and materials. </w:t>
      </w:r>
      <w:r w:rsidRPr="00AE5FCA">
        <w:rPr>
          <w:rFonts w:ascii="Times New Roman" w:eastAsia="Times New Roman" w:hAnsi="Times New Roman" w:cs="Times New Roman"/>
          <w:bCs/>
          <w:i/>
          <w:iCs/>
          <w:sz w:val="24"/>
          <w:szCs w:val="24"/>
          <w:lang w:val="en-US"/>
        </w:rPr>
        <w:t>Advanced Engineering Materials</w:t>
      </w:r>
      <w:r w:rsidRPr="00AE5FCA">
        <w:rPr>
          <w:rFonts w:ascii="Times New Roman" w:eastAsia="Times New Roman" w:hAnsi="Times New Roman" w:cs="Times New Roman"/>
          <w:bCs/>
          <w:sz w:val="24"/>
          <w:szCs w:val="24"/>
          <w:lang w:val="en-US"/>
        </w:rPr>
        <w:t>, 2023.</w:t>
      </w:r>
    </w:p>
    <w:p w14:paraId="149CAFDA"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QI, Z. </w:t>
      </w:r>
      <w:r w:rsidRPr="00AE5FCA">
        <w:rPr>
          <w:rFonts w:ascii="Times New Roman" w:eastAsia="Times New Roman" w:hAnsi="Times New Roman" w:cs="Times New Roman"/>
          <w:bCs/>
          <w:i/>
          <w:iCs/>
          <w:sz w:val="24"/>
          <w:szCs w:val="24"/>
          <w:lang w:val="en-US"/>
        </w:rPr>
        <w:t>et al.</w:t>
      </w:r>
      <w:r w:rsidRPr="00AE5FCA">
        <w:rPr>
          <w:rFonts w:ascii="Times New Roman" w:eastAsia="Times New Roman" w:hAnsi="Times New Roman" w:cs="Times New Roman"/>
          <w:bCs/>
          <w:sz w:val="24"/>
          <w:szCs w:val="24"/>
          <w:lang w:val="en-US"/>
        </w:rPr>
        <w:t xml:space="preserve"> Patent mining on soil pollution remediation technology from the perspective of technological trajectory. </w:t>
      </w:r>
      <w:r w:rsidRPr="00AE5FCA">
        <w:rPr>
          <w:rFonts w:ascii="Times New Roman" w:eastAsia="Times New Roman" w:hAnsi="Times New Roman" w:cs="Times New Roman"/>
          <w:bCs/>
          <w:i/>
          <w:iCs/>
          <w:sz w:val="24"/>
          <w:szCs w:val="24"/>
          <w:lang w:val="en-US"/>
        </w:rPr>
        <w:t>Environmental Pollution</w:t>
      </w:r>
      <w:r w:rsidRPr="00AE5FCA">
        <w:rPr>
          <w:rFonts w:ascii="Times New Roman" w:eastAsia="Times New Roman" w:hAnsi="Times New Roman" w:cs="Times New Roman"/>
          <w:bCs/>
          <w:sz w:val="24"/>
          <w:szCs w:val="24"/>
          <w:lang w:val="en-US"/>
        </w:rPr>
        <w:t>, v. 316, 120661, 2023. DOI: https://doi.org/10.1016/j.envpol.2022.120661.</w:t>
      </w:r>
    </w:p>
    <w:p w14:paraId="4355F484" w14:textId="77777777" w:rsidR="002C2A7F"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QUIROGA, O. D. </w:t>
      </w:r>
      <w:r w:rsidRPr="00AE5FCA">
        <w:rPr>
          <w:rFonts w:ascii="Times New Roman" w:eastAsia="Times New Roman" w:hAnsi="Times New Roman" w:cs="Times New Roman"/>
          <w:bCs/>
          <w:i/>
          <w:iCs/>
          <w:sz w:val="24"/>
          <w:szCs w:val="24"/>
          <w:lang w:val="en-US"/>
        </w:rPr>
        <w:t>Adoption of advanced technologies in industrial clusters: a study in Latin American industries</w:t>
      </w:r>
      <w:r w:rsidRPr="00AE5FCA">
        <w:rPr>
          <w:rFonts w:ascii="Times New Roman" w:eastAsia="Times New Roman" w:hAnsi="Times New Roman" w:cs="Times New Roman"/>
          <w:bCs/>
          <w:sz w:val="24"/>
          <w:szCs w:val="24"/>
          <w:lang w:val="en-US"/>
        </w:rPr>
        <w:t xml:space="preserve">. 2022. </w:t>
      </w:r>
      <w:proofErr w:type="spellStart"/>
      <w:r w:rsidRPr="00AE5FCA">
        <w:rPr>
          <w:rFonts w:ascii="Times New Roman" w:eastAsia="Times New Roman" w:hAnsi="Times New Roman" w:cs="Times New Roman"/>
          <w:bCs/>
          <w:sz w:val="24"/>
          <w:szCs w:val="24"/>
          <w:lang w:val="en-US"/>
        </w:rPr>
        <w:t>Dissertação</w:t>
      </w:r>
      <w:proofErr w:type="spellEnd"/>
      <w:r w:rsidRPr="00AE5FCA">
        <w:rPr>
          <w:rFonts w:ascii="Times New Roman" w:eastAsia="Times New Roman" w:hAnsi="Times New Roman" w:cs="Times New Roman"/>
          <w:bCs/>
          <w:sz w:val="24"/>
          <w:szCs w:val="24"/>
          <w:lang w:val="en-US"/>
        </w:rPr>
        <w:t xml:space="preserve"> (</w:t>
      </w:r>
      <w:proofErr w:type="spellStart"/>
      <w:r w:rsidRPr="00AE5FCA">
        <w:rPr>
          <w:rFonts w:ascii="Times New Roman" w:eastAsia="Times New Roman" w:hAnsi="Times New Roman" w:cs="Times New Roman"/>
          <w:bCs/>
          <w:sz w:val="24"/>
          <w:szCs w:val="24"/>
          <w:lang w:val="en-US"/>
        </w:rPr>
        <w:t>Mestrado</w:t>
      </w:r>
      <w:proofErr w:type="spellEnd"/>
      <w:r w:rsidRPr="00AE5FCA">
        <w:rPr>
          <w:rFonts w:ascii="Times New Roman" w:eastAsia="Times New Roman" w:hAnsi="Times New Roman" w:cs="Times New Roman"/>
          <w:bCs/>
          <w:sz w:val="24"/>
          <w:szCs w:val="24"/>
          <w:lang w:val="en-US"/>
        </w:rPr>
        <w:t>)</w:t>
      </w:r>
      <w:r w:rsidR="002C2A7F">
        <w:rPr>
          <w:rFonts w:ascii="Times New Roman" w:eastAsia="Times New Roman" w:hAnsi="Times New Roman" w:cs="Times New Roman"/>
          <w:bCs/>
          <w:sz w:val="24"/>
          <w:szCs w:val="24"/>
          <w:lang w:val="en-US"/>
        </w:rPr>
        <w:t xml:space="preserve">. </w:t>
      </w:r>
    </w:p>
    <w:p w14:paraId="270FBFA7" w14:textId="32F38584"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REDDY, A.; KUMAR, A.; SINGH, R. Applications of robotics in welding: a review. </w:t>
      </w:r>
      <w:r w:rsidRPr="00AE5FCA">
        <w:rPr>
          <w:rFonts w:ascii="Times New Roman" w:eastAsia="Times New Roman" w:hAnsi="Times New Roman" w:cs="Times New Roman"/>
          <w:bCs/>
          <w:i/>
          <w:iCs/>
          <w:sz w:val="24"/>
          <w:szCs w:val="24"/>
          <w:lang w:val="en-US"/>
        </w:rPr>
        <w:t>Materials Today: Proceedings</w:t>
      </w:r>
      <w:r w:rsidRPr="00AE5FCA">
        <w:rPr>
          <w:rFonts w:ascii="Times New Roman" w:eastAsia="Times New Roman" w:hAnsi="Times New Roman" w:cs="Times New Roman"/>
          <w:bCs/>
          <w:sz w:val="24"/>
          <w:szCs w:val="24"/>
          <w:lang w:val="en-US"/>
        </w:rPr>
        <w:t xml:space="preserve">, v. 27, n. 4, p. 404-409, 2020. DOI: </w:t>
      </w:r>
      <w:hyperlink r:id="rId46" w:tgtFrame="_new" w:history="1">
        <w:r w:rsidRPr="00AE5FCA">
          <w:rPr>
            <w:rStyle w:val="Hyperlink"/>
            <w:rFonts w:ascii="Times New Roman" w:eastAsia="Times New Roman" w:hAnsi="Times New Roman" w:cs="Times New Roman"/>
            <w:bCs/>
            <w:sz w:val="24"/>
            <w:szCs w:val="24"/>
            <w:lang w:val="en-US"/>
          </w:rPr>
          <w:t>https://doi.org/10.1016/j.matpr.2019.11.263</w:t>
        </w:r>
      </w:hyperlink>
      <w:r w:rsidRPr="00AE5FCA">
        <w:rPr>
          <w:rFonts w:ascii="Times New Roman" w:eastAsia="Times New Roman" w:hAnsi="Times New Roman" w:cs="Times New Roman"/>
          <w:bCs/>
          <w:sz w:val="24"/>
          <w:szCs w:val="24"/>
          <w:lang w:val="en-US"/>
        </w:rPr>
        <w:t>.</w:t>
      </w:r>
    </w:p>
    <w:p w14:paraId="22383D37"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SRHIR, S.; JAEGLER, A.; MONTOYA-TORRES, J. R. Uncovering Industry 4.0 technology attributes in sustainable supply chain 4.0: a systematic literature review. </w:t>
      </w:r>
      <w:r w:rsidRPr="00AE5FCA">
        <w:rPr>
          <w:rFonts w:ascii="Times New Roman" w:eastAsia="Times New Roman" w:hAnsi="Times New Roman" w:cs="Times New Roman"/>
          <w:bCs/>
          <w:i/>
          <w:iCs/>
          <w:sz w:val="24"/>
          <w:szCs w:val="24"/>
          <w:lang w:val="en-US"/>
        </w:rPr>
        <w:t>Business Strategy and the Environment</w:t>
      </w:r>
      <w:r w:rsidRPr="00AE5FCA">
        <w:rPr>
          <w:rFonts w:ascii="Times New Roman" w:eastAsia="Times New Roman" w:hAnsi="Times New Roman" w:cs="Times New Roman"/>
          <w:bCs/>
          <w:sz w:val="24"/>
          <w:szCs w:val="24"/>
          <w:lang w:val="en-US"/>
        </w:rPr>
        <w:t>, v. 32, n. 7, p. 4143-4166, 2023. DOI: https://doi.org/10.1002/bse.3325.</w:t>
      </w:r>
    </w:p>
    <w:p w14:paraId="62912EC3"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TIAN, Y.; LU, L.; ZHANG, Y.; XU, B. Advances in powder metallurgy and additive manufacturing for high-performance alloys. </w:t>
      </w:r>
      <w:r w:rsidRPr="00AE5FCA">
        <w:rPr>
          <w:rFonts w:ascii="Times New Roman" w:eastAsia="Times New Roman" w:hAnsi="Times New Roman" w:cs="Times New Roman"/>
          <w:bCs/>
          <w:i/>
          <w:iCs/>
          <w:sz w:val="24"/>
          <w:szCs w:val="24"/>
          <w:lang w:val="en-US"/>
        </w:rPr>
        <w:t>Journal of Materials Science &amp; Technology</w:t>
      </w:r>
      <w:r w:rsidRPr="00AE5FCA">
        <w:rPr>
          <w:rFonts w:ascii="Times New Roman" w:eastAsia="Times New Roman" w:hAnsi="Times New Roman" w:cs="Times New Roman"/>
          <w:bCs/>
          <w:sz w:val="24"/>
          <w:szCs w:val="24"/>
          <w:lang w:val="en-US"/>
        </w:rPr>
        <w:t xml:space="preserve">, v. 108, p. 79-93, 2022. DOI: </w:t>
      </w:r>
      <w:hyperlink r:id="rId47" w:tgtFrame="_new" w:history="1">
        <w:r w:rsidRPr="00AE5FCA">
          <w:rPr>
            <w:rStyle w:val="Hyperlink"/>
            <w:rFonts w:ascii="Times New Roman" w:eastAsia="Times New Roman" w:hAnsi="Times New Roman" w:cs="Times New Roman"/>
            <w:bCs/>
            <w:sz w:val="24"/>
            <w:szCs w:val="24"/>
            <w:lang w:val="en-US"/>
          </w:rPr>
          <w:t>https://doi.org/10.1016/j.jmst.2021.08.012</w:t>
        </w:r>
      </w:hyperlink>
      <w:r w:rsidRPr="00AE5FCA">
        <w:rPr>
          <w:rFonts w:ascii="Times New Roman" w:eastAsia="Times New Roman" w:hAnsi="Times New Roman" w:cs="Times New Roman"/>
          <w:bCs/>
          <w:sz w:val="24"/>
          <w:szCs w:val="24"/>
          <w:lang w:val="en-US"/>
        </w:rPr>
        <w:t>.</w:t>
      </w:r>
    </w:p>
    <w:p w14:paraId="76BBC920"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lastRenderedPageBreak/>
        <w:t xml:space="preserve">TSENG, F. C.; HUANG, M. H.; CHEN, D. Z. Factors of university–industry collaboration affecting university innovation performance. </w:t>
      </w:r>
      <w:r w:rsidRPr="00AE5FCA">
        <w:rPr>
          <w:rFonts w:ascii="Times New Roman" w:eastAsia="Times New Roman" w:hAnsi="Times New Roman" w:cs="Times New Roman"/>
          <w:bCs/>
          <w:i/>
          <w:iCs/>
          <w:sz w:val="24"/>
          <w:szCs w:val="24"/>
          <w:lang w:val="en-US"/>
        </w:rPr>
        <w:t>Journal of Technology Transfer</w:t>
      </w:r>
      <w:r w:rsidRPr="00AE5FCA">
        <w:rPr>
          <w:rFonts w:ascii="Times New Roman" w:eastAsia="Times New Roman" w:hAnsi="Times New Roman" w:cs="Times New Roman"/>
          <w:bCs/>
          <w:sz w:val="24"/>
          <w:szCs w:val="24"/>
          <w:lang w:val="en-US"/>
        </w:rPr>
        <w:t>, v. 45, n. 2, p. 560-577, 2020. DOI: https://doi.org/10.1007/s10961-018-9674-2.</w:t>
      </w:r>
    </w:p>
    <w:p w14:paraId="1D1FCC1C"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UNIDO. </w:t>
      </w:r>
      <w:r w:rsidRPr="00AE5FCA">
        <w:rPr>
          <w:rFonts w:ascii="Times New Roman" w:eastAsia="Times New Roman" w:hAnsi="Times New Roman" w:cs="Times New Roman"/>
          <w:bCs/>
          <w:i/>
          <w:iCs/>
          <w:sz w:val="24"/>
          <w:szCs w:val="24"/>
          <w:lang w:val="en-US"/>
        </w:rPr>
        <w:t>Industrial development report 2023: the future of industrialization in a post-pandemic world</w:t>
      </w:r>
      <w:r w:rsidRPr="00AE5FCA">
        <w:rPr>
          <w:rFonts w:ascii="Times New Roman" w:eastAsia="Times New Roman" w:hAnsi="Times New Roman" w:cs="Times New Roman"/>
          <w:bCs/>
          <w:sz w:val="24"/>
          <w:szCs w:val="24"/>
          <w:lang w:val="en-US"/>
        </w:rPr>
        <w:t>. Vienna: United Nations Industrial Development Organization, 2023.</w:t>
      </w:r>
    </w:p>
    <w:p w14:paraId="67E60ED5" w14:textId="77777777" w:rsidR="005B76E5" w:rsidRPr="00600E56"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VAN RAAN, A. F. J. </w:t>
      </w:r>
      <w:r w:rsidRPr="00AE5FCA">
        <w:rPr>
          <w:rFonts w:ascii="Times New Roman" w:eastAsia="Times New Roman" w:hAnsi="Times New Roman" w:cs="Times New Roman"/>
          <w:bCs/>
          <w:i/>
          <w:iCs/>
          <w:sz w:val="24"/>
          <w:szCs w:val="24"/>
          <w:lang w:val="en-US"/>
        </w:rPr>
        <w:t>Measuring science: basic principles and application of advanced bibliometrics</w:t>
      </w:r>
      <w:r w:rsidRPr="00AE5FCA">
        <w:rPr>
          <w:rFonts w:ascii="Times New Roman" w:eastAsia="Times New Roman" w:hAnsi="Times New Roman" w:cs="Times New Roman"/>
          <w:bCs/>
          <w:sz w:val="24"/>
          <w:szCs w:val="24"/>
          <w:lang w:val="en-US"/>
        </w:rPr>
        <w:t xml:space="preserve">. </w:t>
      </w:r>
      <w:r w:rsidRPr="00600E56">
        <w:rPr>
          <w:rFonts w:ascii="Times New Roman" w:eastAsia="Times New Roman" w:hAnsi="Times New Roman" w:cs="Times New Roman"/>
          <w:bCs/>
          <w:sz w:val="24"/>
          <w:szCs w:val="24"/>
          <w:lang w:val="en-US"/>
        </w:rPr>
        <w:t>Cham: Springer, 2019.</w:t>
      </w:r>
    </w:p>
    <w:p w14:paraId="7FD3F836"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WAGNER, G. A.; PAVLIK, J. B. Patent intensity and concentration: the effect of institutional quality on patent activity. </w:t>
      </w:r>
      <w:r w:rsidRPr="00AE5FCA">
        <w:rPr>
          <w:rFonts w:ascii="Times New Roman" w:eastAsia="Times New Roman" w:hAnsi="Times New Roman" w:cs="Times New Roman"/>
          <w:bCs/>
          <w:i/>
          <w:iCs/>
          <w:sz w:val="24"/>
          <w:szCs w:val="24"/>
          <w:lang w:val="en-US"/>
        </w:rPr>
        <w:t>Papers in Regional Science</w:t>
      </w:r>
      <w:r w:rsidRPr="00AE5FCA">
        <w:rPr>
          <w:rFonts w:ascii="Times New Roman" w:eastAsia="Times New Roman" w:hAnsi="Times New Roman" w:cs="Times New Roman"/>
          <w:bCs/>
          <w:sz w:val="24"/>
          <w:szCs w:val="24"/>
          <w:lang w:val="en-US"/>
        </w:rPr>
        <w:t xml:space="preserve">, v. 99, n. 4, p. 857-898, 2020. DOI: </w:t>
      </w:r>
      <w:hyperlink r:id="rId48" w:tgtFrame="_new" w:history="1">
        <w:r w:rsidRPr="00AE5FCA">
          <w:rPr>
            <w:rStyle w:val="Hyperlink"/>
            <w:rFonts w:ascii="Times New Roman" w:eastAsia="Times New Roman" w:hAnsi="Times New Roman" w:cs="Times New Roman"/>
            <w:bCs/>
            <w:sz w:val="24"/>
            <w:szCs w:val="24"/>
            <w:lang w:val="en-US"/>
          </w:rPr>
          <w:t>https://doi.org/10.1111/pirs.12515</w:t>
        </w:r>
      </w:hyperlink>
      <w:r w:rsidRPr="00AE5FCA">
        <w:rPr>
          <w:rFonts w:ascii="Times New Roman" w:eastAsia="Times New Roman" w:hAnsi="Times New Roman" w:cs="Times New Roman"/>
          <w:bCs/>
          <w:sz w:val="24"/>
          <w:szCs w:val="24"/>
          <w:lang w:val="en-US"/>
        </w:rPr>
        <w:t>.</w:t>
      </w:r>
    </w:p>
    <w:p w14:paraId="01E632F8"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WANG, J.; MA, Y.; ZHANG, L.; GAO, R. X.; WU, D. Deep learning for smart manufacturing: methods and applications. </w:t>
      </w:r>
      <w:r w:rsidRPr="00AE5FCA">
        <w:rPr>
          <w:rFonts w:ascii="Times New Roman" w:eastAsia="Times New Roman" w:hAnsi="Times New Roman" w:cs="Times New Roman"/>
          <w:bCs/>
          <w:i/>
          <w:iCs/>
          <w:sz w:val="24"/>
          <w:szCs w:val="24"/>
          <w:lang w:val="en-US"/>
        </w:rPr>
        <w:t>Journal of Manufacturing Systems</w:t>
      </w:r>
      <w:r w:rsidRPr="00AE5FCA">
        <w:rPr>
          <w:rFonts w:ascii="Times New Roman" w:eastAsia="Times New Roman" w:hAnsi="Times New Roman" w:cs="Times New Roman"/>
          <w:bCs/>
          <w:sz w:val="24"/>
          <w:szCs w:val="24"/>
          <w:lang w:val="en-US"/>
        </w:rPr>
        <w:t xml:space="preserve">, v. 48, p. 144-156, 2018. DOI: </w:t>
      </w:r>
      <w:hyperlink r:id="rId49" w:tgtFrame="_new" w:history="1">
        <w:r w:rsidRPr="00AE5FCA">
          <w:rPr>
            <w:rStyle w:val="Hyperlink"/>
            <w:rFonts w:ascii="Times New Roman" w:eastAsia="Times New Roman" w:hAnsi="Times New Roman" w:cs="Times New Roman"/>
            <w:bCs/>
            <w:sz w:val="24"/>
            <w:szCs w:val="24"/>
            <w:lang w:val="en-US"/>
          </w:rPr>
          <w:t>https://doi.org/10.1016/j.jmsy.2018.01.003</w:t>
        </w:r>
      </w:hyperlink>
      <w:r w:rsidRPr="00AE5FCA">
        <w:rPr>
          <w:rFonts w:ascii="Times New Roman" w:eastAsia="Times New Roman" w:hAnsi="Times New Roman" w:cs="Times New Roman"/>
          <w:bCs/>
          <w:sz w:val="24"/>
          <w:szCs w:val="24"/>
          <w:lang w:val="en-US"/>
        </w:rPr>
        <w:t>.</w:t>
      </w:r>
    </w:p>
    <w:p w14:paraId="773E179A" w14:textId="77777777" w:rsidR="005B76E5" w:rsidRPr="00AE5FCA" w:rsidRDefault="005B76E5" w:rsidP="005B76E5">
      <w:pPr>
        <w:spacing w:line="360" w:lineRule="auto"/>
        <w:jc w:val="both"/>
        <w:rPr>
          <w:rFonts w:ascii="Times New Roman" w:eastAsia="Times New Roman" w:hAnsi="Times New Roman" w:cs="Times New Roman"/>
          <w:bCs/>
          <w:sz w:val="24"/>
          <w:szCs w:val="24"/>
        </w:rPr>
      </w:pPr>
      <w:r w:rsidRPr="00AE5FCA">
        <w:rPr>
          <w:rFonts w:ascii="Times New Roman" w:eastAsia="Times New Roman" w:hAnsi="Times New Roman" w:cs="Times New Roman"/>
          <w:bCs/>
          <w:sz w:val="24"/>
          <w:szCs w:val="24"/>
          <w:lang w:val="en-US"/>
        </w:rPr>
        <w:t xml:space="preserve">WANG, J.; HSU, T. Y. Early discovery of emerging multi-technology convergence for analyzing technology opportunities from patent data: the case of smart health. </w:t>
      </w:r>
      <w:proofErr w:type="spellStart"/>
      <w:r w:rsidRPr="00AE5FCA">
        <w:rPr>
          <w:rFonts w:ascii="Times New Roman" w:eastAsia="Times New Roman" w:hAnsi="Times New Roman" w:cs="Times New Roman"/>
          <w:bCs/>
          <w:i/>
          <w:iCs/>
          <w:sz w:val="24"/>
          <w:szCs w:val="24"/>
        </w:rPr>
        <w:t>Scientometrics</w:t>
      </w:r>
      <w:proofErr w:type="spellEnd"/>
      <w:r w:rsidRPr="00AE5FCA">
        <w:rPr>
          <w:rFonts w:ascii="Times New Roman" w:eastAsia="Times New Roman" w:hAnsi="Times New Roman" w:cs="Times New Roman"/>
          <w:bCs/>
          <w:sz w:val="24"/>
          <w:szCs w:val="24"/>
        </w:rPr>
        <w:t>, v. 128, n. 8, p. 4167-4196, 2023. DOI: https://doi.org/10.1007/s11192-023-04766-4.</w:t>
      </w:r>
    </w:p>
    <w:p w14:paraId="241C620A"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rPr>
        <w:t xml:space="preserve">WIPO. </w:t>
      </w:r>
      <w:r w:rsidRPr="00AE5FCA">
        <w:rPr>
          <w:rFonts w:ascii="Times New Roman" w:eastAsia="Times New Roman" w:hAnsi="Times New Roman" w:cs="Times New Roman"/>
          <w:bCs/>
          <w:i/>
          <w:iCs/>
          <w:sz w:val="24"/>
          <w:szCs w:val="24"/>
          <w:lang w:val="en-US"/>
        </w:rPr>
        <w:t>World Intellectual Property Indicators 2022</w:t>
      </w:r>
      <w:r w:rsidRPr="00AE5FCA">
        <w:rPr>
          <w:rFonts w:ascii="Times New Roman" w:eastAsia="Times New Roman" w:hAnsi="Times New Roman" w:cs="Times New Roman"/>
          <w:bCs/>
          <w:sz w:val="24"/>
          <w:szCs w:val="24"/>
          <w:lang w:val="en-US"/>
        </w:rPr>
        <w:t>. Geneva: World Intellectual Property Organization, 2022.</w:t>
      </w:r>
    </w:p>
    <w:p w14:paraId="6FE9E42F"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ZHANG, J.; ZHAO, S.; XIAO, W.; HUANG, T. Advances in multifunctional materials for industrial applications. </w:t>
      </w:r>
      <w:r w:rsidRPr="00AE5FCA">
        <w:rPr>
          <w:rFonts w:ascii="Times New Roman" w:eastAsia="Times New Roman" w:hAnsi="Times New Roman" w:cs="Times New Roman"/>
          <w:bCs/>
          <w:i/>
          <w:iCs/>
          <w:sz w:val="24"/>
          <w:szCs w:val="24"/>
          <w:lang w:val="en-US"/>
        </w:rPr>
        <w:t>Progress in Materials Science</w:t>
      </w:r>
      <w:r w:rsidRPr="00AE5FCA">
        <w:rPr>
          <w:rFonts w:ascii="Times New Roman" w:eastAsia="Times New Roman" w:hAnsi="Times New Roman" w:cs="Times New Roman"/>
          <w:bCs/>
          <w:sz w:val="24"/>
          <w:szCs w:val="24"/>
          <w:lang w:val="en-US"/>
        </w:rPr>
        <w:t xml:space="preserve">, v. 127, 100945, 2022. DOI: </w:t>
      </w:r>
      <w:hyperlink r:id="rId50" w:tgtFrame="_new" w:history="1">
        <w:r w:rsidRPr="00AE5FCA">
          <w:rPr>
            <w:rStyle w:val="Hyperlink"/>
            <w:rFonts w:ascii="Times New Roman" w:eastAsia="Times New Roman" w:hAnsi="Times New Roman" w:cs="Times New Roman"/>
            <w:bCs/>
            <w:sz w:val="24"/>
            <w:szCs w:val="24"/>
            <w:lang w:val="en-US"/>
          </w:rPr>
          <w:t>https://doi.org/10.1016/j.pmatsci.2021.100945</w:t>
        </w:r>
      </w:hyperlink>
      <w:r w:rsidRPr="00AE5FCA">
        <w:rPr>
          <w:rFonts w:ascii="Times New Roman" w:eastAsia="Times New Roman" w:hAnsi="Times New Roman" w:cs="Times New Roman"/>
          <w:bCs/>
          <w:sz w:val="24"/>
          <w:szCs w:val="24"/>
          <w:lang w:val="en-US"/>
        </w:rPr>
        <w:t>.</w:t>
      </w:r>
    </w:p>
    <w:p w14:paraId="7AE3D502"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ZHANG, Y. </w:t>
      </w:r>
      <w:r w:rsidRPr="00AE5FCA">
        <w:rPr>
          <w:rFonts w:ascii="Times New Roman" w:eastAsia="Times New Roman" w:hAnsi="Times New Roman" w:cs="Times New Roman"/>
          <w:bCs/>
          <w:i/>
          <w:iCs/>
          <w:sz w:val="24"/>
          <w:szCs w:val="24"/>
          <w:lang w:val="en-US"/>
        </w:rPr>
        <w:t>et al.</w:t>
      </w:r>
      <w:r w:rsidRPr="00AE5FCA">
        <w:rPr>
          <w:rFonts w:ascii="Times New Roman" w:eastAsia="Times New Roman" w:hAnsi="Times New Roman" w:cs="Times New Roman"/>
          <w:bCs/>
          <w:sz w:val="24"/>
          <w:szCs w:val="24"/>
          <w:lang w:val="en-US"/>
        </w:rPr>
        <w:t xml:space="preserve"> Technology </w:t>
      </w:r>
      <w:proofErr w:type="spellStart"/>
      <w:r w:rsidRPr="00AE5FCA">
        <w:rPr>
          <w:rFonts w:ascii="Times New Roman" w:eastAsia="Times New Roman" w:hAnsi="Times New Roman" w:cs="Times New Roman"/>
          <w:bCs/>
          <w:sz w:val="24"/>
          <w:szCs w:val="24"/>
          <w:lang w:val="en-US"/>
        </w:rPr>
        <w:t>roadmapping</w:t>
      </w:r>
      <w:proofErr w:type="spellEnd"/>
      <w:r w:rsidRPr="00AE5FCA">
        <w:rPr>
          <w:rFonts w:ascii="Times New Roman" w:eastAsia="Times New Roman" w:hAnsi="Times New Roman" w:cs="Times New Roman"/>
          <w:bCs/>
          <w:sz w:val="24"/>
          <w:szCs w:val="24"/>
          <w:lang w:val="en-US"/>
        </w:rPr>
        <w:t xml:space="preserve"> for competitive technical intelligence. </w:t>
      </w:r>
      <w:r w:rsidRPr="00AE5FCA">
        <w:rPr>
          <w:rFonts w:ascii="Times New Roman" w:eastAsia="Times New Roman" w:hAnsi="Times New Roman" w:cs="Times New Roman"/>
          <w:bCs/>
          <w:i/>
          <w:iCs/>
          <w:sz w:val="24"/>
          <w:szCs w:val="24"/>
          <w:lang w:val="en-US"/>
        </w:rPr>
        <w:t>Technological Forecasting and Social Change</w:t>
      </w:r>
      <w:r w:rsidRPr="00AE5FCA">
        <w:rPr>
          <w:rFonts w:ascii="Times New Roman" w:eastAsia="Times New Roman" w:hAnsi="Times New Roman" w:cs="Times New Roman"/>
          <w:bCs/>
          <w:sz w:val="24"/>
          <w:szCs w:val="24"/>
          <w:lang w:val="en-US"/>
        </w:rPr>
        <w:t>, v. 110, p. 175-186, 2016. DOI: https://doi.org/10.1016/j.techfore.2016.06.030.</w:t>
      </w:r>
    </w:p>
    <w:p w14:paraId="116FAA56" w14:textId="77777777" w:rsidR="005B76E5" w:rsidRPr="00AE5FCA" w:rsidRDefault="005B76E5" w:rsidP="005B76E5">
      <w:pPr>
        <w:spacing w:line="360" w:lineRule="auto"/>
        <w:jc w:val="both"/>
        <w:rPr>
          <w:rFonts w:ascii="Times New Roman" w:eastAsia="Times New Roman" w:hAnsi="Times New Roman" w:cs="Times New Roman"/>
          <w:bCs/>
          <w:sz w:val="24"/>
          <w:szCs w:val="24"/>
          <w:lang w:val="en-US"/>
        </w:rPr>
      </w:pPr>
      <w:r w:rsidRPr="00AE5FCA">
        <w:rPr>
          <w:rFonts w:ascii="Times New Roman" w:eastAsia="Times New Roman" w:hAnsi="Times New Roman" w:cs="Times New Roman"/>
          <w:bCs/>
          <w:sz w:val="24"/>
          <w:szCs w:val="24"/>
          <w:lang w:val="en-US"/>
        </w:rPr>
        <w:t xml:space="preserve">ZHONG, R. Y.; XU, X.; KLOTZ, E.; NEWMAN, S. T. Intelligent manufacturing in the context of Industry 4.0: a review. </w:t>
      </w:r>
      <w:r w:rsidRPr="00AE5FCA">
        <w:rPr>
          <w:rFonts w:ascii="Times New Roman" w:eastAsia="Times New Roman" w:hAnsi="Times New Roman" w:cs="Times New Roman"/>
          <w:bCs/>
          <w:i/>
          <w:iCs/>
          <w:sz w:val="24"/>
          <w:szCs w:val="24"/>
          <w:lang w:val="en-US"/>
        </w:rPr>
        <w:t>Engineering</w:t>
      </w:r>
      <w:r w:rsidRPr="00AE5FCA">
        <w:rPr>
          <w:rFonts w:ascii="Times New Roman" w:eastAsia="Times New Roman" w:hAnsi="Times New Roman" w:cs="Times New Roman"/>
          <w:bCs/>
          <w:sz w:val="24"/>
          <w:szCs w:val="24"/>
          <w:lang w:val="en-US"/>
        </w:rPr>
        <w:t xml:space="preserve">, v. 3, n. 5, p. 616-630, 2017. DOI: </w:t>
      </w:r>
      <w:hyperlink r:id="rId51" w:tgtFrame="_new" w:history="1">
        <w:r w:rsidRPr="00AE5FCA">
          <w:rPr>
            <w:rStyle w:val="Hyperlink"/>
            <w:rFonts w:ascii="Times New Roman" w:eastAsia="Times New Roman" w:hAnsi="Times New Roman" w:cs="Times New Roman"/>
            <w:bCs/>
            <w:sz w:val="24"/>
            <w:szCs w:val="24"/>
            <w:lang w:val="en-US"/>
          </w:rPr>
          <w:t>https://doi.org/10.1016/j.eng.2017.05.015</w:t>
        </w:r>
      </w:hyperlink>
      <w:r w:rsidRPr="00AE5FCA">
        <w:rPr>
          <w:rFonts w:ascii="Times New Roman" w:eastAsia="Times New Roman" w:hAnsi="Times New Roman" w:cs="Times New Roman"/>
          <w:bCs/>
          <w:sz w:val="24"/>
          <w:szCs w:val="24"/>
          <w:lang w:val="en-US"/>
        </w:rPr>
        <w:t>.</w:t>
      </w:r>
    </w:p>
    <w:p w14:paraId="79600D94" w14:textId="77777777" w:rsidR="005B76E5" w:rsidRDefault="005B76E5">
      <w:pPr>
        <w:spacing w:line="360" w:lineRule="auto"/>
        <w:jc w:val="both"/>
        <w:rPr>
          <w:rFonts w:ascii="Times New Roman" w:eastAsia="Times New Roman" w:hAnsi="Times New Roman" w:cs="Times New Roman"/>
          <w:b/>
          <w:sz w:val="24"/>
          <w:szCs w:val="24"/>
        </w:rPr>
      </w:pPr>
    </w:p>
    <w:p w14:paraId="65686300" w14:textId="4A5FBBD6" w:rsidR="00D8471E" w:rsidRDefault="00D8471E">
      <w:pPr>
        <w:spacing w:before="200" w:after="240" w:line="240" w:lineRule="auto"/>
        <w:rPr>
          <w:rFonts w:ascii="Times New Roman" w:eastAsia="Times New Roman" w:hAnsi="Times New Roman" w:cs="Times New Roman"/>
          <w:sz w:val="24"/>
          <w:szCs w:val="24"/>
        </w:rPr>
      </w:pPr>
    </w:p>
    <w:sectPr w:rsidR="00D8471E" w:rsidSect="00B009E4">
      <w:headerReference w:type="default" r:id="rId52"/>
      <w:footerReference w:type="default" r:id="rId53"/>
      <w:headerReference w:type="first" r:id="rId54"/>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4A9FF" w14:textId="77777777" w:rsidR="00F7226E" w:rsidRDefault="00F7226E">
      <w:pPr>
        <w:spacing w:line="240" w:lineRule="auto"/>
      </w:pPr>
      <w:r>
        <w:separator/>
      </w:r>
    </w:p>
  </w:endnote>
  <w:endnote w:type="continuationSeparator" w:id="0">
    <w:p w14:paraId="5ADEDA1A" w14:textId="77777777" w:rsidR="00F7226E" w:rsidRDefault="00F722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99EA97F-FF50-4A40-8011-94E9816B344F}"/>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4360D3A4-52D7-4457-B693-7AD6B01865E8}"/>
  </w:font>
  <w:font w:name="Noto Sans Symbols">
    <w:charset w:val="00"/>
    <w:family w:val="auto"/>
    <w:pitch w:val="default"/>
    <w:embedRegular r:id="rId3" w:fontKey="{E7B66B7F-1FF0-4488-AAB9-73FC93B40344}"/>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4" w:fontKey="{ADC0064E-3D74-43ED-A77A-2700D99DDF17}"/>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905876D1-6E8D-40F1-9C18-1078D8A611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1B0B7" w14:textId="77777777" w:rsidR="006F452E" w:rsidRPr="00B009E4"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rPr>
    </w:pPr>
    <w:r w:rsidRPr="00B009E4">
      <w:rPr>
        <w:rFonts w:ascii="Times New Roman" w:eastAsia="Times New Roman" w:hAnsi="Times New Roman" w:cs="Times New Roman"/>
        <w:color w:val="1F497D" w:themeColor="text2"/>
      </w:rPr>
      <w:t>SBGC – Sociedade Brasileira de Gestão do Conhecimento – sbgc.org.br</w:t>
    </w:r>
  </w:p>
  <w:p w14:paraId="2E83D7AB" w14:textId="7A199FCD" w:rsidR="00D8471E"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rPr>
    </w:pPr>
    <w:r w:rsidRPr="00B009E4">
      <w:rPr>
        <w:rFonts w:ascii="Times New Roman" w:eastAsia="Times New Roman" w:hAnsi="Times New Roman" w:cs="Times New Roman"/>
        <w:color w:val="1F497D" w:themeColor="text2"/>
      </w:rPr>
      <w:t xml:space="preserve">KM Brasil 2025 - 20º Congresso Brasileiro de Gestão do Conhecimento – kmbrasil.org                      </w:t>
    </w:r>
    <w:r w:rsidRPr="00B009E4">
      <w:rPr>
        <w:rFonts w:ascii="Times New Roman" w:eastAsia="Times New Roman" w:hAnsi="Times New Roman" w:cs="Times New Roman"/>
        <w:color w:val="1F497D" w:themeColor="text2"/>
      </w:rPr>
      <w:fldChar w:fldCharType="begin"/>
    </w:r>
    <w:r w:rsidRPr="00B009E4">
      <w:rPr>
        <w:rFonts w:ascii="Times New Roman" w:eastAsia="Times New Roman" w:hAnsi="Times New Roman" w:cs="Times New Roman"/>
        <w:color w:val="1F497D" w:themeColor="text2"/>
      </w:rPr>
      <w:instrText>PAGE</w:instrText>
    </w:r>
    <w:r w:rsidRPr="00B009E4">
      <w:rPr>
        <w:rFonts w:ascii="Times New Roman" w:eastAsia="Times New Roman" w:hAnsi="Times New Roman" w:cs="Times New Roman"/>
        <w:color w:val="1F497D" w:themeColor="text2"/>
      </w:rPr>
      <w:fldChar w:fldCharType="separate"/>
    </w:r>
    <w:r w:rsidR="00421B29" w:rsidRPr="00B009E4">
      <w:rPr>
        <w:rFonts w:ascii="Times New Roman" w:eastAsia="Times New Roman" w:hAnsi="Times New Roman" w:cs="Times New Roman"/>
        <w:noProof/>
        <w:color w:val="1F497D" w:themeColor="text2"/>
      </w:rPr>
      <w:t>1</w:t>
    </w:r>
    <w:r w:rsidRPr="00B009E4">
      <w:rPr>
        <w:rFonts w:ascii="Times New Roman" w:eastAsia="Times New Roman" w:hAnsi="Times New Roman" w:cs="Times New Roman"/>
        <w:color w:val="1F497D" w:themeColor="text2"/>
      </w:rPr>
      <w:fldChar w:fldCharType="end"/>
    </w:r>
  </w:p>
  <w:p w14:paraId="12F598DC" w14:textId="77777777" w:rsidR="00D8471E" w:rsidRDefault="00D8471E">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E0BAF" w14:textId="77777777" w:rsidR="00F7226E" w:rsidRDefault="00F7226E">
      <w:pPr>
        <w:spacing w:line="240" w:lineRule="auto"/>
      </w:pPr>
      <w:r>
        <w:separator/>
      </w:r>
    </w:p>
  </w:footnote>
  <w:footnote w:type="continuationSeparator" w:id="0">
    <w:p w14:paraId="4D5639ED" w14:textId="77777777" w:rsidR="00F7226E" w:rsidRDefault="00F722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AE08E" w14:textId="6CEA9C00" w:rsidR="00D8471E" w:rsidRDefault="00136729" w:rsidP="00136729">
    <w:pPr>
      <w:pBdr>
        <w:top w:val="nil"/>
        <w:left w:val="nil"/>
        <w:bottom w:val="nil"/>
        <w:right w:val="nil"/>
        <w:between w:val="nil"/>
      </w:pBdr>
      <w:tabs>
        <w:tab w:val="center" w:pos="4252"/>
        <w:tab w:val="right" w:pos="8504"/>
      </w:tabs>
      <w:spacing w:line="240" w:lineRule="auto"/>
      <w:jc w:val="both"/>
      <w:rPr>
        <w:color w:val="000000"/>
      </w:rPr>
    </w:pPr>
    <w:r>
      <w:rPr>
        <w:noProof/>
      </w:rPr>
      <w:drawing>
        <wp:inline distT="0" distB="0" distL="0" distR="0" wp14:anchorId="66525D89" wp14:editId="00DB3627">
          <wp:extent cx="1126957" cy="360000"/>
          <wp:effectExtent l="0" t="0" r="0" b="2540"/>
          <wp:docPr id="203747436"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Pr>
        <w:color w:val="000000"/>
      </w:rPr>
      <w:t xml:space="preserve">                                                                                             </w:t>
    </w:r>
    <w:r>
      <w:rPr>
        <w:noProof/>
      </w:rPr>
      <w:drawing>
        <wp:inline distT="0" distB="0" distL="0" distR="0" wp14:anchorId="1784989F" wp14:editId="54DFB772">
          <wp:extent cx="1191818" cy="360000"/>
          <wp:effectExtent l="0" t="0" r="0" b="2540"/>
          <wp:docPr id="36435748"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CCC41" w14:textId="488E232C" w:rsidR="00136729" w:rsidRDefault="00136729">
    <w:pPr>
      <w:pStyle w:val="Cabealho"/>
    </w:pPr>
    <w:r>
      <w:rPr>
        <w:noProof/>
      </w:rPr>
      <w:drawing>
        <wp:inline distT="0" distB="0" distL="0" distR="0" wp14:anchorId="70ED366B" wp14:editId="78F09767">
          <wp:extent cx="1126957" cy="360000"/>
          <wp:effectExtent l="0" t="0" r="0" b="2540"/>
          <wp:docPr id="12707945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t xml:space="preserve">                                                                                        </w:t>
    </w:r>
    <w:r>
      <w:rPr>
        <w:noProof/>
      </w:rPr>
      <w:drawing>
        <wp:inline distT="0" distB="0" distL="0" distR="0" wp14:anchorId="6A79E5C0" wp14:editId="180DC618">
          <wp:extent cx="1191818" cy="360000"/>
          <wp:effectExtent l="0" t="0" r="0" b="2540"/>
          <wp:docPr id="14335994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p w14:paraId="5F77A256" w14:textId="3EDE407D" w:rsidR="00D8471E" w:rsidRDefault="00D8471E">
    <w:pPr>
      <w:pBdr>
        <w:top w:val="nil"/>
        <w:left w:val="nil"/>
        <w:bottom w:val="nil"/>
        <w:right w:val="nil"/>
        <w:between w:val="nil"/>
      </w:pBdr>
      <w:tabs>
        <w:tab w:val="center" w:pos="4252"/>
        <w:tab w:val="right" w:pos="8504"/>
      </w:tabs>
      <w:spacing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B0227"/>
    <w:multiLevelType w:val="multilevel"/>
    <w:tmpl w:val="3FBA25D6"/>
    <w:lvl w:ilvl="0">
      <w:start w:val="1"/>
      <w:numFmt w:val="decimal"/>
      <w:lvlText w:val="%1."/>
      <w:lvlJc w:val="lef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1" w15:restartNumberingAfterBreak="0">
    <w:nsid w:val="4DD65773"/>
    <w:multiLevelType w:val="multilevel"/>
    <w:tmpl w:val="432AF4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5DF83DDD"/>
    <w:multiLevelType w:val="multilevel"/>
    <w:tmpl w:val="CFE63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28323819">
    <w:abstractNumId w:val="2"/>
  </w:num>
  <w:num w:numId="2" w16cid:durableId="691417632">
    <w:abstractNumId w:val="1"/>
  </w:num>
  <w:num w:numId="3" w16cid:durableId="754589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71E"/>
    <w:rsid w:val="000211AF"/>
    <w:rsid w:val="000E00BD"/>
    <w:rsid w:val="00107804"/>
    <w:rsid w:val="00136729"/>
    <w:rsid w:val="001367CE"/>
    <w:rsid w:val="002769D9"/>
    <w:rsid w:val="002C2A7F"/>
    <w:rsid w:val="002F0283"/>
    <w:rsid w:val="003B5AB7"/>
    <w:rsid w:val="00421B29"/>
    <w:rsid w:val="004622C9"/>
    <w:rsid w:val="00495573"/>
    <w:rsid w:val="004A41C5"/>
    <w:rsid w:val="00512D7C"/>
    <w:rsid w:val="0057376B"/>
    <w:rsid w:val="005B76E5"/>
    <w:rsid w:val="006A4F8D"/>
    <w:rsid w:val="006F452E"/>
    <w:rsid w:val="00746722"/>
    <w:rsid w:val="00747168"/>
    <w:rsid w:val="007E47CF"/>
    <w:rsid w:val="00863FA0"/>
    <w:rsid w:val="00890DC4"/>
    <w:rsid w:val="008B7535"/>
    <w:rsid w:val="0092081D"/>
    <w:rsid w:val="0092485A"/>
    <w:rsid w:val="0095121F"/>
    <w:rsid w:val="00992ED5"/>
    <w:rsid w:val="00A01146"/>
    <w:rsid w:val="00A03621"/>
    <w:rsid w:val="00A14A3E"/>
    <w:rsid w:val="00A924C5"/>
    <w:rsid w:val="00AB7BDE"/>
    <w:rsid w:val="00AF4B33"/>
    <w:rsid w:val="00B009E4"/>
    <w:rsid w:val="00B4500F"/>
    <w:rsid w:val="00B50247"/>
    <w:rsid w:val="00B72C81"/>
    <w:rsid w:val="00B9796C"/>
    <w:rsid w:val="00C9211F"/>
    <w:rsid w:val="00CF11C6"/>
    <w:rsid w:val="00D472B0"/>
    <w:rsid w:val="00D8471E"/>
    <w:rsid w:val="00DB1A49"/>
    <w:rsid w:val="00DC6962"/>
    <w:rsid w:val="00DD1E49"/>
    <w:rsid w:val="00E27B67"/>
    <w:rsid w:val="00EA23D4"/>
    <w:rsid w:val="00F7226E"/>
    <w:rsid w:val="00FE360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E5D92"/>
  <w15:docId w15:val="{55CBF3C4-6FD1-459E-91DC-227376480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1">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 w:type="character" w:styleId="MenoPendente">
    <w:name w:val="Unresolved Mention"/>
    <w:basedOn w:val="Fontepargpadro"/>
    <w:uiPriority w:val="99"/>
    <w:semiHidden/>
    <w:unhideWhenUsed/>
    <w:rsid w:val="00FE360F"/>
    <w:rPr>
      <w:color w:val="605E5C"/>
      <w:shd w:val="clear" w:color="auto" w:fill="E1DFDD"/>
    </w:rPr>
  </w:style>
  <w:style w:type="paragraph" w:customStyle="1" w:styleId="CustomNormal">
    <w:name w:val="CustomNormal"/>
    <w:rsid w:val="00863FA0"/>
    <w:pPr>
      <w:spacing w:after="120"/>
    </w:pPr>
    <w:rPr>
      <w:rFonts w:eastAsiaTheme="minorEastAsia"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1108/13552540610670717" TargetMode="External"/><Relationship Id="rId26" Type="http://schemas.openxmlformats.org/officeDocument/2006/relationships/hyperlink" Target="https://doi.org/10.1007/s40684-016-0015-5" TargetMode="External"/><Relationship Id="rId39" Type="http://schemas.openxmlformats.org/officeDocument/2006/relationships/hyperlink" Target="https://doi.org/10.3389/frma.2024.1484685" TargetMode="External"/><Relationship Id="rId21" Type="http://schemas.openxmlformats.org/officeDocument/2006/relationships/hyperlink" Target="https://doi.org/10.1016/j.jclepro.2016.12.048" TargetMode="External"/><Relationship Id="rId34" Type="http://schemas.openxmlformats.org/officeDocument/2006/relationships/hyperlink" Target="https://doi.org/10.1177/08853282221107187" TargetMode="External"/><Relationship Id="rId42" Type="http://schemas.openxmlformats.org/officeDocument/2006/relationships/hyperlink" Target="https://doi.org/10.1016/j.respol.2020.104114" TargetMode="External"/><Relationship Id="rId47" Type="http://schemas.openxmlformats.org/officeDocument/2006/relationships/hyperlink" Target="https://doi.org/10.1016/j.jmst.2021.08.012" TargetMode="External"/><Relationship Id="rId50" Type="http://schemas.openxmlformats.org/officeDocument/2006/relationships/hyperlink" Target="https://doi.org/10.1016/j.pmatsci.2021.100945" TargetMode="Externa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i.org/10.1093/oso/9780198841906.001.0001" TargetMode="External"/><Relationship Id="rId29" Type="http://schemas.openxmlformats.org/officeDocument/2006/relationships/hyperlink" Target="https://mexicoindustry.com/noticia/la-industria-metalmecanica-en-mexico-y-america-latina-transformacion-y-retos-rumbo-a-tecma-2025" TargetMode="External"/><Relationship Id="rId11" Type="http://schemas.openxmlformats.org/officeDocument/2006/relationships/image" Target="media/image3.png"/><Relationship Id="rId24" Type="http://schemas.openxmlformats.org/officeDocument/2006/relationships/hyperlink" Target="https://doi.org/10.1257/jel.20181445" TargetMode="External"/><Relationship Id="rId32" Type="http://schemas.openxmlformats.org/officeDocument/2006/relationships/hyperlink" Target="https://doi.org/10.1109/MIE.2020.2995444" TargetMode="External"/><Relationship Id="rId37" Type="http://schemas.openxmlformats.org/officeDocument/2006/relationships/hyperlink" Target="https://doi.org/10.1109/TEM.2007.912807" TargetMode="External"/><Relationship Id="rId40" Type="http://schemas.openxmlformats.org/officeDocument/2006/relationships/hyperlink" Target="https://doi.org/10.1016/j.compositesb.2018.02.012" TargetMode="External"/><Relationship Id="rId45" Type="http://schemas.openxmlformats.org/officeDocument/2006/relationships/hyperlink" Target="https://doi.org/10.1007/s11192-020-03387-3" TargetMode="External"/><Relationship Id="rId53"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hyperlink" Target="https://doi.org/10.2139/ssrn.3897611" TargetMode="External"/><Relationship Id="rId31" Type="http://schemas.openxmlformats.org/officeDocument/2006/relationships/hyperlink" Target="https://doi.org/10.1002/asi.23179" TargetMode="External"/><Relationship Id="rId44" Type="http://schemas.openxmlformats.org/officeDocument/2006/relationships/hyperlink" Target="https://doi.org/10.1126/sciadv.aay7323" TargetMode="External"/><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oi.org/10.1016/0166-4972(96)00031-4" TargetMode="External"/><Relationship Id="rId22" Type="http://schemas.openxmlformats.org/officeDocument/2006/relationships/hyperlink" Target="https://doi.org/10.1007/978-3-030-56127-7" TargetMode="External"/><Relationship Id="rId27" Type="http://schemas.openxmlformats.org/officeDocument/2006/relationships/hyperlink" Target="https://doi.org/10.1016/j.resconrec.2017.09.005" TargetMode="External"/><Relationship Id="rId30" Type="http://schemas.openxmlformats.org/officeDocument/2006/relationships/hyperlink" Target="https://doi.org/10.1016/j.jmsy.2021.11.002" TargetMode="External"/><Relationship Id="rId35" Type="http://schemas.openxmlformats.org/officeDocument/2006/relationships/hyperlink" Target="https://doi.org/10.1016/j.jii.2017.04.005" TargetMode="External"/><Relationship Id="rId43" Type="http://schemas.openxmlformats.org/officeDocument/2006/relationships/hyperlink" Target="https://doi.org/10.1016/S0040-1625(03)00072-6" TargetMode="External"/><Relationship Id="rId48" Type="http://schemas.openxmlformats.org/officeDocument/2006/relationships/hyperlink" Target="https://doi.org/10.1111/pirs.12515"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doi.org/10.1016/j.eng.2017.05.015"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doi.org/10.1186/s13036-015-0001-4" TargetMode="External"/><Relationship Id="rId25" Type="http://schemas.openxmlformats.org/officeDocument/2006/relationships/hyperlink" Target="https://doi.org/10.1080/00207543.2019.1630772" TargetMode="External"/><Relationship Id="rId33" Type="http://schemas.openxmlformats.org/officeDocument/2006/relationships/hyperlink" Target="https://doi.org/10.1080/00207543.2017.1308576" TargetMode="External"/><Relationship Id="rId38" Type="http://schemas.openxmlformats.org/officeDocument/2006/relationships/hyperlink" Target="https://doi.org/10.1080/00343404.2021.1872783" TargetMode="External"/><Relationship Id="rId46" Type="http://schemas.openxmlformats.org/officeDocument/2006/relationships/hyperlink" Target="https://doi.org/10.1016/j.matpr.2019.11.263" TargetMode="External"/><Relationship Id="rId20" Type="http://schemas.openxmlformats.org/officeDocument/2006/relationships/hyperlink" Target="https://doi.org/10.1016/j.jmsy.2023.03.009" TargetMode="External"/><Relationship Id="rId41" Type="http://schemas.openxmlformats.org/officeDocument/2006/relationships/hyperlink" Target="https://doi.org/10.1787/sti_outlook-2023-en"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i.org/10.1016/j.jclepro.2013.11.039" TargetMode="External"/><Relationship Id="rId23" Type="http://schemas.openxmlformats.org/officeDocument/2006/relationships/hyperlink" Target="https://doi.org/10.1016/j.techfore.2016.06.015" TargetMode="External"/><Relationship Id="rId28" Type="http://schemas.openxmlformats.org/officeDocument/2006/relationships/hyperlink" Target="https://doi.org/10.1287/orsc.3.3.383" TargetMode="External"/><Relationship Id="rId36" Type="http://schemas.openxmlformats.org/officeDocument/2006/relationships/hyperlink" Target="https://doi.org/10.1016/j.actaastro.2009.03.058" TargetMode="External"/><Relationship Id="rId49" Type="http://schemas.openxmlformats.org/officeDocument/2006/relationships/hyperlink" Target="https://doi.org/10.1016/j.jmsy.2018.01.00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M3Pl6tH8ume8n61uR96lHE9w==">CgMxLjA4AHIhMWJNOUR0VWhSdGhrV01xNndrdnVkTXo4NmJWMHFkSHdL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5C5C1AC-3AD9-4E7F-A010-88E854705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23</Pages>
  <Words>8571</Words>
  <Characters>46284</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Priscila Rezende da Costa</dc:creator>
  <cp:lastModifiedBy>Priscila Rezende da Costa</cp:lastModifiedBy>
  <cp:revision>39</cp:revision>
  <dcterms:created xsi:type="dcterms:W3CDTF">2025-09-08T12:27:00Z</dcterms:created>
  <dcterms:modified xsi:type="dcterms:W3CDTF">2025-09-08T13:08:00Z</dcterms:modified>
</cp:coreProperties>
</file>