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829F" w14:textId="77777777" w:rsidR="00AE7786" w:rsidRDefault="00344CD2">
      <w:pPr>
        <w:pStyle w:val="Corpodetexto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15729152" behindDoc="0" locked="0" layoutInCell="1" allowOverlap="1" wp14:anchorId="571E4D35" wp14:editId="57E2D313">
            <wp:simplePos x="0" y="0"/>
            <wp:positionH relativeFrom="page">
              <wp:posOffset>15240</wp:posOffset>
            </wp:positionH>
            <wp:positionV relativeFrom="page">
              <wp:posOffset>68580</wp:posOffset>
            </wp:positionV>
            <wp:extent cx="7505700" cy="13563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599" cy="1356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7EA01" w14:textId="77777777" w:rsidR="00AE7786" w:rsidRDefault="00AE7786">
      <w:pPr>
        <w:pStyle w:val="Corpodetexto"/>
        <w:rPr>
          <w:sz w:val="16"/>
        </w:rPr>
      </w:pPr>
    </w:p>
    <w:p w14:paraId="1608CC7B" w14:textId="77777777" w:rsidR="00AE7786" w:rsidRDefault="00AE7786">
      <w:pPr>
        <w:pStyle w:val="Corpodetexto"/>
        <w:rPr>
          <w:sz w:val="16"/>
        </w:rPr>
      </w:pPr>
    </w:p>
    <w:p w14:paraId="6A99534A" w14:textId="77777777" w:rsidR="00AE7786" w:rsidRDefault="00AE7786">
      <w:pPr>
        <w:pStyle w:val="Corpodetexto"/>
        <w:rPr>
          <w:sz w:val="16"/>
        </w:rPr>
      </w:pPr>
    </w:p>
    <w:p w14:paraId="171D2F1A" w14:textId="77777777" w:rsidR="00AE7786" w:rsidRDefault="00AE7786">
      <w:pPr>
        <w:pStyle w:val="Corpodetexto"/>
        <w:rPr>
          <w:sz w:val="16"/>
        </w:rPr>
      </w:pPr>
    </w:p>
    <w:p w14:paraId="55A4BD87" w14:textId="77777777" w:rsidR="00AE7786" w:rsidRDefault="00AE7786">
      <w:pPr>
        <w:pStyle w:val="Corpodetexto"/>
        <w:rPr>
          <w:sz w:val="16"/>
        </w:rPr>
      </w:pPr>
    </w:p>
    <w:p w14:paraId="2C07D004" w14:textId="77777777" w:rsidR="00AE7786" w:rsidRDefault="00AE7786">
      <w:pPr>
        <w:pStyle w:val="Corpodetexto"/>
        <w:rPr>
          <w:sz w:val="16"/>
        </w:rPr>
      </w:pPr>
    </w:p>
    <w:p w14:paraId="42C3F97A" w14:textId="77777777" w:rsidR="00AE7786" w:rsidRDefault="00AE7786">
      <w:pPr>
        <w:pStyle w:val="Corpodetexto"/>
        <w:rPr>
          <w:sz w:val="16"/>
        </w:rPr>
      </w:pPr>
    </w:p>
    <w:p w14:paraId="734696DB" w14:textId="77777777" w:rsidR="00AE7786" w:rsidRDefault="00AE7786">
      <w:pPr>
        <w:pStyle w:val="Corpodetexto"/>
        <w:rPr>
          <w:sz w:val="16"/>
        </w:rPr>
      </w:pPr>
    </w:p>
    <w:p w14:paraId="76165215" w14:textId="77777777" w:rsidR="00AE7786" w:rsidRDefault="00AE7786">
      <w:pPr>
        <w:pStyle w:val="Corpodetexto"/>
        <w:rPr>
          <w:sz w:val="16"/>
        </w:rPr>
      </w:pPr>
    </w:p>
    <w:p w14:paraId="5157D9A7" w14:textId="77777777" w:rsidR="00AE7786" w:rsidRDefault="00AE7786">
      <w:pPr>
        <w:pStyle w:val="Corpodetexto"/>
        <w:rPr>
          <w:sz w:val="16"/>
        </w:rPr>
      </w:pPr>
    </w:p>
    <w:p w14:paraId="3245B668" w14:textId="77777777" w:rsidR="00AE7786" w:rsidRDefault="00AE7786">
      <w:pPr>
        <w:pStyle w:val="Corpodetexto"/>
        <w:rPr>
          <w:sz w:val="16"/>
        </w:rPr>
      </w:pPr>
    </w:p>
    <w:p w14:paraId="21111993" w14:textId="77777777" w:rsidR="00AE7786" w:rsidRDefault="00344CD2" w:rsidP="00D969F4">
      <w:pPr>
        <w:tabs>
          <w:tab w:val="left" w:pos="1365"/>
          <w:tab w:val="left" w:pos="9866"/>
        </w:tabs>
        <w:rPr>
          <w:rFonts w:ascii="Calibri" w:hAnsi="Calibri"/>
          <w:b/>
          <w:sz w:val="16"/>
        </w:rPr>
      </w:pPr>
      <w:r>
        <w:rPr>
          <w:rFonts w:ascii="Calibri" w:hAnsi="Calibri"/>
          <w:b/>
          <w:color w:val="FFFFFF"/>
          <w:sz w:val="16"/>
          <w:shd w:val="clear" w:color="auto" w:fill="365F91"/>
        </w:rPr>
        <w:tab/>
        <w:t>ANAIS</w:t>
      </w:r>
      <w:r>
        <w:rPr>
          <w:rFonts w:ascii="Calibri" w:hAnsi="Calibri"/>
          <w:b/>
          <w:color w:val="FFFFFF"/>
          <w:spacing w:val="-6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5º</w:t>
      </w:r>
      <w:r>
        <w:rPr>
          <w:rFonts w:ascii="Calibri" w:hAnsi="Calibri"/>
          <w:b/>
          <w:color w:val="FFFFFF"/>
          <w:spacing w:val="-2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JAO</w:t>
      </w:r>
      <w:r>
        <w:rPr>
          <w:rFonts w:ascii="Calibri" w:hAnsi="Calibri"/>
          <w:b/>
          <w:color w:val="FFFFFF"/>
          <w:spacing w:val="-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UNIFSA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2025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|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29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e</w:t>
      </w:r>
      <w:r>
        <w:rPr>
          <w:rFonts w:ascii="Calibri" w:hAnsi="Calibri"/>
          <w:b/>
          <w:color w:val="FFFFFF"/>
          <w:spacing w:val="2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30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de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maio</w:t>
      </w:r>
      <w:r>
        <w:rPr>
          <w:rFonts w:ascii="Calibri" w:hAnsi="Calibri"/>
          <w:b/>
          <w:color w:val="FFFFFF"/>
          <w:spacing w:val="-3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de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2025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|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Centro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Universitário</w:t>
      </w:r>
      <w:r>
        <w:rPr>
          <w:rFonts w:ascii="Calibri" w:hAnsi="Calibri"/>
          <w:b/>
          <w:color w:val="FFFFFF"/>
          <w:spacing w:val="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Santo</w:t>
      </w:r>
      <w:r>
        <w:rPr>
          <w:rFonts w:ascii="Calibri" w:hAnsi="Calibri"/>
          <w:b/>
          <w:color w:val="FFFFFF"/>
          <w:spacing w:val="-4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Agostinho</w:t>
      </w:r>
      <w:r>
        <w:rPr>
          <w:rFonts w:ascii="Calibri" w:hAnsi="Calibri"/>
          <w:b/>
          <w:color w:val="FFFFFF"/>
          <w:spacing w:val="-3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-</w:t>
      </w:r>
      <w:r>
        <w:rPr>
          <w:rFonts w:ascii="Calibri" w:hAnsi="Calibri"/>
          <w:b/>
          <w:color w:val="FFFFFF"/>
          <w:spacing w:val="-3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Teresina</w:t>
      </w:r>
      <w:r>
        <w:rPr>
          <w:rFonts w:ascii="Calibri" w:hAnsi="Calibri"/>
          <w:b/>
          <w:color w:val="FFFFFF"/>
          <w:spacing w:val="-1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>–</w:t>
      </w:r>
      <w:r>
        <w:rPr>
          <w:rFonts w:ascii="Calibri" w:hAnsi="Calibri"/>
          <w:b/>
          <w:color w:val="FFFFFF"/>
          <w:spacing w:val="-2"/>
          <w:sz w:val="16"/>
          <w:shd w:val="clear" w:color="auto" w:fill="365F91"/>
        </w:rPr>
        <w:t xml:space="preserve"> </w:t>
      </w:r>
      <w:r>
        <w:rPr>
          <w:rFonts w:ascii="Calibri" w:hAnsi="Calibri"/>
          <w:b/>
          <w:color w:val="FFFFFF"/>
          <w:spacing w:val="-5"/>
          <w:sz w:val="16"/>
          <w:shd w:val="clear" w:color="auto" w:fill="365F91"/>
        </w:rPr>
        <w:t>PI</w:t>
      </w:r>
      <w:r>
        <w:rPr>
          <w:rFonts w:ascii="Calibri" w:hAnsi="Calibri"/>
          <w:b/>
          <w:color w:val="FFFFFF"/>
          <w:sz w:val="16"/>
          <w:shd w:val="clear" w:color="auto" w:fill="365F91"/>
        </w:rPr>
        <w:tab/>
      </w:r>
    </w:p>
    <w:p w14:paraId="280EE443" w14:textId="77777777" w:rsidR="00AE7786" w:rsidRDefault="00AE7786">
      <w:pPr>
        <w:pStyle w:val="Corpodetexto"/>
        <w:rPr>
          <w:rFonts w:ascii="Calibri"/>
          <w:b/>
          <w:sz w:val="16"/>
        </w:rPr>
      </w:pPr>
    </w:p>
    <w:p w14:paraId="5E57993B" w14:textId="77777777" w:rsidR="00AE7786" w:rsidRDefault="00AE7786">
      <w:pPr>
        <w:pStyle w:val="Corpodetexto"/>
        <w:rPr>
          <w:rFonts w:ascii="Calibri"/>
          <w:b/>
          <w:sz w:val="16"/>
        </w:rPr>
      </w:pPr>
    </w:p>
    <w:p w14:paraId="14674A26" w14:textId="4FC3FBC9" w:rsidR="00AE7786" w:rsidRDefault="006E17A5" w:rsidP="0047346F">
      <w:pPr>
        <w:pStyle w:val="Ttulo"/>
        <w:spacing w:line="237" w:lineRule="auto"/>
        <w:ind w:left="0"/>
        <w:rPr>
          <w:vertAlign w:val="superscript"/>
        </w:rPr>
      </w:pPr>
      <w:r>
        <w:t>ODONTOPEDIATRIA E INCLUSÃO: ABORDAGEM PARA ATENDIMENTO DE CRIANÇAS COM NECESSIDADES ESPECIAIS</w:t>
      </w:r>
      <w:hyperlink w:anchor="_bookmark0" w:history="1">
        <w:r w:rsidR="00344CD2">
          <w:rPr>
            <w:vertAlign w:val="superscript"/>
          </w:rPr>
          <w:t>1</w:t>
        </w:r>
      </w:hyperlink>
    </w:p>
    <w:p w14:paraId="29255DAB" w14:textId="19872225" w:rsidR="006E17A5" w:rsidRDefault="006E17A5" w:rsidP="007B7EC5">
      <w:pPr>
        <w:pStyle w:val="Ttulo"/>
        <w:spacing w:line="237" w:lineRule="auto"/>
        <w:rPr>
          <w:vertAlign w:val="superscript"/>
        </w:rPr>
      </w:pPr>
    </w:p>
    <w:p w14:paraId="7035A1AE" w14:textId="77777777" w:rsidR="006E17A5" w:rsidRDefault="006E17A5">
      <w:pPr>
        <w:pStyle w:val="Ttulo"/>
        <w:spacing w:line="237" w:lineRule="auto"/>
      </w:pPr>
    </w:p>
    <w:p w14:paraId="54DAE4C7" w14:textId="5D1C84D0" w:rsidR="006E17A5" w:rsidRDefault="006E17A5" w:rsidP="006E17A5">
      <w:pPr>
        <w:ind w:right="421"/>
      </w:pPr>
      <w:r>
        <w:rPr>
          <w:b/>
        </w:rPr>
        <w:t xml:space="preserve">                                                                                                              Gabriella Carine Rodrigues de Sousa</w:t>
      </w:r>
      <w:hyperlink w:anchor="_bookmark1" w:history="1">
        <w:r w:rsidR="00344CD2">
          <w:rPr>
            <w:vertAlign w:val="superscript"/>
          </w:rPr>
          <w:t>2</w:t>
        </w:r>
      </w:hyperlink>
      <w:r w:rsidR="00344CD2">
        <w:t xml:space="preserve"> </w:t>
      </w:r>
    </w:p>
    <w:p w14:paraId="2C50BADC" w14:textId="0BB5EDC2" w:rsidR="00AE7786" w:rsidRPr="006E17A5" w:rsidRDefault="006E17A5" w:rsidP="006E17A5">
      <w:pPr>
        <w:ind w:right="421"/>
        <w:rPr>
          <w:b/>
        </w:rPr>
      </w:pPr>
      <w:r>
        <w:rPr>
          <w:b/>
        </w:rPr>
        <w:t xml:space="preserve">                                                                                                                 Rebeca Carolina de Sousa Firmeza</w:t>
      </w:r>
      <w:r w:rsidR="00344CD2">
        <w:rPr>
          <w:b/>
          <w:spacing w:val="-10"/>
        </w:rPr>
        <w:t xml:space="preserve"> </w:t>
      </w:r>
      <w:hyperlink w:anchor="_bookmark2" w:history="1">
        <w:r w:rsidR="00344CD2">
          <w:rPr>
            <w:spacing w:val="-10"/>
            <w:vertAlign w:val="superscript"/>
          </w:rPr>
          <w:t>3</w:t>
        </w:r>
      </w:hyperlink>
    </w:p>
    <w:p w14:paraId="301D4F3B" w14:textId="66597667" w:rsidR="00AE7786" w:rsidRDefault="00344CD2">
      <w:pPr>
        <w:spacing w:line="251" w:lineRule="exact"/>
        <w:ind w:right="421"/>
        <w:jc w:val="right"/>
        <w:rPr>
          <w:b/>
        </w:rPr>
      </w:pPr>
      <w:r>
        <w:rPr>
          <w:b/>
        </w:rPr>
        <w:t>N</w:t>
      </w:r>
      <w:r w:rsidR="006E17A5">
        <w:rPr>
          <w:b/>
        </w:rPr>
        <w:t>eusa Barros Dantas Neta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-8"/>
        </w:rPr>
        <w:t xml:space="preserve"> </w:t>
      </w:r>
    </w:p>
    <w:p w14:paraId="05AE81F1" w14:textId="77777777" w:rsidR="00AE7786" w:rsidRDefault="00344CD2" w:rsidP="007B7EC5">
      <w:pPr>
        <w:rPr>
          <w:b/>
        </w:rPr>
      </w:pPr>
      <w:r>
        <w:rPr>
          <w:b/>
          <w:spacing w:val="-2"/>
        </w:rPr>
        <w:t>RESUMO</w:t>
      </w:r>
    </w:p>
    <w:p w14:paraId="37888DA9" w14:textId="77777777" w:rsidR="007B7EC5" w:rsidRDefault="007B7EC5" w:rsidP="007B7EC5">
      <w:pPr>
        <w:spacing w:line="360" w:lineRule="auto"/>
        <w:jc w:val="both"/>
        <w:rPr>
          <w:b/>
        </w:rPr>
      </w:pPr>
    </w:p>
    <w:p w14:paraId="11E9F6FF" w14:textId="7C1C9318" w:rsidR="007B7EC5" w:rsidRPr="007B7EC5" w:rsidRDefault="00344CD2" w:rsidP="004722CE">
      <w:pPr>
        <w:spacing w:line="360" w:lineRule="auto"/>
        <w:rPr>
          <w:rFonts w:eastAsiaTheme="majorEastAsia"/>
          <w:color w:val="000000" w:themeColor="text1"/>
          <w:szCs w:val="24"/>
          <w:lang w:val="en-US"/>
        </w:rPr>
      </w:pPr>
      <w:r>
        <w:rPr>
          <w:b/>
        </w:rPr>
        <w:t>INTRODUÇÃO</w:t>
      </w:r>
      <w:r>
        <w:t>:</w:t>
      </w:r>
      <w:r w:rsidR="007B7EC5" w:rsidRPr="007B7EC5">
        <w:rPr>
          <w:rFonts w:ascii="Arial" w:eastAsiaTheme="majorEastAsia" w:hAnsi="Arial" w:cs="Arial"/>
          <w:color w:val="000000" w:themeColor="text1"/>
          <w:szCs w:val="24"/>
        </w:rPr>
        <w:t xml:space="preserve"> </w:t>
      </w:r>
      <w:r w:rsidR="008A69AF">
        <w:t>O atendimento odontológico a pacientes com necessidades especiais (PNE) representa um desafio que vai além dos aspectos técnicos, exigindo empatia, sensibilidade clínica e suporte institucional. Na Odontopediatria, essas dificuldades são ampliadas por limitações comportamentais, sensoriais e cognitivas, demandando abordagens individualizadas e adaptações específicas.</w:t>
      </w:r>
      <w:r w:rsidR="00E850F4">
        <w:t xml:space="preserve"> </w:t>
      </w:r>
      <w:r w:rsidR="007B7EC5" w:rsidRPr="007B7EC5">
        <w:rPr>
          <w:rFonts w:eastAsiaTheme="majorEastAsia"/>
          <w:b/>
          <w:bCs/>
          <w:color w:val="000000" w:themeColor="text1"/>
          <w:szCs w:val="24"/>
        </w:rPr>
        <w:t>Objetivo</w:t>
      </w:r>
      <w:r w:rsidR="007B7EC5" w:rsidRPr="007B7EC5">
        <w:rPr>
          <w:rFonts w:eastAsiaTheme="majorEastAsia"/>
          <w:color w:val="000000" w:themeColor="text1"/>
          <w:szCs w:val="24"/>
        </w:rPr>
        <w:t xml:space="preserve">: </w:t>
      </w:r>
      <w:r w:rsidR="00C6287A">
        <w:t>Analisar os principais desafios e estratégias no atendimento odontológico a PNE, com ênfase na prática odontopediátrica e na atuação dos Centros de Especialidades Odontológicas (CEOs) no Brasil.</w:t>
      </w:r>
      <w:r w:rsidR="00E850F4">
        <w:t xml:space="preserve"> </w:t>
      </w:r>
      <w:r w:rsidR="007B7EC5" w:rsidRPr="007B7EC5">
        <w:rPr>
          <w:rFonts w:eastAsiaTheme="majorEastAsia"/>
          <w:b/>
          <w:bCs/>
          <w:color w:val="000000" w:themeColor="text1"/>
          <w:szCs w:val="24"/>
        </w:rPr>
        <w:t>Metodologia</w:t>
      </w:r>
      <w:r w:rsidR="007B7EC5" w:rsidRPr="007B7EC5">
        <w:rPr>
          <w:rFonts w:eastAsiaTheme="majorEastAsia"/>
          <w:color w:val="000000" w:themeColor="text1"/>
          <w:szCs w:val="24"/>
        </w:rPr>
        <w:t xml:space="preserve">: </w:t>
      </w:r>
      <w:r w:rsidR="00EB1348">
        <w:t>Trata-se de uma revisão narrativa da literatura, com abordagem qualitativa. As buscas foram realizadas nas bases SciELO e LILACS, utilizando os descritores “crianças com deficiência”, “odontopediatria” e “inclusão social”. Foram selecionados artigos em português, publicados entre 2023 e 2024, com base na leitura de títulos, resumos e textos completos. A análise foi descritiva</w:t>
      </w:r>
      <w:r w:rsidR="00F9661D">
        <w:t xml:space="preserve"> e</w:t>
      </w:r>
      <w:r w:rsidR="005E7230">
        <w:t xml:space="preserve"> </w:t>
      </w:r>
      <w:r w:rsidR="00EB1348">
        <w:t>crítica.</w:t>
      </w:r>
      <w:r w:rsidR="007B7EC5" w:rsidRPr="007B7EC5">
        <w:rPr>
          <w:rFonts w:eastAsiaTheme="majorEastAsia"/>
          <w:b/>
          <w:bCs/>
          <w:color w:val="000000" w:themeColor="text1"/>
          <w:szCs w:val="24"/>
        </w:rPr>
        <w:t>Resultados</w:t>
      </w:r>
      <w:r w:rsidR="007B7EC5" w:rsidRPr="007B7EC5">
        <w:rPr>
          <w:rFonts w:eastAsiaTheme="majorEastAsia"/>
          <w:color w:val="000000" w:themeColor="text1"/>
          <w:szCs w:val="24"/>
        </w:rPr>
        <w:t xml:space="preserve">: </w:t>
      </w:r>
      <w:r w:rsidR="00C35C58">
        <w:t xml:space="preserve">O atendimento odontopediátrico a PNE requer estratégias como comunicação alternativa, reforço positivo, ambientação sensorialmente adequada e, em casos específicos, sedação consciente. A atuação interdisciplinar mostrou-se eficaz para qualificar o cuidado. Nos CEOs, observou-se deficiência estrutural, escassez de capacitação profissional e pouca articulação com outros níveis de atenção, embora algumas unidades apresentem boas práticas. </w:t>
      </w:r>
      <w:r w:rsidR="007B7EC5" w:rsidRPr="007B7EC5">
        <w:rPr>
          <w:rFonts w:eastAsiaTheme="majorEastAsia"/>
          <w:b/>
          <w:bCs/>
          <w:color w:val="000000" w:themeColor="text1"/>
          <w:szCs w:val="24"/>
        </w:rPr>
        <w:t>Conclusão</w:t>
      </w:r>
      <w:r w:rsidR="007B7EC5" w:rsidRPr="007B7EC5">
        <w:rPr>
          <w:rFonts w:eastAsiaTheme="majorEastAsia"/>
          <w:color w:val="000000" w:themeColor="text1"/>
          <w:szCs w:val="24"/>
        </w:rPr>
        <w:t xml:space="preserve">: </w:t>
      </w:r>
      <w:r w:rsidR="005612E4">
        <w:t>A qualificação do atendimento a PNE exige estratégias inclusivas, capacitação contínua das equipes e melhorias estruturais nos serviços. O fortalecimento dos CEOs é essencial para garantir acesso equitativo e atenção especializada às crianças com necessidades especiais.</w:t>
      </w:r>
    </w:p>
    <w:p w14:paraId="3E87ADC4" w14:textId="77777777" w:rsidR="007B7EC5" w:rsidRDefault="007B7EC5" w:rsidP="007B7EC5">
      <w:pPr>
        <w:spacing w:line="360" w:lineRule="auto"/>
        <w:rPr>
          <w:b/>
          <w:bCs/>
        </w:rPr>
      </w:pPr>
    </w:p>
    <w:p w14:paraId="62AD3A69" w14:textId="0CAF5CCC" w:rsidR="007B7EC5" w:rsidRPr="007B7EC5" w:rsidRDefault="007B7EC5" w:rsidP="007B7EC5">
      <w:pPr>
        <w:spacing w:line="360" w:lineRule="auto"/>
        <w:rPr>
          <w:rFonts w:eastAsiaTheme="minorEastAsia"/>
          <w:b/>
          <w:bCs/>
        </w:rPr>
      </w:pPr>
      <w:r w:rsidRPr="007B7EC5">
        <w:rPr>
          <w:b/>
          <w:bCs/>
        </w:rPr>
        <w:t>Descritores:</w:t>
      </w:r>
    </w:p>
    <w:p w14:paraId="6BF1C7C2" w14:textId="77777777" w:rsidR="00F930A8" w:rsidRDefault="007B7EC5" w:rsidP="00425802">
      <w:pPr>
        <w:spacing w:line="360" w:lineRule="auto"/>
        <w:rPr>
          <w:szCs w:val="24"/>
          <w:lang w:val="pt-BR" w:eastAsia="pt-BR"/>
        </w:rPr>
      </w:pPr>
      <w:r w:rsidRPr="007B7EC5">
        <w:rPr>
          <w:szCs w:val="24"/>
          <w:lang w:val="pt-BR" w:eastAsia="pt-BR"/>
        </w:rPr>
        <w:t>Crianças com deficiência. Inclusão Social. Odontopediatria.</w:t>
      </w:r>
    </w:p>
    <w:p w14:paraId="6ECDD122" w14:textId="77777777" w:rsidR="00F930A8" w:rsidRDefault="00F930A8" w:rsidP="00425802">
      <w:pPr>
        <w:spacing w:line="360" w:lineRule="auto"/>
        <w:rPr>
          <w:szCs w:val="24"/>
          <w:lang w:val="pt-BR" w:eastAsia="pt-BR"/>
        </w:rPr>
      </w:pPr>
    </w:p>
    <w:p w14:paraId="7EA732E2" w14:textId="77777777" w:rsidR="00F930A8" w:rsidRDefault="00F930A8" w:rsidP="00425802">
      <w:pPr>
        <w:spacing w:line="360" w:lineRule="auto"/>
        <w:rPr>
          <w:szCs w:val="24"/>
          <w:lang w:val="pt-BR" w:eastAsia="pt-BR"/>
        </w:rPr>
      </w:pPr>
    </w:p>
    <w:p w14:paraId="7281EB3B" w14:textId="68DCEE19" w:rsidR="00AE7786" w:rsidRPr="00425802" w:rsidRDefault="00344CD2" w:rsidP="00425802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049726" wp14:editId="68276598">
                <wp:simplePos x="0" y="0"/>
                <wp:positionH relativeFrom="page">
                  <wp:posOffset>902017</wp:posOffset>
                </wp:positionH>
                <wp:positionV relativeFrom="paragraph">
                  <wp:posOffset>251938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6571" y="2109"/>
                              </a:moveTo>
                              <a:lnTo>
                                <a:pt x="-1071" y="2109"/>
                              </a:lnTo>
                              <a:lnTo>
                                <a:pt x="-1071" y="8451"/>
                              </a:lnTo>
                              <a:lnTo>
                                <a:pt x="1826571" y="8451"/>
                              </a:lnTo>
                              <a:lnTo>
                                <a:pt x="1826571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16265" id="Graphic 2" o:spid="_x0000_s1026" style="position:absolute;margin-left:71pt;margin-top:19.8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" path="m1826571,2109r-1827642,l-1071,8451r1827642,l1826571,210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2A343C" w14:textId="77777777" w:rsidR="00AE7786" w:rsidRDefault="00344CD2">
      <w:pPr>
        <w:spacing w:before="101"/>
        <w:ind w:left="426" w:right="458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5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Jornada</w:t>
      </w:r>
      <w:r>
        <w:rPr>
          <w:spacing w:val="-4"/>
          <w:sz w:val="20"/>
        </w:rPr>
        <w:t xml:space="preserve"> </w:t>
      </w:r>
      <w:r>
        <w:rPr>
          <w:sz w:val="20"/>
        </w:rPr>
        <w:t>Acadêmica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4"/>
          <w:sz w:val="20"/>
        </w:rPr>
        <w:t xml:space="preserve"> </w:t>
      </w:r>
      <w:r>
        <w:rPr>
          <w:sz w:val="20"/>
        </w:rPr>
        <w:t>(JAO),</w:t>
      </w:r>
      <w:r>
        <w:rPr>
          <w:spacing w:val="-5"/>
          <w:sz w:val="20"/>
        </w:rPr>
        <w:t xml:space="preserve"> </w:t>
      </w:r>
      <w:r>
        <w:rPr>
          <w:sz w:val="20"/>
        </w:rPr>
        <w:t>promovida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Centro</w:t>
      </w:r>
      <w:r>
        <w:rPr>
          <w:spacing w:val="-5"/>
          <w:sz w:val="20"/>
        </w:rPr>
        <w:t xml:space="preserve"> </w:t>
      </w:r>
      <w:r>
        <w:rPr>
          <w:sz w:val="20"/>
        </w:rPr>
        <w:t>Universitário Santo Agostinho, nos dias 29 e 30 de maio de 2025.</w:t>
      </w:r>
    </w:p>
    <w:p w14:paraId="5722E119" w14:textId="77777777" w:rsidR="00AE7786" w:rsidRDefault="00344CD2">
      <w:pPr>
        <w:ind w:left="426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bookmarkStart w:id="2" w:name="_bookmark2"/>
      <w:bookmarkEnd w:id="2"/>
      <w:r>
        <w:rPr>
          <w:sz w:val="20"/>
        </w:rPr>
        <w:t>Autor.</w:t>
      </w:r>
      <w:r>
        <w:rPr>
          <w:spacing w:val="-8"/>
          <w:sz w:val="20"/>
        </w:rPr>
        <w:t xml:space="preserve"> </w:t>
      </w:r>
      <w:r>
        <w:rPr>
          <w:sz w:val="20"/>
        </w:rPr>
        <w:t>Estudante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curso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graduação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Centro</w:t>
      </w:r>
      <w:r>
        <w:rPr>
          <w:spacing w:val="-8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8"/>
          <w:sz w:val="20"/>
        </w:rPr>
        <w:t xml:space="preserve"> </w:t>
      </w:r>
      <w:r>
        <w:rPr>
          <w:sz w:val="20"/>
        </w:rPr>
        <w:t>Santo</w:t>
      </w:r>
      <w:r>
        <w:rPr>
          <w:spacing w:val="-7"/>
          <w:sz w:val="20"/>
        </w:rPr>
        <w:t xml:space="preserve"> </w:t>
      </w:r>
      <w:r>
        <w:rPr>
          <w:sz w:val="20"/>
        </w:rPr>
        <w:t>Agostinho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(UNIFSA).</w:t>
      </w:r>
    </w:p>
    <w:p w14:paraId="70226D4C" w14:textId="77777777" w:rsidR="00AE7786" w:rsidRDefault="00344CD2">
      <w:pPr>
        <w:spacing w:line="230" w:lineRule="exact"/>
        <w:ind w:left="426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Autor.</w:t>
      </w:r>
      <w:r>
        <w:rPr>
          <w:spacing w:val="-8"/>
          <w:sz w:val="20"/>
        </w:rPr>
        <w:t xml:space="preserve"> </w:t>
      </w:r>
      <w:r>
        <w:rPr>
          <w:sz w:val="20"/>
        </w:rPr>
        <w:t>Estudante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curso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graduação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Centro</w:t>
      </w:r>
      <w:r>
        <w:rPr>
          <w:spacing w:val="-8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8"/>
          <w:sz w:val="20"/>
        </w:rPr>
        <w:t xml:space="preserve"> </w:t>
      </w:r>
      <w:r>
        <w:rPr>
          <w:sz w:val="20"/>
        </w:rPr>
        <w:t>Santo</w:t>
      </w:r>
      <w:r>
        <w:rPr>
          <w:spacing w:val="-7"/>
          <w:sz w:val="20"/>
        </w:rPr>
        <w:t xml:space="preserve"> </w:t>
      </w:r>
      <w:r>
        <w:rPr>
          <w:sz w:val="20"/>
        </w:rPr>
        <w:t>Agostinho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(UNIFSA).</w:t>
      </w:r>
    </w:p>
    <w:p w14:paraId="73C7E80E" w14:textId="27B55DE7" w:rsidR="00AE7786" w:rsidRDefault="00344CD2">
      <w:pPr>
        <w:ind w:left="426" w:right="423"/>
        <w:jc w:val="both"/>
        <w:rPr>
          <w:sz w:val="20"/>
        </w:rPr>
      </w:pPr>
      <w:bookmarkStart w:id="3" w:name="_bookmark3"/>
      <w:bookmarkEnd w:id="3"/>
      <w:r>
        <w:rPr>
          <w:sz w:val="20"/>
          <w:vertAlign w:val="superscript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Graduada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8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8"/>
          <w:sz w:val="20"/>
        </w:rPr>
        <w:t xml:space="preserve"> </w:t>
      </w:r>
      <w:r w:rsidR="006F4BED">
        <w:rPr>
          <w:sz w:val="20"/>
        </w:rPr>
        <w:t>F</w:t>
      </w:r>
      <w:r w:rsidR="009C048D">
        <w:rPr>
          <w:sz w:val="20"/>
        </w:rPr>
        <w:t>ederal do Pi</w:t>
      </w:r>
      <w:r w:rsidR="00AF6878">
        <w:rPr>
          <w:sz w:val="20"/>
        </w:rPr>
        <w:t>a</w:t>
      </w:r>
      <w:r w:rsidR="009C048D">
        <w:rPr>
          <w:sz w:val="20"/>
        </w:rPr>
        <w:t>u</w:t>
      </w:r>
      <w:r w:rsidR="00AF6878">
        <w:rPr>
          <w:sz w:val="20"/>
        </w:rPr>
        <w:t xml:space="preserve">í </w:t>
      </w:r>
      <w:r w:rsidR="009C048D">
        <w:rPr>
          <w:spacing w:val="-9"/>
          <w:sz w:val="20"/>
        </w:rPr>
        <w:t>(UFPI)</w:t>
      </w:r>
      <w:r w:rsidR="009E61E0">
        <w:rPr>
          <w:spacing w:val="-9"/>
          <w:sz w:val="20"/>
        </w:rPr>
        <w:t>- Teresina, Piauí.</w:t>
      </w:r>
      <w:r>
        <w:rPr>
          <w:sz w:val="20"/>
        </w:rPr>
        <w:t xml:space="preserve"> Professora</w:t>
      </w:r>
      <w:r w:rsidR="00331E10">
        <w:rPr>
          <w:sz w:val="20"/>
        </w:rPr>
        <w:t xml:space="preserve"> de </w:t>
      </w:r>
      <w:r w:rsidR="002643F7">
        <w:rPr>
          <w:sz w:val="20"/>
        </w:rPr>
        <w:t xml:space="preserve">Odontopediatria </w:t>
      </w:r>
      <w:r>
        <w:rPr>
          <w:sz w:val="20"/>
        </w:rPr>
        <w:t xml:space="preserve"> do Centro Universitário Santo Agostinho (UNIFSA). Orientadora da Pesquisa.</w:t>
      </w:r>
    </w:p>
    <w:sectPr w:rsidR="00AE7786">
      <w:type w:val="continuous"/>
      <w:pgSz w:w="11900" w:h="16820"/>
      <w:pgMar w:top="22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4C086" w14:textId="77777777" w:rsidR="00287B01" w:rsidRDefault="00287B01" w:rsidP="006E17A5">
      <w:r>
        <w:separator/>
      </w:r>
    </w:p>
  </w:endnote>
  <w:endnote w:type="continuationSeparator" w:id="0">
    <w:p w14:paraId="28AB0FBE" w14:textId="77777777" w:rsidR="00287B01" w:rsidRDefault="00287B01" w:rsidP="006E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0C02C" w14:textId="77777777" w:rsidR="00287B01" w:rsidRDefault="00287B01" w:rsidP="006E17A5">
      <w:r>
        <w:separator/>
      </w:r>
    </w:p>
  </w:footnote>
  <w:footnote w:type="continuationSeparator" w:id="0">
    <w:p w14:paraId="3C369985" w14:textId="77777777" w:rsidR="00287B01" w:rsidRDefault="00287B01" w:rsidP="006E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86"/>
    <w:rsid w:val="00034277"/>
    <w:rsid w:val="001B54D8"/>
    <w:rsid w:val="001E1A7F"/>
    <w:rsid w:val="002643F7"/>
    <w:rsid w:val="00267D71"/>
    <w:rsid w:val="00287B01"/>
    <w:rsid w:val="00330181"/>
    <w:rsid w:val="00331E10"/>
    <w:rsid w:val="00344CD2"/>
    <w:rsid w:val="00404928"/>
    <w:rsid w:val="00425802"/>
    <w:rsid w:val="004722CE"/>
    <w:rsid w:val="0047346F"/>
    <w:rsid w:val="00493BD0"/>
    <w:rsid w:val="004D22D3"/>
    <w:rsid w:val="005612E4"/>
    <w:rsid w:val="005A1AF8"/>
    <w:rsid w:val="005E7230"/>
    <w:rsid w:val="006E17A5"/>
    <w:rsid w:val="006F4BED"/>
    <w:rsid w:val="007B7EC5"/>
    <w:rsid w:val="00833892"/>
    <w:rsid w:val="008A69AF"/>
    <w:rsid w:val="009C048D"/>
    <w:rsid w:val="009E61E0"/>
    <w:rsid w:val="009F39D8"/>
    <w:rsid w:val="00A2128F"/>
    <w:rsid w:val="00AE7786"/>
    <w:rsid w:val="00AF05F5"/>
    <w:rsid w:val="00AF6878"/>
    <w:rsid w:val="00BE34CD"/>
    <w:rsid w:val="00C35C58"/>
    <w:rsid w:val="00C6287A"/>
    <w:rsid w:val="00C727AB"/>
    <w:rsid w:val="00D12BD6"/>
    <w:rsid w:val="00D969F4"/>
    <w:rsid w:val="00E850F4"/>
    <w:rsid w:val="00EB1348"/>
    <w:rsid w:val="00F30919"/>
    <w:rsid w:val="00F8779B"/>
    <w:rsid w:val="00F930A8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2AF4"/>
  <w15:docId w15:val="{8BCEE8FF-CB7C-4A27-BB97-25045C45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86" w:right="114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17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17A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E1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DF71-92BC-4887-9E4E-80C84F8237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Isabelle Freitas</cp:lastModifiedBy>
  <cp:revision>2</cp:revision>
  <dcterms:created xsi:type="dcterms:W3CDTF">2025-05-21T01:31:00Z</dcterms:created>
  <dcterms:modified xsi:type="dcterms:W3CDTF">2025-05-21T01:31:00Z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2025-05-20T00:00:00Z</vt:filetime>
  </property>
</Properties>
</file>