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8BF6" w14:textId="75247DD0" w:rsidR="00466E6F" w:rsidRPr="002621BE" w:rsidRDefault="003C0271" w:rsidP="00466E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DIAGNOSE CLÁSSICA DE</w:t>
      </w:r>
      <w:r w:rsidR="00466E6F" w:rsidRPr="002621BE">
        <w:rPr>
          <w:b/>
          <w:bCs/>
          <w:sz w:val="24"/>
          <w:szCs w:val="24"/>
        </w:rPr>
        <w:t xml:space="preserve"> DOENÇAS EM ESPÉCIES FLORESTAIS</w:t>
      </w:r>
      <w:r>
        <w:rPr>
          <w:b/>
          <w:bCs/>
          <w:sz w:val="24"/>
          <w:szCs w:val="24"/>
        </w:rPr>
        <w:t xml:space="preserve"> EM VIVEIROS LOCALIZADOS</w:t>
      </w:r>
      <w:r w:rsidR="00466E6F" w:rsidRPr="002621BE">
        <w:rPr>
          <w:b/>
          <w:bCs/>
          <w:sz w:val="24"/>
          <w:szCs w:val="24"/>
        </w:rPr>
        <w:t xml:space="preserve"> NO LESTE DO ESTADO DO PARÁ.</w:t>
      </w:r>
    </w:p>
    <w:p w14:paraId="355EB6C3" w14:textId="77777777" w:rsidR="003C0271" w:rsidRDefault="003C0271" w:rsidP="00466E6F">
      <w:pPr>
        <w:jc w:val="center"/>
        <w:rPr>
          <w:sz w:val="24"/>
          <w:szCs w:val="24"/>
        </w:rPr>
      </w:pPr>
    </w:p>
    <w:p w14:paraId="667F0124" w14:textId="712CB39B" w:rsidR="00466E6F" w:rsidRDefault="00466E6F" w:rsidP="00466E6F">
      <w:pPr>
        <w:jc w:val="center"/>
        <w:rPr>
          <w:sz w:val="24"/>
          <w:szCs w:val="24"/>
        </w:rPr>
      </w:pPr>
      <w:r w:rsidRPr="00466E6F">
        <w:rPr>
          <w:sz w:val="24"/>
          <w:szCs w:val="24"/>
        </w:rPr>
        <w:t>ANTONIA WIVIANE DE OLIVEIRA MENDES</w:t>
      </w:r>
      <w:r w:rsidRPr="00466E6F">
        <w:rPr>
          <w:sz w:val="24"/>
          <w:szCs w:val="24"/>
          <w:vertAlign w:val="superscript"/>
        </w:rPr>
        <w:t>1</w:t>
      </w:r>
      <w:r w:rsidRPr="00466E6F">
        <w:rPr>
          <w:sz w:val="24"/>
          <w:szCs w:val="24"/>
        </w:rPr>
        <w:t>; MAIANA PATRICIA SOUSA DE BRITO</w:t>
      </w:r>
      <w:r w:rsidRPr="00466E6F">
        <w:rPr>
          <w:sz w:val="24"/>
          <w:szCs w:val="24"/>
          <w:vertAlign w:val="superscript"/>
        </w:rPr>
        <w:t>2</w:t>
      </w:r>
      <w:r w:rsidRPr="00466E6F">
        <w:rPr>
          <w:sz w:val="24"/>
          <w:szCs w:val="24"/>
        </w:rPr>
        <w:t>; ANA CLARA ROLLEMBER</w:t>
      </w:r>
      <w:r w:rsidR="00542321">
        <w:rPr>
          <w:sz w:val="24"/>
          <w:szCs w:val="24"/>
        </w:rPr>
        <w:t>G</w:t>
      </w:r>
      <w:r w:rsidRPr="00466E6F">
        <w:rPr>
          <w:sz w:val="24"/>
          <w:szCs w:val="24"/>
        </w:rPr>
        <w:t xml:space="preserve">  ROCHA</w:t>
      </w:r>
      <w:r w:rsidRPr="00466E6F">
        <w:rPr>
          <w:sz w:val="24"/>
          <w:szCs w:val="24"/>
          <w:vertAlign w:val="superscript"/>
        </w:rPr>
        <w:t>3</w:t>
      </w:r>
      <w:r w:rsidRPr="00466E6F">
        <w:rPr>
          <w:sz w:val="24"/>
          <w:szCs w:val="24"/>
        </w:rPr>
        <w:t xml:space="preserve">; </w:t>
      </w:r>
      <w:r w:rsidRPr="00466E6F">
        <w:rPr>
          <w:sz w:val="24"/>
          <w:szCs w:val="24"/>
          <w:u w:val="single"/>
        </w:rPr>
        <w:t>ALESSANDRA JACKELINE GUEDES DE MORAES</w:t>
      </w:r>
      <w:r w:rsidRPr="00466E6F">
        <w:rPr>
          <w:sz w:val="24"/>
          <w:szCs w:val="24"/>
          <w:vertAlign w:val="superscript"/>
        </w:rPr>
        <w:t>4</w:t>
      </w:r>
      <w:r w:rsidRPr="00466E6F">
        <w:rPr>
          <w:sz w:val="24"/>
          <w:szCs w:val="24"/>
        </w:rPr>
        <w:t>.</w:t>
      </w:r>
    </w:p>
    <w:p w14:paraId="063D81E8" w14:textId="77777777" w:rsidR="00466E6F" w:rsidRPr="00466E6F" w:rsidRDefault="00466E6F" w:rsidP="00466E6F">
      <w:pPr>
        <w:jc w:val="center"/>
        <w:rPr>
          <w:sz w:val="24"/>
          <w:szCs w:val="24"/>
        </w:rPr>
      </w:pPr>
    </w:p>
    <w:p w14:paraId="315BB791" w14:textId="2328E15F" w:rsidR="00466E6F" w:rsidRPr="00466E6F" w:rsidRDefault="00466E6F" w:rsidP="00466E6F">
      <w:pPr>
        <w:jc w:val="center"/>
        <w:rPr>
          <w:sz w:val="24"/>
          <w:szCs w:val="24"/>
        </w:rPr>
      </w:pPr>
      <w:r w:rsidRPr="00466E6F">
        <w:rPr>
          <w:sz w:val="24"/>
          <w:szCs w:val="24"/>
          <w:vertAlign w:val="superscript"/>
        </w:rPr>
        <w:t>1</w:t>
      </w:r>
      <w:r w:rsidRPr="00466E6F">
        <w:rPr>
          <w:sz w:val="24"/>
          <w:szCs w:val="24"/>
        </w:rPr>
        <w:t xml:space="preserve">Graduanda em Engenharia Florestal, Universidade do Estado do Pará </w:t>
      </w:r>
      <w:hyperlink r:id="rId8" w:history="1">
        <w:r w:rsidR="002F61FC" w:rsidRPr="00A77E95">
          <w:rPr>
            <w:rStyle w:val="Hyperlink"/>
            <w:sz w:val="24"/>
            <w:szCs w:val="24"/>
          </w:rPr>
          <w:t>wivianeoliveiraa18@gmail.com</w:t>
        </w:r>
      </w:hyperlink>
    </w:p>
    <w:p w14:paraId="269E0853" w14:textId="77777777" w:rsidR="00466E6F" w:rsidRPr="00466E6F" w:rsidRDefault="00466E6F" w:rsidP="00466E6F">
      <w:pPr>
        <w:jc w:val="center"/>
        <w:rPr>
          <w:sz w:val="24"/>
          <w:szCs w:val="24"/>
        </w:rPr>
      </w:pPr>
      <w:r w:rsidRPr="00466E6F">
        <w:rPr>
          <w:sz w:val="24"/>
          <w:szCs w:val="24"/>
          <w:vertAlign w:val="superscript"/>
        </w:rPr>
        <w:t>2</w:t>
      </w:r>
      <w:r w:rsidRPr="00466E6F">
        <w:rPr>
          <w:sz w:val="24"/>
          <w:szCs w:val="24"/>
        </w:rPr>
        <w:t>Graduanda em Engenharia Ambiental e Sanitária, Universidade do Estado do Pará</w:t>
      </w:r>
    </w:p>
    <w:p w14:paraId="17B2190B" w14:textId="77777777" w:rsidR="00466E6F" w:rsidRPr="00466E6F" w:rsidRDefault="00466E6F" w:rsidP="00466E6F">
      <w:pPr>
        <w:jc w:val="center"/>
        <w:rPr>
          <w:sz w:val="24"/>
          <w:szCs w:val="24"/>
        </w:rPr>
      </w:pPr>
      <w:r w:rsidRPr="00466E6F">
        <w:rPr>
          <w:sz w:val="24"/>
          <w:szCs w:val="24"/>
          <w:vertAlign w:val="superscript"/>
        </w:rPr>
        <w:t>3</w:t>
      </w:r>
      <w:r w:rsidRPr="00466E6F">
        <w:rPr>
          <w:sz w:val="24"/>
          <w:szCs w:val="24"/>
        </w:rPr>
        <w:t>Graduanda em Engenharia Florestal, Universidade do Estado do Pará</w:t>
      </w:r>
    </w:p>
    <w:p w14:paraId="26777A03" w14:textId="77777777" w:rsidR="00466E6F" w:rsidRDefault="00466E6F" w:rsidP="00466E6F">
      <w:pPr>
        <w:jc w:val="center"/>
        <w:rPr>
          <w:sz w:val="24"/>
          <w:szCs w:val="24"/>
        </w:rPr>
      </w:pPr>
      <w:r w:rsidRPr="00466E6F">
        <w:rPr>
          <w:sz w:val="24"/>
          <w:szCs w:val="24"/>
          <w:vertAlign w:val="superscript"/>
        </w:rPr>
        <w:t>4</w:t>
      </w:r>
      <w:r w:rsidRPr="00466E6F">
        <w:rPr>
          <w:sz w:val="24"/>
          <w:szCs w:val="24"/>
        </w:rPr>
        <w:t>Doutora em Fitopatologia, Universidade do Estado do Pará</w:t>
      </w:r>
    </w:p>
    <w:p w14:paraId="16E0EDE6" w14:textId="77777777" w:rsidR="00466E6F" w:rsidRPr="00466E6F" w:rsidRDefault="00466E6F" w:rsidP="00466E6F">
      <w:pPr>
        <w:jc w:val="center"/>
        <w:rPr>
          <w:sz w:val="24"/>
          <w:szCs w:val="24"/>
        </w:rPr>
      </w:pPr>
    </w:p>
    <w:p w14:paraId="488A52A5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2FABC7FE" w14:textId="11C1DA05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  <w:u w:val="single"/>
        </w:rPr>
      </w:pPr>
    </w:p>
    <w:p w14:paraId="4B43BD12" w14:textId="77777777" w:rsidR="00EB078A" w:rsidRPr="00EB078A" w:rsidRDefault="00EB078A" w:rsidP="00EB078A">
      <w:pPr>
        <w:spacing w:line="360" w:lineRule="auto"/>
        <w:jc w:val="both"/>
        <w:rPr>
          <w:sz w:val="24"/>
          <w:szCs w:val="24"/>
        </w:rPr>
      </w:pPr>
      <w:r w:rsidRPr="00EB078A">
        <w:rPr>
          <w:sz w:val="24"/>
          <w:szCs w:val="24"/>
        </w:rPr>
        <w:t xml:space="preserve">As doenças florestais representam um desafio significativo para a produção de mudas saudáveis em viveiros, especialmente na região amazônica. Este estudo teve como objetivo identificar agentes fitopatogênicos em espécies nativas cultivadas em viveiro florestal no município de Castanhal/PA. Foram realizadas coletas de folhas sintomáticas, isolamento microbiológico, repicagem, observação microscópica e testes de patogenicidade segundo os postulados de Koch. A presença do gênero </w:t>
      </w:r>
      <w:r w:rsidRPr="00EB078A">
        <w:rPr>
          <w:i/>
          <w:iCs/>
          <w:sz w:val="24"/>
          <w:szCs w:val="24"/>
        </w:rPr>
        <w:t xml:space="preserve">Pestalotiopsis </w:t>
      </w:r>
      <w:r w:rsidRPr="00EB078A">
        <w:rPr>
          <w:sz w:val="24"/>
          <w:szCs w:val="24"/>
        </w:rPr>
        <w:t>foi identificada em quatro espécies arbóreas. Dos 33 isolados testados, 19 reproduziram os sintomas originais. Os resultados reforçam a importância do diagnóstico precoce e da ampliação de estudos sobre doenças em espécies nativas.</w:t>
      </w:r>
    </w:p>
    <w:p w14:paraId="5A93BFDA" w14:textId="065F793D" w:rsidR="003949CE" w:rsidRPr="00313E21" w:rsidRDefault="003949CE" w:rsidP="003949CE">
      <w:pPr>
        <w:shd w:val="clear" w:color="auto" w:fill="FFFFFF"/>
        <w:tabs>
          <w:tab w:val="left" w:pos="2500"/>
        </w:tabs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313E21" w:rsidRPr="00313E21">
        <w:rPr>
          <w:bCs/>
          <w:sz w:val="24"/>
          <w:szCs w:val="24"/>
        </w:rPr>
        <w:t>Identificação microscópica</w:t>
      </w:r>
      <w:r w:rsidR="00313E21">
        <w:rPr>
          <w:bCs/>
          <w:sz w:val="24"/>
          <w:szCs w:val="24"/>
        </w:rPr>
        <w:t xml:space="preserve">, </w:t>
      </w:r>
      <w:r w:rsidR="00313E21" w:rsidRPr="00EB078A">
        <w:rPr>
          <w:i/>
          <w:iCs/>
          <w:sz w:val="24"/>
          <w:szCs w:val="24"/>
        </w:rPr>
        <w:t>Pestalotiopsis</w:t>
      </w:r>
      <w:r w:rsidR="00313E21">
        <w:rPr>
          <w:i/>
          <w:iCs/>
          <w:sz w:val="24"/>
          <w:szCs w:val="24"/>
        </w:rPr>
        <w:t xml:space="preserve">, </w:t>
      </w:r>
      <w:r w:rsidR="006E3BD3" w:rsidRPr="00EB078A">
        <w:rPr>
          <w:sz w:val="24"/>
          <w:szCs w:val="24"/>
        </w:rPr>
        <w:t>fitopatogênicos</w:t>
      </w:r>
      <w:r w:rsidR="006E3BD3">
        <w:rPr>
          <w:sz w:val="24"/>
          <w:szCs w:val="24"/>
        </w:rPr>
        <w:t>.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78DBA84" w14:textId="5ABBC470" w:rsidR="003949CE" w:rsidRDefault="003949CE" w:rsidP="007D3413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436E8">
        <w:rPr>
          <w:sz w:val="24"/>
          <w:szCs w:val="24"/>
        </w:rPr>
        <w:t xml:space="preserve"> </w:t>
      </w:r>
      <w:r w:rsidR="000A1B4B">
        <w:rPr>
          <w:sz w:val="24"/>
          <w:szCs w:val="24"/>
        </w:rPr>
        <w:t>Ciências Agr</w:t>
      </w:r>
      <w:r w:rsidR="000436E8">
        <w:rPr>
          <w:sz w:val="24"/>
          <w:szCs w:val="24"/>
        </w:rPr>
        <w:t>á</w:t>
      </w:r>
      <w:r w:rsidR="000A1B4B">
        <w:rPr>
          <w:sz w:val="24"/>
          <w:szCs w:val="24"/>
        </w:rPr>
        <w:t>rias</w:t>
      </w:r>
      <w:r w:rsidR="000436E8">
        <w:rPr>
          <w:sz w:val="24"/>
          <w:szCs w:val="24"/>
        </w:rPr>
        <w:t>;</w:t>
      </w:r>
      <w:r w:rsidR="000A1B4B">
        <w:rPr>
          <w:sz w:val="24"/>
          <w:szCs w:val="24"/>
        </w:rPr>
        <w:t xml:space="preserve"> </w:t>
      </w:r>
    </w:p>
    <w:p w14:paraId="03392E40" w14:textId="706BE2F6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45B27B6B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6B35A14B" w14:textId="3AC77F21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1. INTRODUÇÃO </w:t>
      </w:r>
    </w:p>
    <w:p w14:paraId="74AF4292" w14:textId="70F3063E" w:rsidR="00D41B0B" w:rsidRPr="0099138A" w:rsidRDefault="003949CE" w:rsidP="0099138A">
      <w:pPr>
        <w:widowControl/>
        <w:autoSpaceDE/>
        <w:autoSpaceDN/>
        <w:spacing w:after="16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41B0B" w:rsidRPr="0099138A">
        <w:rPr>
          <w:sz w:val="24"/>
          <w:szCs w:val="24"/>
        </w:rPr>
        <w:t xml:space="preserve">O surgimento e a evolução de doenças em plantas são processos que dependem de uma interação complexa entre três fatores essenciais: a planta vulnerável, o agente </w:t>
      </w:r>
      <w:r w:rsidR="003C0271">
        <w:rPr>
          <w:sz w:val="24"/>
          <w:szCs w:val="24"/>
        </w:rPr>
        <w:t>fito</w:t>
      </w:r>
      <w:r w:rsidR="00D41B0B" w:rsidRPr="0099138A">
        <w:rPr>
          <w:sz w:val="24"/>
          <w:szCs w:val="24"/>
        </w:rPr>
        <w:t>patogênico e as condições ambientais favoráveis, formando o que é conhecido como triângulo da doença (A</w:t>
      </w:r>
      <w:r w:rsidR="003C0271" w:rsidRPr="0099138A">
        <w:rPr>
          <w:sz w:val="24"/>
          <w:szCs w:val="24"/>
        </w:rPr>
        <w:t>grios</w:t>
      </w:r>
      <w:r w:rsidR="00D41B0B" w:rsidRPr="0099138A">
        <w:rPr>
          <w:sz w:val="24"/>
          <w:szCs w:val="24"/>
        </w:rPr>
        <w:t>, 20</w:t>
      </w:r>
      <w:r w:rsidR="003C0271">
        <w:rPr>
          <w:sz w:val="24"/>
          <w:szCs w:val="24"/>
        </w:rPr>
        <w:t>25</w:t>
      </w:r>
      <w:r w:rsidR="00D41B0B" w:rsidRPr="0099138A">
        <w:rPr>
          <w:sz w:val="24"/>
          <w:szCs w:val="24"/>
        </w:rPr>
        <w:t xml:space="preserve">). Neste contexto, o ambiente desempenha um papel crucial, podendo influenciar significativamente a manifestação da doença. Em determinadas condições, o ambiente pode até mesmo prevenir o surgimento da doença, mesmo na presença de uma planta vulnerável e do agente patogênico. Dessa forma, a dinâmica entre esses fatores determina a gravidade e a disseminação das doenças nas populações de plantas </w:t>
      </w:r>
      <w:r w:rsidR="003C0271" w:rsidRPr="0099138A">
        <w:rPr>
          <w:sz w:val="24"/>
          <w:szCs w:val="24"/>
        </w:rPr>
        <w:t>(</w:t>
      </w:r>
      <w:r w:rsidR="003C0271">
        <w:rPr>
          <w:sz w:val="24"/>
          <w:szCs w:val="24"/>
        </w:rPr>
        <w:t>A</w:t>
      </w:r>
      <w:r w:rsidR="003C0271" w:rsidRPr="0099138A">
        <w:rPr>
          <w:sz w:val="24"/>
          <w:szCs w:val="24"/>
        </w:rPr>
        <w:t xml:space="preserve">guilar-vildoso; </w:t>
      </w:r>
      <w:r w:rsidR="003C0271">
        <w:rPr>
          <w:sz w:val="24"/>
          <w:szCs w:val="24"/>
        </w:rPr>
        <w:t>C</w:t>
      </w:r>
      <w:r w:rsidR="003C0271" w:rsidRPr="0099138A">
        <w:rPr>
          <w:sz w:val="24"/>
          <w:szCs w:val="24"/>
        </w:rPr>
        <w:t>afé-</w:t>
      </w:r>
      <w:r w:rsidR="003C0271">
        <w:rPr>
          <w:sz w:val="24"/>
          <w:szCs w:val="24"/>
        </w:rPr>
        <w:t>F</w:t>
      </w:r>
      <w:r w:rsidR="003C0271" w:rsidRPr="0099138A">
        <w:rPr>
          <w:sz w:val="24"/>
          <w:szCs w:val="24"/>
        </w:rPr>
        <w:t>ilho</w:t>
      </w:r>
      <w:r w:rsidR="00D41B0B" w:rsidRPr="0099138A">
        <w:rPr>
          <w:sz w:val="24"/>
          <w:szCs w:val="24"/>
        </w:rPr>
        <w:t>, 2018).</w:t>
      </w:r>
    </w:p>
    <w:p w14:paraId="0299D387" w14:textId="34D731F6" w:rsidR="00D41B0B" w:rsidRPr="0099138A" w:rsidRDefault="00D41B0B" w:rsidP="0099138A">
      <w:pPr>
        <w:widowControl/>
        <w:autoSpaceDE/>
        <w:autoSpaceDN/>
        <w:spacing w:after="160" w:line="360" w:lineRule="auto"/>
        <w:ind w:firstLine="709"/>
        <w:jc w:val="both"/>
        <w:rPr>
          <w:sz w:val="24"/>
          <w:szCs w:val="24"/>
        </w:rPr>
      </w:pPr>
      <w:r w:rsidRPr="0099138A">
        <w:rPr>
          <w:sz w:val="24"/>
          <w:szCs w:val="24"/>
        </w:rPr>
        <w:t>No caso da produção florestal, a presença de doenças é um obstáculo considerável, pois elas reduzem a eficiência produtiva das florestas. A diminuição tanto na quantidade quanto na qualidade da produção florestal, ocasionada pelas enfermidades, pode resultar em prejuízos significativos, afetando diretamente os produtores e, em última instância, a sociedade (A</w:t>
      </w:r>
      <w:r w:rsidR="003C0271" w:rsidRPr="0099138A">
        <w:rPr>
          <w:sz w:val="24"/>
          <w:szCs w:val="24"/>
        </w:rPr>
        <w:t xml:space="preserve">lfenas </w:t>
      </w:r>
      <w:r w:rsidRPr="003C0271">
        <w:rPr>
          <w:i/>
          <w:iCs/>
          <w:sz w:val="24"/>
          <w:szCs w:val="24"/>
        </w:rPr>
        <w:t>et</w:t>
      </w:r>
      <w:r w:rsidRPr="0099138A">
        <w:rPr>
          <w:sz w:val="24"/>
          <w:szCs w:val="24"/>
        </w:rPr>
        <w:t xml:space="preserve"> </w:t>
      </w:r>
      <w:r w:rsidRPr="003C0271">
        <w:rPr>
          <w:i/>
          <w:iCs/>
          <w:sz w:val="24"/>
          <w:szCs w:val="24"/>
        </w:rPr>
        <w:t>al</w:t>
      </w:r>
      <w:r w:rsidRPr="0099138A">
        <w:rPr>
          <w:sz w:val="24"/>
          <w:szCs w:val="24"/>
        </w:rPr>
        <w:t xml:space="preserve">., 2009; </w:t>
      </w:r>
      <w:r w:rsidR="003C0271">
        <w:rPr>
          <w:sz w:val="24"/>
          <w:szCs w:val="24"/>
        </w:rPr>
        <w:t>P</w:t>
      </w:r>
      <w:r w:rsidR="003C0271" w:rsidRPr="0099138A">
        <w:rPr>
          <w:sz w:val="24"/>
          <w:szCs w:val="24"/>
        </w:rPr>
        <w:t xml:space="preserve">ereira; </w:t>
      </w:r>
      <w:r w:rsidR="003C0271">
        <w:rPr>
          <w:sz w:val="24"/>
          <w:szCs w:val="24"/>
        </w:rPr>
        <w:t>O</w:t>
      </w:r>
      <w:r w:rsidR="003C0271" w:rsidRPr="0099138A">
        <w:rPr>
          <w:sz w:val="24"/>
          <w:szCs w:val="24"/>
        </w:rPr>
        <w:t>liveira</w:t>
      </w:r>
      <w:r w:rsidRPr="0099138A">
        <w:rPr>
          <w:sz w:val="24"/>
          <w:szCs w:val="24"/>
        </w:rPr>
        <w:t>, 2019). Esses danos não se limitam apenas à redução da produção, mas também à degradação da qualidade dos produtos florestais, o que pode comprometer mercados e aumentar os custos de manejo.</w:t>
      </w:r>
    </w:p>
    <w:p w14:paraId="62549884" w14:textId="199959D6" w:rsidR="00D41B0B" w:rsidRPr="0099138A" w:rsidRDefault="00D41B0B" w:rsidP="0099138A">
      <w:pPr>
        <w:widowControl/>
        <w:autoSpaceDE/>
        <w:autoSpaceDN/>
        <w:spacing w:after="160" w:line="360" w:lineRule="auto"/>
        <w:ind w:firstLine="709"/>
        <w:jc w:val="both"/>
        <w:rPr>
          <w:sz w:val="24"/>
          <w:szCs w:val="24"/>
        </w:rPr>
      </w:pPr>
      <w:r w:rsidRPr="0099138A">
        <w:rPr>
          <w:sz w:val="24"/>
          <w:szCs w:val="24"/>
        </w:rPr>
        <w:t>O desenvolvimento da silvicultura na Amazônia tem se acelerado devido à crescente distância entre as fontes naturais de madeira e os polos industriais, o que gerou a necessidade de cultivar espécies florestais de interesse econômico de forma racional nas proximidades das áreas de processamento. O cultivo de espécies nativas e exóticas em plantios homogêneos, especialmente de rápido crescimento, como o paricazeiro (</w:t>
      </w:r>
      <w:r w:rsidRPr="003C0271">
        <w:rPr>
          <w:i/>
          <w:iCs/>
          <w:sz w:val="24"/>
          <w:szCs w:val="24"/>
        </w:rPr>
        <w:t>Schizolobium</w:t>
      </w:r>
      <w:r w:rsidRPr="0099138A">
        <w:rPr>
          <w:sz w:val="24"/>
          <w:szCs w:val="24"/>
        </w:rPr>
        <w:t xml:space="preserve"> </w:t>
      </w:r>
      <w:r w:rsidRPr="003C0271">
        <w:rPr>
          <w:i/>
          <w:iCs/>
          <w:sz w:val="24"/>
          <w:szCs w:val="24"/>
        </w:rPr>
        <w:t>parahyba</w:t>
      </w:r>
      <w:r w:rsidRPr="0099138A">
        <w:rPr>
          <w:sz w:val="24"/>
          <w:szCs w:val="24"/>
        </w:rPr>
        <w:t xml:space="preserve"> var. </w:t>
      </w:r>
      <w:r w:rsidRPr="003C0271">
        <w:rPr>
          <w:i/>
          <w:iCs/>
          <w:sz w:val="24"/>
          <w:szCs w:val="24"/>
        </w:rPr>
        <w:t>amazonicum</w:t>
      </w:r>
      <w:r w:rsidRPr="0099138A">
        <w:rPr>
          <w:sz w:val="24"/>
          <w:szCs w:val="24"/>
        </w:rPr>
        <w:t>), tem mostrado a necessidade de sementes de boa qualidade e práticas de sanidade adequadas para garantir a saúde dos plantios até o corte da madeira (</w:t>
      </w:r>
      <w:r w:rsidR="003C0271">
        <w:rPr>
          <w:sz w:val="24"/>
          <w:szCs w:val="24"/>
        </w:rPr>
        <w:t>M</w:t>
      </w:r>
      <w:r w:rsidR="003C0271" w:rsidRPr="0099138A">
        <w:rPr>
          <w:sz w:val="24"/>
          <w:szCs w:val="24"/>
        </w:rPr>
        <w:t>afacioli</w:t>
      </w:r>
      <w:r w:rsidRPr="0099138A">
        <w:rPr>
          <w:sz w:val="24"/>
          <w:szCs w:val="24"/>
        </w:rPr>
        <w:t xml:space="preserve">, Rudimar, </w:t>
      </w:r>
      <w:r w:rsidRPr="003C0271">
        <w:rPr>
          <w:i/>
          <w:iCs/>
          <w:sz w:val="24"/>
          <w:szCs w:val="24"/>
        </w:rPr>
        <w:t>et</w:t>
      </w:r>
      <w:r w:rsidRPr="0099138A">
        <w:rPr>
          <w:sz w:val="24"/>
          <w:szCs w:val="24"/>
        </w:rPr>
        <w:t xml:space="preserve"> </w:t>
      </w:r>
      <w:r w:rsidRPr="003C0271">
        <w:rPr>
          <w:i/>
          <w:iCs/>
          <w:sz w:val="24"/>
          <w:szCs w:val="24"/>
        </w:rPr>
        <w:t>al</w:t>
      </w:r>
      <w:r w:rsidRPr="0099138A">
        <w:rPr>
          <w:sz w:val="24"/>
          <w:szCs w:val="24"/>
        </w:rPr>
        <w:t>. 2010; EMBRAPA AMAZÔNIA ORIENTAL, 2015).</w:t>
      </w:r>
    </w:p>
    <w:p w14:paraId="626BDBD1" w14:textId="5F6A9290" w:rsidR="00D41B0B" w:rsidRPr="0099138A" w:rsidRDefault="00D41B0B" w:rsidP="0099138A">
      <w:pPr>
        <w:widowControl/>
        <w:autoSpaceDE/>
        <w:autoSpaceDN/>
        <w:spacing w:after="160" w:line="360" w:lineRule="auto"/>
        <w:ind w:firstLine="709"/>
        <w:jc w:val="both"/>
        <w:rPr>
          <w:sz w:val="24"/>
          <w:szCs w:val="24"/>
        </w:rPr>
      </w:pPr>
      <w:r w:rsidRPr="0099138A">
        <w:rPr>
          <w:sz w:val="24"/>
          <w:szCs w:val="24"/>
        </w:rPr>
        <w:t>Diante desse cenário, é fundamental entender as epidemias de doenças que afetam as espécies florestais. O conhecimento sobre como essas doenças se manifestam e se espalham é essencial para o desenvolvimento de estratégias adequadas de manejo fitossanitário (</w:t>
      </w:r>
      <w:r w:rsidR="003C0271">
        <w:rPr>
          <w:sz w:val="24"/>
          <w:szCs w:val="24"/>
        </w:rPr>
        <w:t>A</w:t>
      </w:r>
      <w:r w:rsidR="003C0271" w:rsidRPr="0099138A">
        <w:rPr>
          <w:sz w:val="24"/>
          <w:szCs w:val="24"/>
        </w:rPr>
        <w:t xml:space="preserve">lfenas; </w:t>
      </w:r>
      <w:r w:rsidR="003C0271">
        <w:rPr>
          <w:sz w:val="24"/>
          <w:szCs w:val="24"/>
        </w:rPr>
        <w:lastRenderedPageBreak/>
        <w:t>M</w:t>
      </w:r>
      <w:r w:rsidR="003C0271" w:rsidRPr="0099138A">
        <w:rPr>
          <w:sz w:val="24"/>
          <w:szCs w:val="24"/>
        </w:rPr>
        <w:t xml:space="preserve">afia, 2016; </w:t>
      </w:r>
      <w:r w:rsidR="003C0271">
        <w:rPr>
          <w:sz w:val="24"/>
          <w:szCs w:val="24"/>
        </w:rPr>
        <w:t>P</w:t>
      </w:r>
      <w:r w:rsidR="003C0271" w:rsidRPr="0099138A">
        <w:rPr>
          <w:sz w:val="24"/>
          <w:szCs w:val="24"/>
        </w:rPr>
        <w:t xml:space="preserve">ereira; </w:t>
      </w:r>
      <w:r w:rsidR="003C0271">
        <w:rPr>
          <w:sz w:val="24"/>
          <w:szCs w:val="24"/>
        </w:rPr>
        <w:t>O</w:t>
      </w:r>
      <w:r w:rsidR="003C0271" w:rsidRPr="0099138A">
        <w:rPr>
          <w:sz w:val="24"/>
          <w:szCs w:val="24"/>
        </w:rPr>
        <w:t>liveira, 2019</w:t>
      </w:r>
      <w:r w:rsidRPr="0099138A">
        <w:rPr>
          <w:sz w:val="24"/>
          <w:szCs w:val="24"/>
        </w:rPr>
        <w:t>). O manejo fitossanitário visa controlar a propagação das doenças de forma eficaz, por meio de estratégias integradas, como controle físico, cultural, biológico, genético e químico (</w:t>
      </w:r>
      <w:r w:rsidR="003C0271">
        <w:rPr>
          <w:sz w:val="24"/>
          <w:szCs w:val="24"/>
        </w:rPr>
        <w:t>A</w:t>
      </w:r>
      <w:r w:rsidR="003C0271" w:rsidRPr="0099138A">
        <w:rPr>
          <w:sz w:val="24"/>
          <w:szCs w:val="24"/>
        </w:rPr>
        <w:t>guilar-</w:t>
      </w:r>
      <w:r w:rsidR="003C0271">
        <w:rPr>
          <w:sz w:val="24"/>
          <w:szCs w:val="24"/>
        </w:rPr>
        <w:t>V</w:t>
      </w:r>
      <w:r w:rsidR="003C0271" w:rsidRPr="0099138A">
        <w:rPr>
          <w:sz w:val="24"/>
          <w:szCs w:val="24"/>
        </w:rPr>
        <w:t xml:space="preserve">ildoso; </w:t>
      </w:r>
      <w:r w:rsidR="003C0271">
        <w:rPr>
          <w:sz w:val="24"/>
          <w:szCs w:val="24"/>
        </w:rPr>
        <w:t>C</w:t>
      </w:r>
      <w:r w:rsidR="003C0271" w:rsidRPr="0099138A">
        <w:rPr>
          <w:sz w:val="24"/>
          <w:szCs w:val="24"/>
        </w:rPr>
        <w:t>afé-</w:t>
      </w:r>
      <w:r w:rsidR="003C0271">
        <w:rPr>
          <w:sz w:val="24"/>
          <w:szCs w:val="24"/>
        </w:rPr>
        <w:t>F</w:t>
      </w:r>
      <w:r w:rsidR="003C0271" w:rsidRPr="0099138A">
        <w:rPr>
          <w:sz w:val="24"/>
          <w:szCs w:val="24"/>
        </w:rPr>
        <w:t>ilho,</w:t>
      </w:r>
      <w:r w:rsidRPr="0099138A">
        <w:rPr>
          <w:sz w:val="24"/>
          <w:szCs w:val="24"/>
        </w:rPr>
        <w:t xml:space="preserve"> 2018). Essas abordagens têm como objetivo não apenas reduzir a incidência das doenças, mas também prevenir danos significativos e garantir a preservação ambiental, promovendo uma produção florestal sustentável (EMBRAPA, 2023).</w:t>
      </w:r>
    </w:p>
    <w:p w14:paraId="5EDCC5ED" w14:textId="3BBFC0DE" w:rsidR="00D41B0B" w:rsidRPr="0099138A" w:rsidRDefault="00D41B0B" w:rsidP="0099138A">
      <w:pPr>
        <w:widowControl/>
        <w:autoSpaceDE/>
        <w:autoSpaceDN/>
        <w:spacing w:after="160" w:line="360" w:lineRule="auto"/>
        <w:ind w:firstLine="709"/>
        <w:jc w:val="both"/>
        <w:rPr>
          <w:sz w:val="24"/>
          <w:szCs w:val="24"/>
        </w:rPr>
      </w:pPr>
      <w:r w:rsidRPr="0099138A">
        <w:rPr>
          <w:sz w:val="24"/>
          <w:szCs w:val="24"/>
        </w:rPr>
        <w:t>Em viveiros e meios de produção de mudas, o controle das doenças é ainda mais crítico. É nesse estágio de desenvolvimento das plantas que muitas das principais doenças, tanto de espécies florestais madeireiras quanto não madeireiras, podem se manifestar. A presença de doenças nesse ambiente pode comprometer a qualidade das mudas e afetar sua sobrevivência e crescimento, impactando diretamente a produtividade e o sucesso a longo prazo da produção florestal (</w:t>
      </w:r>
      <w:r w:rsidR="003C0271">
        <w:rPr>
          <w:sz w:val="24"/>
          <w:szCs w:val="24"/>
        </w:rPr>
        <w:t>M</w:t>
      </w:r>
      <w:r w:rsidR="003C0271" w:rsidRPr="0099138A">
        <w:rPr>
          <w:sz w:val="24"/>
          <w:szCs w:val="24"/>
        </w:rPr>
        <w:t>afacioli</w:t>
      </w:r>
      <w:r w:rsidRPr="0099138A">
        <w:rPr>
          <w:sz w:val="24"/>
          <w:szCs w:val="24"/>
        </w:rPr>
        <w:t xml:space="preserve">, Rudimar, </w:t>
      </w:r>
      <w:r w:rsidRPr="003C0271">
        <w:rPr>
          <w:i/>
          <w:iCs/>
          <w:sz w:val="24"/>
          <w:szCs w:val="24"/>
        </w:rPr>
        <w:t>et</w:t>
      </w:r>
      <w:r w:rsidRPr="0099138A">
        <w:rPr>
          <w:sz w:val="24"/>
          <w:szCs w:val="24"/>
        </w:rPr>
        <w:t xml:space="preserve"> </w:t>
      </w:r>
      <w:r w:rsidRPr="003C0271">
        <w:rPr>
          <w:i/>
          <w:iCs/>
          <w:sz w:val="24"/>
          <w:szCs w:val="24"/>
        </w:rPr>
        <w:t>al</w:t>
      </w:r>
      <w:r w:rsidRPr="0099138A">
        <w:rPr>
          <w:sz w:val="24"/>
          <w:szCs w:val="24"/>
        </w:rPr>
        <w:t>. 2010; EMBRAPA, 2023). Portanto, é essencial a adoção de práticas de manejo fitossanitário eficientes nesses locais, para prevenir o aparecimento e a disseminação de doenças e, assim, garantir a saúde das plantas e a sustentabilidade da produção (</w:t>
      </w:r>
      <w:r w:rsidR="003C0271">
        <w:rPr>
          <w:sz w:val="24"/>
          <w:szCs w:val="24"/>
        </w:rPr>
        <w:t xml:space="preserve">Amorim, </w:t>
      </w:r>
      <w:r w:rsidR="003C0271">
        <w:rPr>
          <w:i/>
          <w:iCs/>
          <w:sz w:val="24"/>
          <w:szCs w:val="24"/>
        </w:rPr>
        <w:t xml:space="preserve">et al., </w:t>
      </w:r>
      <w:r w:rsidR="003C0271">
        <w:rPr>
          <w:sz w:val="24"/>
          <w:szCs w:val="24"/>
        </w:rPr>
        <w:t>2018</w:t>
      </w:r>
      <w:r w:rsidRPr="0099138A">
        <w:rPr>
          <w:sz w:val="24"/>
          <w:szCs w:val="24"/>
        </w:rPr>
        <w:t>).</w:t>
      </w:r>
    </w:p>
    <w:p w14:paraId="56A20F9B" w14:textId="750865A2" w:rsidR="00D41B0B" w:rsidRPr="0099138A" w:rsidRDefault="00D41B0B" w:rsidP="0099138A">
      <w:pPr>
        <w:widowControl/>
        <w:autoSpaceDE/>
        <w:autoSpaceDN/>
        <w:spacing w:after="160" w:line="360" w:lineRule="auto"/>
        <w:ind w:firstLine="709"/>
        <w:jc w:val="both"/>
        <w:rPr>
          <w:sz w:val="24"/>
          <w:szCs w:val="24"/>
        </w:rPr>
      </w:pPr>
      <w:r w:rsidRPr="0099138A">
        <w:rPr>
          <w:sz w:val="24"/>
          <w:szCs w:val="24"/>
        </w:rPr>
        <w:t>Entretanto, esses plantios, devido à grande concentração de indivíduos com base genética estreita, aumentam a vulnerabilidade a doenças. Agentes biológicos e abióticos, como fungos, bactérias e nematoides, podem afetar o desenvolvimento das plantas, reduzindo sua área fotossintética, qualidade da madeira e aumentando a mortalidade (</w:t>
      </w:r>
      <w:r w:rsidR="003C0271">
        <w:rPr>
          <w:sz w:val="24"/>
          <w:szCs w:val="24"/>
        </w:rPr>
        <w:t>A</w:t>
      </w:r>
      <w:r w:rsidR="003C0271" w:rsidRPr="0099138A">
        <w:rPr>
          <w:sz w:val="24"/>
          <w:szCs w:val="24"/>
        </w:rPr>
        <w:t xml:space="preserve">lfenas </w:t>
      </w:r>
      <w:r w:rsidRPr="003C0271">
        <w:rPr>
          <w:i/>
          <w:iCs/>
          <w:sz w:val="24"/>
          <w:szCs w:val="24"/>
        </w:rPr>
        <w:t>et</w:t>
      </w:r>
      <w:r w:rsidRPr="0099138A">
        <w:rPr>
          <w:sz w:val="24"/>
          <w:szCs w:val="24"/>
        </w:rPr>
        <w:t xml:space="preserve"> </w:t>
      </w:r>
      <w:r w:rsidRPr="003C0271">
        <w:rPr>
          <w:i/>
          <w:iCs/>
          <w:sz w:val="24"/>
          <w:szCs w:val="24"/>
        </w:rPr>
        <w:t>al</w:t>
      </w:r>
      <w:r w:rsidRPr="0099138A">
        <w:rPr>
          <w:sz w:val="24"/>
          <w:szCs w:val="24"/>
        </w:rPr>
        <w:t xml:space="preserve">., 2009; </w:t>
      </w:r>
      <w:r w:rsidR="003C0271">
        <w:rPr>
          <w:sz w:val="24"/>
          <w:szCs w:val="24"/>
        </w:rPr>
        <w:t>A</w:t>
      </w:r>
      <w:r w:rsidR="003C0271" w:rsidRPr="0099138A">
        <w:rPr>
          <w:sz w:val="24"/>
          <w:szCs w:val="24"/>
        </w:rPr>
        <w:t>guilar-</w:t>
      </w:r>
      <w:r w:rsidR="003C0271">
        <w:rPr>
          <w:sz w:val="24"/>
          <w:szCs w:val="24"/>
        </w:rPr>
        <w:t>V</w:t>
      </w:r>
      <w:r w:rsidR="003C0271" w:rsidRPr="0099138A">
        <w:rPr>
          <w:sz w:val="24"/>
          <w:szCs w:val="24"/>
        </w:rPr>
        <w:t xml:space="preserve">ildoso; </w:t>
      </w:r>
      <w:r w:rsidR="003C0271">
        <w:rPr>
          <w:sz w:val="24"/>
          <w:szCs w:val="24"/>
        </w:rPr>
        <w:t>C</w:t>
      </w:r>
      <w:r w:rsidR="003C0271" w:rsidRPr="0099138A">
        <w:rPr>
          <w:sz w:val="24"/>
          <w:szCs w:val="24"/>
        </w:rPr>
        <w:t>afé-</w:t>
      </w:r>
      <w:r w:rsidR="003C0271">
        <w:rPr>
          <w:sz w:val="24"/>
          <w:szCs w:val="24"/>
        </w:rPr>
        <w:t>F</w:t>
      </w:r>
      <w:r w:rsidR="003C0271" w:rsidRPr="0099138A">
        <w:rPr>
          <w:sz w:val="24"/>
          <w:szCs w:val="24"/>
        </w:rPr>
        <w:t>ilho</w:t>
      </w:r>
      <w:r w:rsidRPr="0099138A">
        <w:rPr>
          <w:sz w:val="24"/>
          <w:szCs w:val="24"/>
        </w:rPr>
        <w:t>, 2018). O reconhecimento dos agentes causais é crucial para a adoção de medidas eficazes de manejo fitossanitário. O objetivo deste trabalho foi realizar o levantamento das doenças que afetam as espécies florestais em viveiros e plantios no nordeste do estado do Pará.</w:t>
      </w:r>
    </w:p>
    <w:p w14:paraId="309E8D17" w14:textId="6AF7D358" w:rsidR="003949CE" w:rsidRDefault="003949CE" w:rsidP="00EC3717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2. M</w:t>
      </w:r>
      <w:r w:rsidR="003C0271">
        <w:rPr>
          <w:b/>
          <w:sz w:val="24"/>
          <w:szCs w:val="24"/>
        </w:rPr>
        <w:t>ATERIAL E MÉ</w:t>
      </w:r>
      <w:r>
        <w:rPr>
          <w:b/>
          <w:sz w:val="24"/>
          <w:szCs w:val="24"/>
        </w:rPr>
        <w:t>TODO</w:t>
      </w:r>
      <w:r w:rsidR="003C0271">
        <w:rPr>
          <w:b/>
          <w:sz w:val="24"/>
          <w:szCs w:val="24"/>
        </w:rPr>
        <w:t>S</w:t>
      </w:r>
      <w:r>
        <w:rPr>
          <w:b/>
          <w:sz w:val="28"/>
          <w:szCs w:val="28"/>
        </w:rPr>
        <w:t xml:space="preserve"> </w:t>
      </w:r>
    </w:p>
    <w:p w14:paraId="47ECBC6C" w14:textId="0EA6A371" w:rsidR="00935B87" w:rsidRPr="00935B87" w:rsidRDefault="00935B87" w:rsidP="00935B87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ind w:firstLine="851"/>
        <w:jc w:val="both"/>
        <w:rPr>
          <w:sz w:val="24"/>
          <w:szCs w:val="24"/>
        </w:rPr>
      </w:pPr>
      <w:r w:rsidRPr="00935B87">
        <w:rPr>
          <w:sz w:val="24"/>
          <w:szCs w:val="24"/>
        </w:rPr>
        <w:t>A pesquisa foi realizada no Laboratório de Multimatérias da Universidade do Estado do Pará (UEPA), em Castanhal/PA, com apoio de três viveiros florestais da região</w:t>
      </w:r>
      <w:r w:rsidR="003C0271">
        <w:rPr>
          <w:sz w:val="24"/>
          <w:szCs w:val="24"/>
        </w:rPr>
        <w:t>,</w:t>
      </w:r>
      <w:r w:rsidRPr="00935B87">
        <w:rPr>
          <w:sz w:val="24"/>
          <w:szCs w:val="24"/>
        </w:rPr>
        <w:t xml:space="preserve"> ProMudas, São Francisco e Flor do Norte, possibilitando uma análise ampla das doenças em espécies nativas. As coletas de folhas sintomáticas ocorreram entre fevereiro e maio, período chuvoso e de alta umidade (acima de 85%), condições favoráveis ao desenvolvimento de fungos como </w:t>
      </w:r>
      <w:r w:rsidRPr="003C0271">
        <w:rPr>
          <w:i/>
          <w:iCs/>
          <w:sz w:val="24"/>
          <w:szCs w:val="24"/>
        </w:rPr>
        <w:lastRenderedPageBreak/>
        <w:t>Pestalotiopsis</w:t>
      </w:r>
      <w:r w:rsidRPr="00935B87">
        <w:rPr>
          <w:sz w:val="24"/>
          <w:szCs w:val="24"/>
        </w:rPr>
        <w:t xml:space="preserve"> spp., segundo dados do INMET (2023) e </w:t>
      </w:r>
      <w:r w:rsidR="003C0271">
        <w:rPr>
          <w:sz w:val="24"/>
          <w:szCs w:val="24"/>
        </w:rPr>
        <w:t>M</w:t>
      </w:r>
      <w:r w:rsidR="003C0271" w:rsidRPr="00935B87">
        <w:rPr>
          <w:sz w:val="24"/>
          <w:szCs w:val="24"/>
        </w:rPr>
        <w:t xml:space="preserve">enezes </w:t>
      </w:r>
      <w:r w:rsidRPr="003C0271">
        <w:rPr>
          <w:i/>
          <w:iCs/>
          <w:sz w:val="24"/>
          <w:szCs w:val="24"/>
        </w:rPr>
        <w:t>et</w:t>
      </w:r>
      <w:r w:rsidRPr="00935B87">
        <w:rPr>
          <w:sz w:val="24"/>
          <w:szCs w:val="24"/>
        </w:rPr>
        <w:t xml:space="preserve"> </w:t>
      </w:r>
      <w:r w:rsidRPr="003C0271">
        <w:rPr>
          <w:i/>
          <w:iCs/>
          <w:sz w:val="24"/>
          <w:szCs w:val="24"/>
        </w:rPr>
        <w:t>al</w:t>
      </w:r>
      <w:r w:rsidRPr="00935B87">
        <w:rPr>
          <w:sz w:val="24"/>
          <w:szCs w:val="24"/>
        </w:rPr>
        <w:t>. (2014).</w:t>
      </w:r>
    </w:p>
    <w:p w14:paraId="60055991" w14:textId="6DAFD145" w:rsidR="00935B87" w:rsidRPr="00935B87" w:rsidRDefault="00935B87" w:rsidP="00935B87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ind w:firstLine="851"/>
        <w:jc w:val="both"/>
        <w:rPr>
          <w:sz w:val="24"/>
          <w:szCs w:val="24"/>
        </w:rPr>
      </w:pPr>
      <w:r w:rsidRPr="00935B87">
        <w:rPr>
          <w:sz w:val="24"/>
          <w:szCs w:val="24"/>
        </w:rPr>
        <w:t xml:space="preserve">As amostras foram coletadas </w:t>
      </w:r>
      <w:r w:rsidR="003C0271">
        <w:rPr>
          <w:sz w:val="24"/>
          <w:szCs w:val="24"/>
        </w:rPr>
        <w:t>nos viveiros, acondicionados em saco de papel krafit, e enviadas ao LMB</w:t>
      </w:r>
      <w:r w:rsidR="007F0867">
        <w:rPr>
          <w:sz w:val="24"/>
          <w:szCs w:val="24"/>
        </w:rPr>
        <w:t xml:space="preserve">. No laboratorio, as amostras foram isoladas, em seguida os microrganismos foram </w:t>
      </w:r>
      <w:r w:rsidRPr="00935B87">
        <w:rPr>
          <w:sz w:val="24"/>
          <w:szCs w:val="24"/>
        </w:rPr>
        <w:t>armazenad</w:t>
      </w:r>
      <w:r w:rsidR="007F0867">
        <w:rPr>
          <w:sz w:val="24"/>
          <w:szCs w:val="24"/>
        </w:rPr>
        <w:t>o</w:t>
      </w:r>
      <w:r w:rsidRPr="00935B87">
        <w:rPr>
          <w:sz w:val="24"/>
          <w:szCs w:val="24"/>
        </w:rPr>
        <w:t>s</w:t>
      </w:r>
      <w:r w:rsidR="007F0867">
        <w:rPr>
          <w:sz w:val="24"/>
          <w:szCs w:val="24"/>
        </w:rPr>
        <w:t xml:space="preserve"> e depositadas na coleção de cultura do laboratório para</w:t>
      </w:r>
      <w:r w:rsidRPr="00935B87">
        <w:rPr>
          <w:sz w:val="24"/>
          <w:szCs w:val="24"/>
        </w:rPr>
        <w:t xml:space="preserve"> preservação dos microrganismos. A identificação microscópica foi realizada por microscopia óptica e estereomicroscopia, utilizando lâminas com corante azul de lactofenol, o que permitiu observar estruturas fúngicas como hifas e conídios. Isolados sem estruturas reprodutivas foram mantidos para análise molecular posterior.</w:t>
      </w:r>
    </w:p>
    <w:p w14:paraId="484A03D0" w14:textId="5E960CE6" w:rsidR="00935B87" w:rsidRPr="00935B87" w:rsidRDefault="00935B87" w:rsidP="00935B87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ind w:firstLine="851"/>
        <w:jc w:val="both"/>
        <w:rPr>
          <w:sz w:val="24"/>
          <w:szCs w:val="24"/>
        </w:rPr>
      </w:pPr>
      <w:r w:rsidRPr="00935B87">
        <w:rPr>
          <w:sz w:val="24"/>
          <w:szCs w:val="24"/>
        </w:rPr>
        <w:t>Nos procedimentos de isolamento e cultivo, fragmentos foliares foram desinfestados e cultivados em meios seletivos</w:t>
      </w:r>
      <w:r w:rsidR="007F0867">
        <w:rPr>
          <w:sz w:val="24"/>
          <w:szCs w:val="24"/>
        </w:rPr>
        <w:t xml:space="preserve">, </w:t>
      </w:r>
      <w:r w:rsidRPr="00935B87">
        <w:rPr>
          <w:sz w:val="24"/>
          <w:szCs w:val="24"/>
        </w:rPr>
        <w:t>BDA</w:t>
      </w:r>
      <w:r w:rsidR="007F0867">
        <w:rPr>
          <w:sz w:val="24"/>
          <w:szCs w:val="24"/>
        </w:rPr>
        <w:t xml:space="preserve"> (batata, dextrose e ágar)</w:t>
      </w:r>
      <w:r w:rsidRPr="00935B87">
        <w:rPr>
          <w:sz w:val="24"/>
          <w:szCs w:val="24"/>
        </w:rPr>
        <w:t xml:space="preserve"> para fungos e N</w:t>
      </w:r>
      <w:r w:rsidR="007F0867">
        <w:rPr>
          <w:sz w:val="24"/>
          <w:szCs w:val="24"/>
        </w:rPr>
        <w:t>Y</w:t>
      </w:r>
      <w:r w:rsidRPr="00935B87">
        <w:rPr>
          <w:sz w:val="24"/>
          <w:szCs w:val="24"/>
        </w:rPr>
        <w:t xml:space="preserve">DA </w:t>
      </w:r>
      <w:r w:rsidR="007F0867">
        <w:rPr>
          <w:sz w:val="24"/>
          <w:szCs w:val="24"/>
        </w:rPr>
        <w:t xml:space="preserve">(Dextrose, extrato de levedura, extrato de carne, peptona e ágar) </w:t>
      </w:r>
      <w:r w:rsidRPr="00935B87">
        <w:rPr>
          <w:sz w:val="24"/>
          <w:szCs w:val="24"/>
        </w:rPr>
        <w:t>para bactérias, sob incubação entre 25 °C e 28 °C. Foram empregados dois tipos de isolamento: direto (fragmentos colocados diretamente no meio) e indireto (após desinfestação com hipoclorito, álcool e água destilada).</w:t>
      </w:r>
    </w:p>
    <w:p w14:paraId="5A81313B" w14:textId="77777777" w:rsidR="00935B87" w:rsidRPr="00935B87" w:rsidRDefault="00935B87" w:rsidP="00935B87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ind w:firstLine="851"/>
        <w:jc w:val="both"/>
        <w:rPr>
          <w:sz w:val="24"/>
          <w:szCs w:val="24"/>
        </w:rPr>
      </w:pPr>
      <w:r w:rsidRPr="00935B87">
        <w:rPr>
          <w:sz w:val="24"/>
          <w:szCs w:val="24"/>
        </w:rPr>
        <w:t>Os isolados fúngicos foram posteriormente armazenados pelo método de Castellani, que utiliza água destilada estéril para manter a viabilidade e morfologia dos fungos por longos períodos, reduzindo o risco de contaminação e mutação genética.</w:t>
      </w:r>
    </w:p>
    <w:p w14:paraId="75EC53EF" w14:textId="77777777" w:rsidR="00E5632E" w:rsidRDefault="00935B87" w:rsidP="00E5632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ind w:firstLine="851"/>
        <w:jc w:val="both"/>
        <w:rPr>
          <w:sz w:val="24"/>
          <w:szCs w:val="24"/>
        </w:rPr>
      </w:pPr>
      <w:r w:rsidRPr="00935B87">
        <w:rPr>
          <w:sz w:val="24"/>
          <w:szCs w:val="24"/>
        </w:rPr>
        <w:t>Para comprovar a patogenicidade, aplicaram-se os postulados de Koch, observando a presença do fungo nas lesões originais, realizando inoculação em mudas sadias e o posterior reisolamento do mesmo microrganismo. As plantas inoculadas apresentaram sintomas semelhantes aos originais, confirmando a identidade e o papel do fungo como agente causal.</w:t>
      </w:r>
    </w:p>
    <w:p w14:paraId="4FF5B052" w14:textId="77777777" w:rsidR="007F0867" w:rsidRDefault="007F0867" w:rsidP="00E5632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ind w:firstLine="851"/>
        <w:jc w:val="both"/>
        <w:rPr>
          <w:sz w:val="24"/>
          <w:szCs w:val="24"/>
        </w:rPr>
      </w:pPr>
    </w:p>
    <w:p w14:paraId="751AE581" w14:textId="77777777" w:rsidR="00C81629" w:rsidRDefault="003949CE" w:rsidP="00C8162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3. RESULTADOS E DISCUSSÃO</w:t>
      </w:r>
      <w:r>
        <w:rPr>
          <w:b/>
          <w:sz w:val="28"/>
          <w:szCs w:val="28"/>
        </w:rPr>
        <w:t xml:space="preserve"> </w:t>
      </w:r>
    </w:p>
    <w:p w14:paraId="2705FA0B" w14:textId="6A9FE2ED" w:rsidR="006D61EB" w:rsidRPr="00DD2CC1" w:rsidRDefault="006D61EB" w:rsidP="00C8162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sz w:val="24"/>
          <w:szCs w:val="24"/>
        </w:rPr>
      </w:pPr>
      <w:r w:rsidRPr="00DD2CC1">
        <w:rPr>
          <w:sz w:val="24"/>
          <w:szCs w:val="24"/>
        </w:rPr>
        <w:t>A análise fitopatológica realizada em mudas florestais sintomáticas, coletadas em viveiros do município de Castanhal/PA, revelou a presença de microrganismos potencialmente patogênicos em diferentes espécies nativas e exóticas. Após o processo de repicagem e purificação das culturas fúngicas em meio BDA, foram preparadas lâminas para observação microscópica. Em quatro espécies arbóreas — Jatobá (</w:t>
      </w:r>
      <w:r w:rsidRPr="007F0867">
        <w:rPr>
          <w:i/>
          <w:iCs/>
          <w:sz w:val="24"/>
          <w:szCs w:val="24"/>
        </w:rPr>
        <w:t>Hymenaea</w:t>
      </w:r>
      <w:r w:rsidRPr="00DD2CC1">
        <w:rPr>
          <w:sz w:val="24"/>
          <w:szCs w:val="24"/>
        </w:rPr>
        <w:t xml:space="preserve"> </w:t>
      </w:r>
      <w:r w:rsidRPr="007F0867">
        <w:rPr>
          <w:i/>
          <w:iCs/>
          <w:sz w:val="24"/>
          <w:szCs w:val="24"/>
        </w:rPr>
        <w:t>courbaril</w:t>
      </w:r>
      <w:r w:rsidRPr="00DD2CC1">
        <w:rPr>
          <w:sz w:val="24"/>
          <w:szCs w:val="24"/>
        </w:rPr>
        <w:t>), Ipê-Amarelo (</w:t>
      </w:r>
      <w:r w:rsidRPr="007F0867">
        <w:rPr>
          <w:i/>
          <w:iCs/>
          <w:sz w:val="24"/>
          <w:szCs w:val="24"/>
        </w:rPr>
        <w:t>Handroanthus</w:t>
      </w:r>
      <w:r w:rsidRPr="00DD2CC1">
        <w:rPr>
          <w:sz w:val="24"/>
          <w:szCs w:val="24"/>
        </w:rPr>
        <w:t xml:space="preserve"> </w:t>
      </w:r>
      <w:r w:rsidRPr="007F0867">
        <w:rPr>
          <w:i/>
          <w:iCs/>
          <w:sz w:val="24"/>
          <w:szCs w:val="24"/>
        </w:rPr>
        <w:t>serratifolius</w:t>
      </w:r>
      <w:r w:rsidRPr="00DD2CC1">
        <w:rPr>
          <w:sz w:val="24"/>
          <w:szCs w:val="24"/>
        </w:rPr>
        <w:t>), Ingá-Chinelo (</w:t>
      </w:r>
      <w:r w:rsidRPr="007F0867">
        <w:rPr>
          <w:i/>
          <w:iCs/>
          <w:sz w:val="24"/>
          <w:szCs w:val="24"/>
        </w:rPr>
        <w:t>Inga</w:t>
      </w:r>
      <w:r w:rsidRPr="00DD2CC1">
        <w:rPr>
          <w:sz w:val="24"/>
          <w:szCs w:val="24"/>
        </w:rPr>
        <w:t xml:space="preserve"> </w:t>
      </w:r>
      <w:r w:rsidRPr="007F0867">
        <w:rPr>
          <w:i/>
          <w:iCs/>
          <w:sz w:val="24"/>
          <w:szCs w:val="24"/>
        </w:rPr>
        <w:t>edulis</w:t>
      </w:r>
      <w:r w:rsidRPr="00DD2CC1">
        <w:rPr>
          <w:sz w:val="24"/>
          <w:szCs w:val="24"/>
        </w:rPr>
        <w:t>) e Eucalipto (</w:t>
      </w:r>
      <w:r w:rsidRPr="007F0867">
        <w:rPr>
          <w:i/>
          <w:iCs/>
          <w:sz w:val="24"/>
          <w:szCs w:val="24"/>
        </w:rPr>
        <w:t>Eucalyptus</w:t>
      </w:r>
      <w:r w:rsidRPr="00DD2CC1">
        <w:rPr>
          <w:sz w:val="24"/>
          <w:szCs w:val="24"/>
        </w:rPr>
        <w:t xml:space="preserve"> sp.)</w:t>
      </w:r>
      <w:r w:rsidR="007F0867">
        <w:rPr>
          <w:sz w:val="24"/>
          <w:szCs w:val="24"/>
        </w:rPr>
        <w:t>,</w:t>
      </w:r>
      <w:r w:rsidRPr="00DD2CC1">
        <w:rPr>
          <w:sz w:val="24"/>
          <w:szCs w:val="24"/>
        </w:rPr>
        <w:t xml:space="preserve"> foi confirmada a presença de estruturas compatíveis com o gênero </w:t>
      </w:r>
      <w:r w:rsidRPr="007F0867">
        <w:rPr>
          <w:i/>
          <w:iCs/>
          <w:sz w:val="24"/>
          <w:szCs w:val="24"/>
        </w:rPr>
        <w:t>Pestalotiopsis</w:t>
      </w:r>
      <w:r w:rsidRPr="00DD2CC1">
        <w:rPr>
          <w:sz w:val="24"/>
          <w:szCs w:val="24"/>
        </w:rPr>
        <w:t xml:space="preserve"> (Figura </w:t>
      </w:r>
      <w:r w:rsidR="008C11E2">
        <w:rPr>
          <w:sz w:val="24"/>
          <w:szCs w:val="24"/>
        </w:rPr>
        <w:t>1</w:t>
      </w:r>
      <w:r w:rsidRPr="00DD2CC1">
        <w:rPr>
          <w:sz w:val="24"/>
          <w:szCs w:val="24"/>
        </w:rPr>
        <w:t>). Os conídios observados apresentavam morfologia típica</w:t>
      </w:r>
      <w:r w:rsidR="007F0867">
        <w:rPr>
          <w:sz w:val="24"/>
          <w:szCs w:val="24"/>
        </w:rPr>
        <w:t xml:space="preserve"> desse gênero (</w:t>
      </w:r>
      <w:r w:rsidRPr="00DD2CC1">
        <w:rPr>
          <w:sz w:val="24"/>
          <w:szCs w:val="24"/>
        </w:rPr>
        <w:t>multicelulares, fusiformes, com apêndices filiformes nas extremidades</w:t>
      </w:r>
      <w:r w:rsidR="007F0867">
        <w:rPr>
          <w:sz w:val="24"/>
          <w:szCs w:val="24"/>
        </w:rPr>
        <w:t>)</w:t>
      </w:r>
      <w:r w:rsidRPr="00DD2CC1">
        <w:rPr>
          <w:sz w:val="24"/>
          <w:szCs w:val="24"/>
        </w:rPr>
        <w:t xml:space="preserve">, conforme descrito por </w:t>
      </w:r>
      <w:r w:rsidR="007F0867">
        <w:rPr>
          <w:sz w:val="24"/>
          <w:szCs w:val="24"/>
        </w:rPr>
        <w:t>M</w:t>
      </w:r>
      <w:r w:rsidR="007F0867" w:rsidRPr="00DD2CC1">
        <w:rPr>
          <w:sz w:val="24"/>
          <w:szCs w:val="24"/>
        </w:rPr>
        <w:t>aharachchikumbura</w:t>
      </w:r>
      <w:r w:rsidRPr="00DD2CC1">
        <w:rPr>
          <w:sz w:val="24"/>
          <w:szCs w:val="24"/>
        </w:rPr>
        <w:t xml:space="preserve"> </w:t>
      </w:r>
      <w:r w:rsidRPr="007F0867">
        <w:rPr>
          <w:i/>
          <w:iCs/>
          <w:sz w:val="24"/>
          <w:szCs w:val="24"/>
        </w:rPr>
        <w:t>et</w:t>
      </w:r>
      <w:r w:rsidRPr="00DD2CC1">
        <w:rPr>
          <w:sz w:val="24"/>
          <w:szCs w:val="24"/>
        </w:rPr>
        <w:t xml:space="preserve"> </w:t>
      </w:r>
      <w:r w:rsidRPr="007F0867">
        <w:rPr>
          <w:i/>
          <w:iCs/>
          <w:sz w:val="24"/>
          <w:szCs w:val="24"/>
        </w:rPr>
        <w:t>al</w:t>
      </w:r>
      <w:r w:rsidRPr="00DD2CC1">
        <w:rPr>
          <w:sz w:val="24"/>
          <w:szCs w:val="24"/>
        </w:rPr>
        <w:t>. (2012), reforçando a identificação preliminar do patógeno.</w:t>
      </w:r>
    </w:p>
    <w:p w14:paraId="12A2265E" w14:textId="77777777" w:rsidR="00790D3A" w:rsidRDefault="00790D3A" w:rsidP="00790D3A">
      <w:pPr>
        <w:spacing w:line="360" w:lineRule="auto"/>
        <w:ind w:firstLine="709"/>
        <w:jc w:val="center"/>
      </w:pPr>
    </w:p>
    <w:p w14:paraId="219A69B3" w14:textId="77777777" w:rsidR="00790D3A" w:rsidRDefault="00790D3A" w:rsidP="00790D3A">
      <w:pPr>
        <w:spacing w:line="360" w:lineRule="auto"/>
        <w:ind w:firstLine="709"/>
        <w:jc w:val="center"/>
      </w:pPr>
    </w:p>
    <w:p w14:paraId="13D88F39" w14:textId="77777777" w:rsidR="00790D3A" w:rsidRDefault="00790D3A" w:rsidP="00790D3A">
      <w:pPr>
        <w:spacing w:line="360" w:lineRule="auto"/>
        <w:ind w:firstLine="709"/>
        <w:jc w:val="center"/>
      </w:pPr>
    </w:p>
    <w:p w14:paraId="2B563118" w14:textId="2FC1A3B0" w:rsidR="006D61EB" w:rsidRDefault="00790D3A" w:rsidP="007F0867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9C946" wp14:editId="218D4E0C">
                <wp:simplePos x="0" y="0"/>
                <wp:positionH relativeFrom="margin">
                  <wp:posOffset>2371725</wp:posOffset>
                </wp:positionH>
                <wp:positionV relativeFrom="paragraph">
                  <wp:posOffset>1362075</wp:posOffset>
                </wp:positionV>
                <wp:extent cx="434340" cy="556260"/>
                <wp:effectExtent l="0" t="0" r="0" b="0"/>
                <wp:wrapNone/>
                <wp:docPr id="107698943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9BF1FF" w14:textId="77777777" w:rsidR="006D61EB" w:rsidRPr="00B17343" w:rsidRDefault="006D61EB" w:rsidP="006D61EB">
                            <w:pPr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17343"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9C94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86.75pt;margin-top:107.25pt;width:34.2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" filled="f" stroked="f">
                <v:textbox>
                  <w:txbxContent>
                    <w:p w14:paraId="279BF1FF" w14:textId="77777777" w:rsidR="006D61EB" w:rsidRPr="00B17343" w:rsidRDefault="006D61EB" w:rsidP="006D61EB">
                      <w:pPr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17343"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3F60C" wp14:editId="6A5B95B6">
                <wp:simplePos x="0" y="0"/>
                <wp:positionH relativeFrom="margin">
                  <wp:align>left</wp:align>
                </wp:positionH>
                <wp:positionV relativeFrom="paragraph">
                  <wp:posOffset>1357630</wp:posOffset>
                </wp:positionV>
                <wp:extent cx="388620" cy="556260"/>
                <wp:effectExtent l="0" t="0" r="0" b="0"/>
                <wp:wrapNone/>
                <wp:docPr id="152602085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8BD52" w14:textId="77777777" w:rsidR="006D61EB" w:rsidRPr="00B17343" w:rsidRDefault="006D61EB" w:rsidP="006D61EB">
                            <w:pPr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17343"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3F60C" id="_x0000_s1027" type="#_x0000_t202" style="position:absolute;left:0;text-align:left;margin-left:0;margin-top:106.9pt;width:30.6pt;height:43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" filled="f" stroked="f">
                <v:textbox>
                  <w:txbxContent>
                    <w:p w14:paraId="1558BD52" w14:textId="77777777" w:rsidR="006D61EB" w:rsidRPr="00B17343" w:rsidRDefault="006D61EB" w:rsidP="006D61EB">
                      <w:pPr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17343"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1EB" w:rsidRPr="00B17343">
        <w:t xml:space="preserve">Figura </w:t>
      </w:r>
      <w:r w:rsidR="008C11E2">
        <w:t>1</w:t>
      </w:r>
      <w:r w:rsidR="006D61EB" w:rsidRPr="00B17343">
        <w:t xml:space="preserve"> – Conídios multicelulares do gênero Pestalotiopsis observados em lâminas preparadas a partir de isolados obtidos de folhas sintomáticas de quatro espécies arbóreas: a)Jatobá (Hymenaea courbaril),b)Ipê-Amarelo (Handroanthus serratifolius), c)Ingá-Chinelo (Inga edulis) e d)Eucalipto (Eucalyptus sp.). As estruturas apresentam morfologia fusiforme, com células pigmentadas e apêndices filiformes nas extremidades, características típicas do gênero. Microscopia óptica, aumento de 400x.)</w:t>
      </w:r>
    </w:p>
    <w:p w14:paraId="24A628EE" w14:textId="687908B2" w:rsidR="006D61EB" w:rsidRDefault="00B17343" w:rsidP="006D61E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CD799" wp14:editId="69C2DBFD">
                <wp:simplePos x="0" y="0"/>
                <wp:positionH relativeFrom="margin">
                  <wp:posOffset>2630805</wp:posOffset>
                </wp:positionH>
                <wp:positionV relativeFrom="paragraph">
                  <wp:posOffset>2272030</wp:posOffset>
                </wp:positionV>
                <wp:extent cx="388620" cy="556260"/>
                <wp:effectExtent l="0" t="0" r="0" b="0"/>
                <wp:wrapNone/>
                <wp:docPr id="94912772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8A7824" w14:textId="77777777" w:rsidR="006D61EB" w:rsidRPr="00B17343" w:rsidRDefault="006D61EB" w:rsidP="006D61EB">
                            <w:pPr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17343"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D799" id="_x0000_s1028" type="#_x0000_t202" style="position:absolute;margin-left:207.15pt;margin-top:178.9pt;width:30.6pt;height:43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" filled="f" stroked="f">
                <v:textbox>
                  <w:txbxContent>
                    <w:p w14:paraId="738A7824" w14:textId="77777777" w:rsidR="006D61EB" w:rsidRPr="00B17343" w:rsidRDefault="006D61EB" w:rsidP="006D61EB">
                      <w:pPr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17343"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E3241" wp14:editId="05AC4D76">
                <wp:simplePos x="0" y="0"/>
                <wp:positionH relativeFrom="margin">
                  <wp:align>left</wp:align>
                </wp:positionH>
                <wp:positionV relativeFrom="paragraph">
                  <wp:posOffset>2294255</wp:posOffset>
                </wp:positionV>
                <wp:extent cx="388620" cy="556260"/>
                <wp:effectExtent l="0" t="0" r="0" b="0"/>
                <wp:wrapNone/>
                <wp:docPr id="69145988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6F5388" w14:textId="77777777" w:rsidR="006D61EB" w:rsidRPr="00B17343" w:rsidRDefault="006D61EB" w:rsidP="006D61EB">
                            <w:pPr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17343"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E3241" id="_x0000_s1029" type="#_x0000_t202" style="position:absolute;margin-left:0;margin-top:180.65pt;width:30.6pt;height:43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" filled="f" stroked="f">
                <v:textbox>
                  <w:txbxContent>
                    <w:p w14:paraId="746F5388" w14:textId="77777777" w:rsidR="006D61EB" w:rsidRPr="00B17343" w:rsidRDefault="006D61EB" w:rsidP="006D61EB">
                      <w:pPr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17343"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1EB">
        <w:rPr>
          <w:noProof/>
        </w:rPr>
        <w:drawing>
          <wp:inline distT="0" distB="0" distL="0" distR="0" wp14:anchorId="0B90D18F" wp14:editId="0FA05BC1">
            <wp:extent cx="2407920" cy="2348164"/>
            <wp:effectExtent l="0" t="0" r="0" b="0"/>
            <wp:docPr id="4425926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92671" name="Imagem 44259267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9" t="638" r="28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060" cy="2367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61EB">
        <w:rPr>
          <w:noProof/>
        </w:rPr>
        <w:drawing>
          <wp:inline distT="0" distB="0" distL="0" distR="0" wp14:anchorId="74000D90" wp14:editId="211A78FE">
            <wp:extent cx="2720340" cy="2345989"/>
            <wp:effectExtent l="0" t="0" r="3810" b="0"/>
            <wp:docPr id="5859829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82988" name="Imagem 58598298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4" t="2000" r="23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482" cy="2367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7D09AE" w14:textId="6185E397" w:rsidR="006D61EB" w:rsidRDefault="006D61EB" w:rsidP="006D61EB">
      <w:r>
        <w:rPr>
          <w:noProof/>
        </w:rPr>
        <w:drawing>
          <wp:inline distT="0" distB="0" distL="0" distR="0" wp14:anchorId="7BE59A46" wp14:editId="725AD140">
            <wp:extent cx="2677256" cy="2446020"/>
            <wp:effectExtent l="0" t="0" r="8890" b="0"/>
            <wp:docPr id="25071703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17039" name="Imagem 25071703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26" t="-502" r="17028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156" cy="2453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0B846E" wp14:editId="5DE441EE">
            <wp:extent cx="2477692" cy="2437810"/>
            <wp:effectExtent l="0" t="0" r="0" b="635"/>
            <wp:docPr id="167981240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12404" name="Imagem 1679812404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0" r="10235" b="879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08780" cy="2468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E91C2B" w14:textId="77777777" w:rsidR="006D61EB" w:rsidRPr="00F14119" w:rsidRDefault="006D61EB" w:rsidP="006D61EB">
      <w:pPr>
        <w:spacing w:line="360" w:lineRule="auto"/>
        <w:jc w:val="both"/>
        <w:rPr>
          <w:sz w:val="20"/>
          <w:szCs w:val="20"/>
        </w:rPr>
      </w:pPr>
      <w:r w:rsidRPr="00F14119">
        <w:rPr>
          <w:sz w:val="20"/>
          <w:szCs w:val="20"/>
        </w:rPr>
        <w:t>Foto: Autoras,2025.</w:t>
      </w:r>
    </w:p>
    <w:p w14:paraId="21EA9429" w14:textId="3BCB54A5" w:rsidR="006D61EB" w:rsidRPr="00677204" w:rsidRDefault="006D61EB" w:rsidP="006D61EB">
      <w:pPr>
        <w:spacing w:line="360" w:lineRule="auto"/>
        <w:ind w:firstLine="709"/>
        <w:jc w:val="both"/>
        <w:rPr>
          <w:sz w:val="24"/>
          <w:szCs w:val="24"/>
        </w:rPr>
      </w:pPr>
      <w:r w:rsidRPr="00677204">
        <w:rPr>
          <w:sz w:val="24"/>
          <w:szCs w:val="24"/>
        </w:rPr>
        <w:t xml:space="preserve">A ocorrência de </w:t>
      </w:r>
      <w:r w:rsidRPr="007F0867">
        <w:rPr>
          <w:i/>
          <w:iCs/>
          <w:sz w:val="24"/>
          <w:szCs w:val="24"/>
        </w:rPr>
        <w:t>Pestalotiopsis</w:t>
      </w:r>
      <w:r w:rsidRPr="00677204">
        <w:rPr>
          <w:sz w:val="24"/>
          <w:szCs w:val="24"/>
        </w:rPr>
        <w:t xml:space="preserve"> em espécies florestais amazônicas é consistente com relatos de sua ampla distribuição em ambientes tropicais e subtropicais, onde atua como patógeno oportunista em folhas, frutos e ramos (</w:t>
      </w:r>
      <w:r w:rsidR="007F0867">
        <w:rPr>
          <w:sz w:val="24"/>
          <w:szCs w:val="24"/>
        </w:rPr>
        <w:t>K</w:t>
      </w:r>
      <w:r w:rsidR="007F0867" w:rsidRPr="00677204">
        <w:rPr>
          <w:sz w:val="24"/>
          <w:szCs w:val="24"/>
        </w:rPr>
        <w:t>ruschewsky</w:t>
      </w:r>
      <w:r w:rsidRPr="00677204">
        <w:rPr>
          <w:sz w:val="24"/>
          <w:szCs w:val="24"/>
        </w:rPr>
        <w:t xml:space="preserve">; </w:t>
      </w:r>
      <w:r w:rsidR="007F0867">
        <w:rPr>
          <w:sz w:val="24"/>
          <w:szCs w:val="24"/>
        </w:rPr>
        <w:t>L</w:t>
      </w:r>
      <w:r w:rsidR="007F0867" w:rsidRPr="00677204">
        <w:rPr>
          <w:sz w:val="24"/>
          <w:szCs w:val="24"/>
        </w:rPr>
        <w:t>uz</w:t>
      </w:r>
      <w:r w:rsidRPr="00677204">
        <w:rPr>
          <w:sz w:val="24"/>
          <w:szCs w:val="24"/>
        </w:rPr>
        <w:t xml:space="preserve">; </w:t>
      </w:r>
      <w:r w:rsidR="007F0867">
        <w:rPr>
          <w:sz w:val="24"/>
          <w:szCs w:val="24"/>
        </w:rPr>
        <w:t>B</w:t>
      </w:r>
      <w:r w:rsidR="007F0867" w:rsidRPr="00677204">
        <w:rPr>
          <w:sz w:val="24"/>
          <w:szCs w:val="24"/>
        </w:rPr>
        <w:t>ezerra</w:t>
      </w:r>
      <w:r w:rsidRPr="00677204">
        <w:rPr>
          <w:sz w:val="24"/>
          <w:szCs w:val="24"/>
        </w:rPr>
        <w:t>, 2014). Segundo levantamento da Embrapa Amazônia Oriental, esse gênero já foi identificado em diversos hospedeiros no estado do Pará, reforçando a relevância regional dos achados deste estudo (EMBRAPA, 2013).</w:t>
      </w:r>
    </w:p>
    <w:p w14:paraId="3F42AA28" w14:textId="31FAF297" w:rsidR="006D61EB" w:rsidRPr="00677204" w:rsidRDefault="007F0867" w:rsidP="006D61E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Nossos resultado são co</w:t>
      </w:r>
      <w:r w:rsidR="0019414F">
        <w:rPr>
          <w:sz w:val="24"/>
          <w:szCs w:val="24"/>
        </w:rPr>
        <w:t>rrop</w:t>
      </w:r>
      <w:r>
        <w:rPr>
          <w:sz w:val="24"/>
          <w:szCs w:val="24"/>
        </w:rPr>
        <w:t xml:space="preserve">borados por  </w:t>
      </w:r>
      <w:r w:rsidRPr="00677204">
        <w:rPr>
          <w:sz w:val="24"/>
          <w:szCs w:val="24"/>
        </w:rPr>
        <w:t>S</w:t>
      </w:r>
      <w:r>
        <w:rPr>
          <w:sz w:val="24"/>
          <w:szCs w:val="24"/>
        </w:rPr>
        <w:t>ilva</w:t>
      </w:r>
      <w:r w:rsidRPr="00677204">
        <w:rPr>
          <w:sz w:val="24"/>
          <w:szCs w:val="24"/>
        </w:rPr>
        <w:t xml:space="preserve"> (2016), </w:t>
      </w:r>
      <w:r>
        <w:rPr>
          <w:sz w:val="24"/>
          <w:szCs w:val="24"/>
        </w:rPr>
        <w:t xml:space="preserve">que descreve que </w:t>
      </w:r>
      <w:r w:rsidR="006D61EB" w:rsidRPr="00677204">
        <w:rPr>
          <w:sz w:val="24"/>
          <w:szCs w:val="24"/>
        </w:rPr>
        <w:t xml:space="preserve">os conídios de </w:t>
      </w:r>
      <w:r w:rsidR="006D61EB" w:rsidRPr="008C11E2">
        <w:rPr>
          <w:i/>
          <w:iCs/>
          <w:sz w:val="24"/>
          <w:szCs w:val="24"/>
        </w:rPr>
        <w:lastRenderedPageBreak/>
        <w:t>Pestalotiopsis</w:t>
      </w:r>
      <w:r w:rsidR="006D61EB" w:rsidRPr="00677204">
        <w:rPr>
          <w:sz w:val="24"/>
          <w:szCs w:val="24"/>
        </w:rPr>
        <w:t xml:space="preserve"> spp. são facilmente reconhecíveis por sua estrutura pentacelular e presença de apêndices, o que os torna um marcador morfológico confiável para diagnóstico inicial. Essa característica é especialmente útil em ambientes de campo e laboratório com recursos limitados, onde técnicas moleculares não estão disponíveis.</w:t>
      </w:r>
    </w:p>
    <w:p w14:paraId="7B86A262" w14:textId="77777777" w:rsidR="006D61EB" w:rsidRPr="00677204" w:rsidRDefault="006D61EB" w:rsidP="006D61EB">
      <w:pPr>
        <w:spacing w:line="360" w:lineRule="auto"/>
        <w:ind w:firstLine="709"/>
        <w:jc w:val="both"/>
        <w:rPr>
          <w:sz w:val="24"/>
          <w:szCs w:val="24"/>
        </w:rPr>
      </w:pPr>
      <w:r w:rsidRPr="00677204">
        <w:rPr>
          <w:sz w:val="24"/>
          <w:szCs w:val="24"/>
        </w:rPr>
        <w:t xml:space="preserve">Além disso, a coloração natural das células medianas (marrom-oliváceas) e a transparência das extremidades facilitam a distinção de </w:t>
      </w:r>
      <w:r w:rsidRPr="007F0867">
        <w:rPr>
          <w:i/>
          <w:iCs/>
          <w:sz w:val="24"/>
          <w:szCs w:val="24"/>
        </w:rPr>
        <w:t>Pestalotiopsis</w:t>
      </w:r>
      <w:r w:rsidRPr="00677204">
        <w:rPr>
          <w:sz w:val="24"/>
          <w:szCs w:val="24"/>
        </w:rPr>
        <w:t xml:space="preserve"> de outros gêneros morfologicamente semelhantes, como a  </w:t>
      </w:r>
      <w:r w:rsidRPr="007F0867">
        <w:rPr>
          <w:i/>
          <w:iCs/>
          <w:sz w:val="24"/>
          <w:szCs w:val="24"/>
        </w:rPr>
        <w:t>Alternaria</w:t>
      </w:r>
      <w:r w:rsidRPr="00677204">
        <w:rPr>
          <w:sz w:val="24"/>
          <w:szCs w:val="24"/>
        </w:rPr>
        <w:t xml:space="preserve"> ou </w:t>
      </w:r>
      <w:r w:rsidRPr="007F0867">
        <w:rPr>
          <w:i/>
          <w:iCs/>
          <w:sz w:val="24"/>
          <w:szCs w:val="24"/>
        </w:rPr>
        <w:t>Colletotrichum</w:t>
      </w:r>
      <w:r w:rsidRPr="00677204">
        <w:rPr>
          <w:sz w:val="24"/>
          <w:szCs w:val="24"/>
        </w:rPr>
        <w:t>, que possuem conídios com organização celular distinta.</w:t>
      </w:r>
    </w:p>
    <w:p w14:paraId="51CB26D7" w14:textId="5BB35DFC" w:rsidR="006D61EB" w:rsidRPr="00EC3717" w:rsidRDefault="006D61EB" w:rsidP="00EC3717">
      <w:pPr>
        <w:spacing w:line="360" w:lineRule="auto"/>
        <w:ind w:firstLine="709"/>
        <w:jc w:val="both"/>
        <w:rPr>
          <w:sz w:val="24"/>
          <w:szCs w:val="24"/>
        </w:rPr>
      </w:pPr>
      <w:r w:rsidRPr="00677204">
        <w:rPr>
          <w:sz w:val="24"/>
          <w:szCs w:val="24"/>
        </w:rPr>
        <w:t xml:space="preserve">Dos 33 isolados fúngicos obtidos por técnicas de isolamento direto e indireto, todos foram reativados em meio BDA e inoculados novamente em folhas sadias das respectivas espécies. Após o período de incubação, apenas 19 isolados foram capazes de reproduzir os sintomas originais observados em campo (Tabela </w:t>
      </w:r>
      <w:r w:rsidR="00EC3717">
        <w:rPr>
          <w:sz w:val="24"/>
          <w:szCs w:val="24"/>
        </w:rPr>
        <w:t>1</w:t>
      </w:r>
      <w:r w:rsidRPr="00677204">
        <w:rPr>
          <w:sz w:val="24"/>
          <w:szCs w:val="24"/>
        </w:rPr>
        <w:t>), confirmando sua patogenicidade segundo os postulados de Koch (</w:t>
      </w:r>
      <w:r w:rsidR="007F0867">
        <w:rPr>
          <w:sz w:val="24"/>
          <w:szCs w:val="24"/>
        </w:rPr>
        <w:t>A</w:t>
      </w:r>
      <w:r w:rsidR="007F0867" w:rsidRPr="00677204">
        <w:rPr>
          <w:sz w:val="24"/>
          <w:szCs w:val="24"/>
        </w:rPr>
        <w:t>grios</w:t>
      </w:r>
      <w:r w:rsidRPr="00677204">
        <w:rPr>
          <w:sz w:val="24"/>
          <w:szCs w:val="24"/>
        </w:rPr>
        <w:t>, 2</w:t>
      </w:r>
      <w:r w:rsidR="007F0867">
        <w:rPr>
          <w:sz w:val="24"/>
          <w:szCs w:val="24"/>
        </w:rPr>
        <w:t>02</w:t>
      </w:r>
      <w:r w:rsidRPr="00677204">
        <w:rPr>
          <w:sz w:val="24"/>
          <w:szCs w:val="24"/>
        </w:rPr>
        <w:t>5). Esse resultado indica que nem todos os microrganismos presentes em tecidos sintomáticos são agentes etiológicos da doença, podendo incluir endófitos ou saprófitos não patogênicos (</w:t>
      </w:r>
      <w:r w:rsidR="007F0867">
        <w:rPr>
          <w:sz w:val="24"/>
          <w:szCs w:val="24"/>
        </w:rPr>
        <w:t>P</w:t>
      </w:r>
      <w:r w:rsidR="007F0867" w:rsidRPr="00677204">
        <w:rPr>
          <w:sz w:val="24"/>
          <w:szCs w:val="24"/>
        </w:rPr>
        <w:t>etrini</w:t>
      </w:r>
      <w:r w:rsidRPr="00677204">
        <w:rPr>
          <w:sz w:val="24"/>
          <w:szCs w:val="24"/>
        </w:rPr>
        <w:t>, 1991).</w:t>
      </w:r>
    </w:p>
    <w:p w14:paraId="799DDD18" w14:textId="77777777" w:rsidR="006D61EB" w:rsidRDefault="006D61EB" w:rsidP="006D61EB">
      <w:pPr>
        <w:spacing w:line="360" w:lineRule="auto"/>
        <w:ind w:firstLine="709"/>
        <w:jc w:val="both"/>
        <w:rPr>
          <w:b/>
          <w:bCs/>
        </w:rPr>
      </w:pPr>
    </w:p>
    <w:p w14:paraId="3837DD80" w14:textId="2B0CF1E0" w:rsidR="006D61EB" w:rsidRPr="00790D3A" w:rsidRDefault="006D61EB" w:rsidP="007F0867">
      <w:pPr>
        <w:spacing w:line="360" w:lineRule="auto"/>
        <w:jc w:val="both"/>
      </w:pPr>
      <w:r w:rsidRPr="00790D3A">
        <w:t xml:space="preserve">Tabela </w:t>
      </w:r>
      <w:r w:rsidR="00EC3717" w:rsidRPr="00790D3A">
        <w:t>1</w:t>
      </w:r>
      <w:r w:rsidRPr="00790D3A">
        <w:t xml:space="preserve"> – Armazenamento dos fungos do Postulado de Koch.</w:t>
      </w:r>
    </w:p>
    <w:tbl>
      <w:tblPr>
        <w:tblStyle w:val="SimplesTabela2"/>
        <w:tblW w:w="7400" w:type="dxa"/>
        <w:tblLook w:val="04A0" w:firstRow="1" w:lastRow="0" w:firstColumn="1" w:lastColumn="0" w:noHBand="0" w:noVBand="1"/>
      </w:tblPr>
      <w:tblGrid>
        <w:gridCol w:w="1599"/>
        <w:gridCol w:w="2370"/>
        <w:gridCol w:w="1390"/>
        <w:gridCol w:w="2041"/>
      </w:tblGrid>
      <w:tr w:rsidR="006D61EB" w:rsidRPr="00087DB8" w14:paraId="7C59C39E" w14:textId="77777777" w:rsidTr="00BE4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0" w:type="dxa"/>
            <w:gridSpan w:val="4"/>
            <w:noWrap/>
            <w:hideMark/>
          </w:tcPr>
          <w:p w14:paraId="52395409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ARMAZENAMENTO DE FUNGOS</w:t>
            </w:r>
          </w:p>
        </w:tc>
      </w:tr>
      <w:tr w:rsidR="006D61EB" w:rsidRPr="00087DB8" w14:paraId="2DECFF82" w14:textId="77777777" w:rsidTr="00BE4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1AB28940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Nº de Acesso</w:t>
            </w:r>
          </w:p>
        </w:tc>
        <w:tc>
          <w:tcPr>
            <w:tcW w:w="2370" w:type="dxa"/>
            <w:noWrap/>
            <w:hideMark/>
          </w:tcPr>
          <w:p w14:paraId="4E4811AC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Espécie (folha)</w:t>
            </w:r>
          </w:p>
        </w:tc>
        <w:tc>
          <w:tcPr>
            <w:tcW w:w="1390" w:type="dxa"/>
            <w:noWrap/>
            <w:hideMark/>
          </w:tcPr>
          <w:p w14:paraId="3DDAE0E1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Isolamento</w:t>
            </w:r>
          </w:p>
        </w:tc>
        <w:tc>
          <w:tcPr>
            <w:tcW w:w="2041" w:type="dxa"/>
            <w:noWrap/>
            <w:hideMark/>
          </w:tcPr>
          <w:p w14:paraId="10F1F913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Armazenamento</w:t>
            </w:r>
          </w:p>
        </w:tc>
      </w:tr>
      <w:tr w:rsidR="006D61EB" w:rsidRPr="00087DB8" w14:paraId="6DBAEF24" w14:textId="77777777" w:rsidTr="00BE4D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7812DB24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8°</w:t>
            </w:r>
          </w:p>
        </w:tc>
        <w:tc>
          <w:tcPr>
            <w:tcW w:w="2370" w:type="dxa"/>
            <w:noWrap/>
            <w:hideMark/>
          </w:tcPr>
          <w:p w14:paraId="066DE7C5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Tatapiririca</w:t>
            </w:r>
          </w:p>
        </w:tc>
        <w:tc>
          <w:tcPr>
            <w:tcW w:w="1390" w:type="dxa"/>
            <w:noWrap/>
            <w:hideMark/>
          </w:tcPr>
          <w:p w14:paraId="4161356D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494B6DAA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7FBC3D77" w14:textId="77777777" w:rsidTr="00BE4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377536DC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11°</w:t>
            </w:r>
          </w:p>
        </w:tc>
        <w:tc>
          <w:tcPr>
            <w:tcW w:w="2370" w:type="dxa"/>
            <w:noWrap/>
            <w:hideMark/>
          </w:tcPr>
          <w:p w14:paraId="26C6564A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Ipê-Rosa</w:t>
            </w:r>
          </w:p>
        </w:tc>
        <w:tc>
          <w:tcPr>
            <w:tcW w:w="1390" w:type="dxa"/>
            <w:noWrap/>
            <w:hideMark/>
          </w:tcPr>
          <w:p w14:paraId="21E9097C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Indireto</w:t>
            </w:r>
          </w:p>
        </w:tc>
        <w:tc>
          <w:tcPr>
            <w:tcW w:w="2041" w:type="dxa"/>
            <w:noWrap/>
            <w:hideMark/>
          </w:tcPr>
          <w:p w14:paraId="041DA128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4D201CE4" w14:textId="77777777" w:rsidTr="00BE4D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738EF870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12°</w:t>
            </w:r>
          </w:p>
        </w:tc>
        <w:tc>
          <w:tcPr>
            <w:tcW w:w="2370" w:type="dxa"/>
            <w:noWrap/>
            <w:hideMark/>
          </w:tcPr>
          <w:p w14:paraId="4EDDC46B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Tatapiririca</w:t>
            </w:r>
          </w:p>
        </w:tc>
        <w:tc>
          <w:tcPr>
            <w:tcW w:w="1390" w:type="dxa"/>
            <w:noWrap/>
            <w:hideMark/>
          </w:tcPr>
          <w:p w14:paraId="2CC50DB8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1EAC254F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29C42591" w14:textId="77777777" w:rsidTr="00BE4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640144D2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15°</w:t>
            </w:r>
          </w:p>
        </w:tc>
        <w:tc>
          <w:tcPr>
            <w:tcW w:w="2370" w:type="dxa"/>
            <w:noWrap/>
            <w:hideMark/>
          </w:tcPr>
          <w:p w14:paraId="1FBA1F02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Eucalipto</w:t>
            </w:r>
          </w:p>
        </w:tc>
        <w:tc>
          <w:tcPr>
            <w:tcW w:w="1390" w:type="dxa"/>
            <w:noWrap/>
            <w:hideMark/>
          </w:tcPr>
          <w:p w14:paraId="424446B9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505A0D7C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10277C10" w14:textId="77777777" w:rsidTr="00BE4D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64E1E525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22°</w:t>
            </w:r>
          </w:p>
        </w:tc>
        <w:tc>
          <w:tcPr>
            <w:tcW w:w="2370" w:type="dxa"/>
            <w:noWrap/>
            <w:hideMark/>
          </w:tcPr>
          <w:p w14:paraId="4920A27E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Eucalipto</w:t>
            </w:r>
          </w:p>
        </w:tc>
        <w:tc>
          <w:tcPr>
            <w:tcW w:w="1390" w:type="dxa"/>
            <w:noWrap/>
            <w:hideMark/>
          </w:tcPr>
          <w:p w14:paraId="0406A4C1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Indireto</w:t>
            </w:r>
          </w:p>
        </w:tc>
        <w:tc>
          <w:tcPr>
            <w:tcW w:w="2041" w:type="dxa"/>
            <w:noWrap/>
            <w:hideMark/>
          </w:tcPr>
          <w:p w14:paraId="0DEB1F96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648458C0" w14:textId="77777777" w:rsidTr="00BE4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55CF18A0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29°</w:t>
            </w:r>
          </w:p>
        </w:tc>
        <w:tc>
          <w:tcPr>
            <w:tcW w:w="2370" w:type="dxa"/>
            <w:noWrap/>
            <w:hideMark/>
          </w:tcPr>
          <w:p w14:paraId="04F08F6A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Pau-Pretinho</w:t>
            </w:r>
          </w:p>
        </w:tc>
        <w:tc>
          <w:tcPr>
            <w:tcW w:w="1390" w:type="dxa"/>
            <w:noWrap/>
            <w:hideMark/>
          </w:tcPr>
          <w:p w14:paraId="1BBA8E75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Indireto</w:t>
            </w:r>
          </w:p>
        </w:tc>
        <w:tc>
          <w:tcPr>
            <w:tcW w:w="2041" w:type="dxa"/>
            <w:noWrap/>
            <w:hideMark/>
          </w:tcPr>
          <w:p w14:paraId="5EF7D3C7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71FE5D55" w14:textId="77777777" w:rsidTr="00BE4D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444DA753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34°</w:t>
            </w:r>
          </w:p>
        </w:tc>
        <w:tc>
          <w:tcPr>
            <w:tcW w:w="2370" w:type="dxa"/>
            <w:noWrap/>
            <w:hideMark/>
          </w:tcPr>
          <w:p w14:paraId="7218F25E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Jatobá</w:t>
            </w:r>
          </w:p>
        </w:tc>
        <w:tc>
          <w:tcPr>
            <w:tcW w:w="1390" w:type="dxa"/>
            <w:noWrap/>
            <w:hideMark/>
          </w:tcPr>
          <w:p w14:paraId="4216EA79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042DF436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566ECDAC" w14:textId="77777777" w:rsidTr="00BE4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464F7C0A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lastRenderedPageBreak/>
              <w:t>36°</w:t>
            </w:r>
          </w:p>
        </w:tc>
        <w:tc>
          <w:tcPr>
            <w:tcW w:w="2370" w:type="dxa"/>
            <w:noWrap/>
            <w:hideMark/>
          </w:tcPr>
          <w:p w14:paraId="725676B4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Acapú</w:t>
            </w:r>
          </w:p>
        </w:tc>
        <w:tc>
          <w:tcPr>
            <w:tcW w:w="1390" w:type="dxa"/>
            <w:noWrap/>
            <w:hideMark/>
          </w:tcPr>
          <w:p w14:paraId="7A14C6E1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Indireto</w:t>
            </w:r>
          </w:p>
        </w:tc>
        <w:tc>
          <w:tcPr>
            <w:tcW w:w="2041" w:type="dxa"/>
            <w:noWrap/>
            <w:hideMark/>
          </w:tcPr>
          <w:p w14:paraId="0A1EB0BC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4432CFD2" w14:textId="77777777" w:rsidTr="00BE4D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73D53438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4°</w:t>
            </w:r>
          </w:p>
        </w:tc>
        <w:tc>
          <w:tcPr>
            <w:tcW w:w="2370" w:type="dxa"/>
            <w:noWrap/>
            <w:hideMark/>
          </w:tcPr>
          <w:p w14:paraId="55414865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Pau-Pretinho</w:t>
            </w:r>
          </w:p>
        </w:tc>
        <w:tc>
          <w:tcPr>
            <w:tcW w:w="1390" w:type="dxa"/>
            <w:noWrap/>
            <w:hideMark/>
          </w:tcPr>
          <w:p w14:paraId="448334DD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788FEAE2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4B7F10F3" w14:textId="77777777" w:rsidTr="00BE4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6C5B7E88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13°</w:t>
            </w:r>
          </w:p>
        </w:tc>
        <w:tc>
          <w:tcPr>
            <w:tcW w:w="2370" w:type="dxa"/>
            <w:noWrap/>
            <w:hideMark/>
          </w:tcPr>
          <w:p w14:paraId="0D12200B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Tatapiririca</w:t>
            </w:r>
          </w:p>
        </w:tc>
        <w:tc>
          <w:tcPr>
            <w:tcW w:w="1390" w:type="dxa"/>
            <w:noWrap/>
            <w:hideMark/>
          </w:tcPr>
          <w:p w14:paraId="0B640A8F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17F5CB25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1A95FDCD" w14:textId="77777777" w:rsidTr="00BE4D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64BA1131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24°</w:t>
            </w:r>
          </w:p>
        </w:tc>
        <w:tc>
          <w:tcPr>
            <w:tcW w:w="2370" w:type="dxa"/>
            <w:noWrap/>
            <w:hideMark/>
          </w:tcPr>
          <w:p w14:paraId="5132799D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Jatobá</w:t>
            </w:r>
          </w:p>
        </w:tc>
        <w:tc>
          <w:tcPr>
            <w:tcW w:w="1390" w:type="dxa"/>
            <w:noWrap/>
            <w:hideMark/>
          </w:tcPr>
          <w:p w14:paraId="18705CB2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29A0D848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0439D0CA" w14:textId="77777777" w:rsidTr="00BE4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07366B6E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52°</w:t>
            </w:r>
          </w:p>
        </w:tc>
        <w:tc>
          <w:tcPr>
            <w:tcW w:w="2370" w:type="dxa"/>
            <w:noWrap/>
            <w:hideMark/>
          </w:tcPr>
          <w:p w14:paraId="4DC41927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Limão</w:t>
            </w:r>
          </w:p>
        </w:tc>
        <w:tc>
          <w:tcPr>
            <w:tcW w:w="1390" w:type="dxa"/>
            <w:noWrap/>
            <w:hideMark/>
          </w:tcPr>
          <w:p w14:paraId="7705BDDD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Indireto</w:t>
            </w:r>
          </w:p>
        </w:tc>
        <w:tc>
          <w:tcPr>
            <w:tcW w:w="2041" w:type="dxa"/>
            <w:noWrap/>
            <w:hideMark/>
          </w:tcPr>
          <w:p w14:paraId="3251B92D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735AB5F3" w14:textId="77777777" w:rsidTr="00BE4D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390B75E7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14°</w:t>
            </w:r>
          </w:p>
        </w:tc>
        <w:tc>
          <w:tcPr>
            <w:tcW w:w="2370" w:type="dxa"/>
            <w:noWrap/>
            <w:hideMark/>
          </w:tcPr>
          <w:p w14:paraId="07B6F251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Tatapiririca</w:t>
            </w:r>
          </w:p>
        </w:tc>
        <w:tc>
          <w:tcPr>
            <w:tcW w:w="1390" w:type="dxa"/>
            <w:noWrap/>
            <w:hideMark/>
          </w:tcPr>
          <w:p w14:paraId="107AC746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513B8499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65D06DE9" w14:textId="77777777" w:rsidTr="00BE4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7A031958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16°</w:t>
            </w:r>
          </w:p>
        </w:tc>
        <w:tc>
          <w:tcPr>
            <w:tcW w:w="2370" w:type="dxa"/>
            <w:noWrap/>
            <w:hideMark/>
          </w:tcPr>
          <w:p w14:paraId="63F03EBA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Limão Siciliano</w:t>
            </w:r>
          </w:p>
        </w:tc>
        <w:tc>
          <w:tcPr>
            <w:tcW w:w="1390" w:type="dxa"/>
            <w:noWrap/>
            <w:hideMark/>
          </w:tcPr>
          <w:p w14:paraId="12A345DB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1CBBA5B2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7EA9DF67" w14:textId="77777777" w:rsidTr="00BE4D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08157218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30°</w:t>
            </w:r>
          </w:p>
        </w:tc>
        <w:tc>
          <w:tcPr>
            <w:tcW w:w="2370" w:type="dxa"/>
            <w:noWrap/>
            <w:hideMark/>
          </w:tcPr>
          <w:p w14:paraId="39C6AC28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Mata-mata Vermelho</w:t>
            </w:r>
          </w:p>
        </w:tc>
        <w:tc>
          <w:tcPr>
            <w:tcW w:w="1390" w:type="dxa"/>
            <w:noWrap/>
            <w:hideMark/>
          </w:tcPr>
          <w:p w14:paraId="15C73F2B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17CF16C9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15CB912B" w14:textId="77777777" w:rsidTr="00BE4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55EC7012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38°</w:t>
            </w:r>
          </w:p>
        </w:tc>
        <w:tc>
          <w:tcPr>
            <w:tcW w:w="2370" w:type="dxa"/>
            <w:noWrap/>
            <w:hideMark/>
          </w:tcPr>
          <w:p w14:paraId="6A9453E7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Eucalipto</w:t>
            </w:r>
          </w:p>
        </w:tc>
        <w:tc>
          <w:tcPr>
            <w:tcW w:w="1390" w:type="dxa"/>
            <w:noWrap/>
            <w:hideMark/>
          </w:tcPr>
          <w:p w14:paraId="5763BE4D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Indireto</w:t>
            </w:r>
          </w:p>
        </w:tc>
        <w:tc>
          <w:tcPr>
            <w:tcW w:w="2041" w:type="dxa"/>
            <w:noWrap/>
            <w:hideMark/>
          </w:tcPr>
          <w:p w14:paraId="288873B4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26E171F3" w14:textId="77777777" w:rsidTr="00BE4D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3D8CCAC1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40°</w:t>
            </w:r>
          </w:p>
        </w:tc>
        <w:tc>
          <w:tcPr>
            <w:tcW w:w="2370" w:type="dxa"/>
            <w:noWrap/>
            <w:hideMark/>
          </w:tcPr>
          <w:p w14:paraId="5D4B276D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Pupunha</w:t>
            </w:r>
          </w:p>
        </w:tc>
        <w:tc>
          <w:tcPr>
            <w:tcW w:w="1390" w:type="dxa"/>
            <w:noWrap/>
            <w:hideMark/>
          </w:tcPr>
          <w:p w14:paraId="27346E38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21752A38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494E7C4B" w14:textId="77777777" w:rsidTr="00BE4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31DD3552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41°</w:t>
            </w:r>
          </w:p>
        </w:tc>
        <w:tc>
          <w:tcPr>
            <w:tcW w:w="2370" w:type="dxa"/>
            <w:noWrap/>
            <w:hideMark/>
          </w:tcPr>
          <w:p w14:paraId="0E534D8E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Cumaru</w:t>
            </w:r>
          </w:p>
        </w:tc>
        <w:tc>
          <w:tcPr>
            <w:tcW w:w="1390" w:type="dxa"/>
            <w:noWrap/>
            <w:hideMark/>
          </w:tcPr>
          <w:p w14:paraId="2CD2EDFE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 xml:space="preserve">Direto </w:t>
            </w:r>
          </w:p>
        </w:tc>
        <w:tc>
          <w:tcPr>
            <w:tcW w:w="2041" w:type="dxa"/>
            <w:noWrap/>
            <w:hideMark/>
          </w:tcPr>
          <w:p w14:paraId="330105F6" w14:textId="77777777" w:rsidR="006D61EB" w:rsidRPr="00C81629" w:rsidRDefault="006D61EB" w:rsidP="00C81629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  <w:tr w:rsidR="006D61EB" w:rsidRPr="00087DB8" w14:paraId="78996BF2" w14:textId="77777777" w:rsidTr="00BE4D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hideMark/>
          </w:tcPr>
          <w:p w14:paraId="63031F7D" w14:textId="77777777" w:rsidR="006D61EB" w:rsidRPr="00C81629" w:rsidRDefault="006D61EB" w:rsidP="00C81629">
            <w:pPr>
              <w:spacing w:after="160" w:line="360" w:lineRule="auto"/>
              <w:jc w:val="both"/>
              <w:rPr>
                <w:bCs w:val="0"/>
              </w:rPr>
            </w:pPr>
            <w:r w:rsidRPr="00C81629">
              <w:rPr>
                <w:bCs w:val="0"/>
              </w:rPr>
              <w:t>44°</w:t>
            </w:r>
          </w:p>
        </w:tc>
        <w:tc>
          <w:tcPr>
            <w:tcW w:w="2370" w:type="dxa"/>
            <w:noWrap/>
            <w:hideMark/>
          </w:tcPr>
          <w:p w14:paraId="09DBDAE0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Pupunha</w:t>
            </w:r>
          </w:p>
        </w:tc>
        <w:tc>
          <w:tcPr>
            <w:tcW w:w="1390" w:type="dxa"/>
            <w:noWrap/>
            <w:hideMark/>
          </w:tcPr>
          <w:p w14:paraId="52687C65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Indireto</w:t>
            </w:r>
          </w:p>
        </w:tc>
        <w:tc>
          <w:tcPr>
            <w:tcW w:w="2041" w:type="dxa"/>
            <w:noWrap/>
            <w:hideMark/>
          </w:tcPr>
          <w:p w14:paraId="0D79114D" w14:textId="77777777" w:rsidR="006D61EB" w:rsidRPr="00C81629" w:rsidRDefault="006D61EB" w:rsidP="00C81629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1629">
              <w:rPr>
                <w:b/>
              </w:rPr>
              <w:t>Água/3C</w:t>
            </w:r>
          </w:p>
        </w:tc>
      </w:tr>
    </w:tbl>
    <w:p w14:paraId="30CF0CDD" w14:textId="77777777" w:rsidR="006D61EB" w:rsidRPr="00DF23B8" w:rsidRDefault="006D61EB" w:rsidP="006D61EB">
      <w:pPr>
        <w:spacing w:line="360" w:lineRule="auto"/>
        <w:ind w:firstLine="709"/>
        <w:jc w:val="both"/>
      </w:pPr>
      <w:r w:rsidRPr="00DF23B8">
        <w:t>Fonte: Autora, 2025.</w:t>
      </w:r>
    </w:p>
    <w:p w14:paraId="109369C6" w14:textId="77777777" w:rsidR="006662EF" w:rsidRDefault="006662EF" w:rsidP="00EC3717">
      <w:pPr>
        <w:spacing w:line="360" w:lineRule="auto"/>
        <w:ind w:firstLine="709"/>
        <w:jc w:val="both"/>
        <w:rPr>
          <w:sz w:val="24"/>
          <w:szCs w:val="24"/>
        </w:rPr>
      </w:pPr>
    </w:p>
    <w:p w14:paraId="35EE6F2D" w14:textId="6ACE7A54" w:rsidR="006D61EB" w:rsidRPr="00EC3717" w:rsidRDefault="006D61EB" w:rsidP="00EC3717">
      <w:pPr>
        <w:spacing w:line="360" w:lineRule="auto"/>
        <w:ind w:firstLine="709"/>
        <w:jc w:val="both"/>
        <w:rPr>
          <w:sz w:val="24"/>
          <w:szCs w:val="24"/>
        </w:rPr>
      </w:pPr>
      <w:r w:rsidRPr="00677204">
        <w:rPr>
          <w:sz w:val="24"/>
          <w:szCs w:val="24"/>
        </w:rPr>
        <w:t xml:space="preserve">Um dos isolados obtidos de folhas de </w:t>
      </w:r>
      <w:r w:rsidRPr="006662EF">
        <w:rPr>
          <w:i/>
          <w:iCs/>
          <w:sz w:val="24"/>
          <w:szCs w:val="24"/>
        </w:rPr>
        <w:t>Bactris</w:t>
      </w:r>
      <w:r w:rsidRPr="00677204">
        <w:rPr>
          <w:sz w:val="24"/>
          <w:szCs w:val="24"/>
        </w:rPr>
        <w:t xml:space="preserve"> </w:t>
      </w:r>
      <w:r w:rsidRPr="006662EF">
        <w:rPr>
          <w:i/>
          <w:iCs/>
          <w:sz w:val="24"/>
          <w:szCs w:val="24"/>
        </w:rPr>
        <w:t>gasipaes</w:t>
      </w:r>
      <w:r w:rsidRPr="00677204">
        <w:rPr>
          <w:sz w:val="24"/>
          <w:szCs w:val="24"/>
        </w:rPr>
        <w:t xml:space="preserve"> (Pupunha) apresentou características morfológicas distintas: colônia com coloração rosa predominante, com variações de tons amarelos e branco na borda (Figura </w:t>
      </w:r>
      <w:r w:rsidR="008C11E2">
        <w:rPr>
          <w:sz w:val="24"/>
          <w:szCs w:val="24"/>
        </w:rPr>
        <w:t>2</w:t>
      </w:r>
      <w:r w:rsidRPr="00677204">
        <w:rPr>
          <w:sz w:val="24"/>
          <w:szCs w:val="24"/>
        </w:rPr>
        <w:t>). Apesar da ausência de esporos visíveis ao microscópio</w:t>
      </w:r>
      <w:r w:rsidR="006662EF">
        <w:rPr>
          <w:sz w:val="24"/>
          <w:szCs w:val="24"/>
        </w:rPr>
        <w:t xml:space="preserve">, </w:t>
      </w:r>
      <w:r w:rsidRPr="00677204">
        <w:rPr>
          <w:sz w:val="24"/>
          <w:szCs w:val="24"/>
        </w:rPr>
        <w:t>indicando estágio de maturação incompleto</w:t>
      </w:r>
      <w:r w:rsidR="006662EF">
        <w:rPr>
          <w:sz w:val="24"/>
          <w:szCs w:val="24"/>
        </w:rPr>
        <w:t>,</w:t>
      </w:r>
      <w:r w:rsidRPr="00677204">
        <w:rPr>
          <w:sz w:val="24"/>
          <w:szCs w:val="24"/>
        </w:rPr>
        <w:t xml:space="preserve"> todas as folhas inoculadas com esse isolado desenvolveram sintomas compatíveis com os observados na coleta original. Essa evidência reforça o valor diagnóstico do teste de patogenicidade, mesmo quando a caracterização morfológica está limitada. A coloração observada sugere possível associação com fungos do gênero </w:t>
      </w:r>
      <w:r w:rsidRPr="006662EF">
        <w:rPr>
          <w:i/>
          <w:iCs/>
          <w:sz w:val="24"/>
          <w:szCs w:val="24"/>
        </w:rPr>
        <w:t>Fusarium</w:t>
      </w:r>
      <w:r w:rsidRPr="00677204">
        <w:rPr>
          <w:sz w:val="24"/>
          <w:szCs w:val="24"/>
        </w:rPr>
        <w:t>, ambos conhecidos por apresentar variações cromáticas e comportamento patogênico em palmeiras tropicais (</w:t>
      </w:r>
      <w:r w:rsidR="006662EF">
        <w:rPr>
          <w:sz w:val="24"/>
          <w:szCs w:val="24"/>
        </w:rPr>
        <w:t>L</w:t>
      </w:r>
      <w:r w:rsidR="006662EF" w:rsidRPr="00677204">
        <w:rPr>
          <w:sz w:val="24"/>
          <w:szCs w:val="24"/>
        </w:rPr>
        <w:t xml:space="preserve">eslie; </w:t>
      </w:r>
      <w:r w:rsidR="006662EF">
        <w:rPr>
          <w:sz w:val="24"/>
          <w:szCs w:val="24"/>
        </w:rPr>
        <w:t>S</w:t>
      </w:r>
      <w:r w:rsidR="006662EF" w:rsidRPr="00677204">
        <w:rPr>
          <w:sz w:val="24"/>
          <w:szCs w:val="24"/>
        </w:rPr>
        <w:t>ummerell,</w:t>
      </w:r>
      <w:r w:rsidRPr="00677204">
        <w:rPr>
          <w:sz w:val="24"/>
          <w:szCs w:val="24"/>
        </w:rPr>
        <w:t xml:space="preserve"> 2006).</w:t>
      </w:r>
    </w:p>
    <w:p w14:paraId="172BE665" w14:textId="77777777" w:rsidR="006D61EB" w:rsidRDefault="006D61EB" w:rsidP="006D61EB">
      <w:pPr>
        <w:spacing w:line="360" w:lineRule="auto"/>
        <w:ind w:firstLine="709"/>
        <w:jc w:val="both"/>
        <w:rPr>
          <w:b/>
          <w:bCs/>
          <w:sz w:val="20"/>
          <w:szCs w:val="20"/>
        </w:rPr>
      </w:pPr>
    </w:p>
    <w:p w14:paraId="0F276C5B" w14:textId="77777777" w:rsidR="006662EF" w:rsidRDefault="006662EF" w:rsidP="006D61EB">
      <w:pPr>
        <w:spacing w:line="360" w:lineRule="auto"/>
        <w:ind w:firstLine="709"/>
        <w:jc w:val="both"/>
        <w:rPr>
          <w:b/>
          <w:bCs/>
          <w:sz w:val="20"/>
          <w:szCs w:val="20"/>
        </w:rPr>
      </w:pPr>
    </w:p>
    <w:p w14:paraId="6F40994B" w14:textId="77777777" w:rsidR="006662EF" w:rsidRDefault="006662EF" w:rsidP="006D61EB">
      <w:pPr>
        <w:spacing w:line="360" w:lineRule="auto"/>
        <w:ind w:firstLine="709"/>
        <w:jc w:val="both"/>
        <w:rPr>
          <w:b/>
          <w:bCs/>
          <w:sz w:val="20"/>
          <w:szCs w:val="20"/>
        </w:rPr>
      </w:pPr>
    </w:p>
    <w:p w14:paraId="3E7C0DF4" w14:textId="77777777" w:rsidR="006662EF" w:rsidRDefault="006662EF" w:rsidP="006D61EB">
      <w:pPr>
        <w:spacing w:line="360" w:lineRule="auto"/>
        <w:ind w:firstLine="709"/>
        <w:jc w:val="both"/>
        <w:rPr>
          <w:b/>
          <w:bCs/>
          <w:sz w:val="20"/>
          <w:szCs w:val="20"/>
        </w:rPr>
      </w:pPr>
    </w:p>
    <w:p w14:paraId="66B3D81A" w14:textId="77777777" w:rsidR="006662EF" w:rsidRDefault="006D61EB" w:rsidP="006662EF">
      <w:pPr>
        <w:ind w:left="709"/>
        <w:jc w:val="both"/>
        <w:rPr>
          <w:highlight w:val="white"/>
        </w:rPr>
      </w:pPr>
      <w:r w:rsidRPr="00790D3A">
        <w:rPr>
          <w:highlight w:val="white"/>
        </w:rPr>
        <w:lastRenderedPageBreak/>
        <w:t xml:space="preserve">Figura 8 – Placas com o fungo da Pupunha (Bactris gasipaes Kunth), preparado para o </w:t>
      </w:r>
    </w:p>
    <w:p w14:paraId="0A326A64" w14:textId="0C6A57B8" w:rsidR="006D61EB" w:rsidRDefault="006D61EB" w:rsidP="006662EF">
      <w:pPr>
        <w:ind w:left="709"/>
        <w:jc w:val="both"/>
      </w:pPr>
      <w:r w:rsidRPr="00790D3A">
        <w:rPr>
          <w:highlight w:val="white"/>
        </w:rPr>
        <w:t>postulado</w:t>
      </w:r>
      <w:r>
        <w:t xml:space="preserve"> e para lâmina de analise microscópica.</w:t>
      </w:r>
    </w:p>
    <w:p w14:paraId="4B282C8F" w14:textId="77777777" w:rsidR="006D61EB" w:rsidRPr="0087349C" w:rsidRDefault="006D61EB" w:rsidP="006D61EB">
      <w:pPr>
        <w:spacing w:line="360" w:lineRule="auto"/>
        <w:ind w:left="709"/>
        <w:jc w:val="both"/>
        <w:rPr>
          <w:sz w:val="20"/>
          <w:szCs w:val="20"/>
        </w:rPr>
      </w:pPr>
      <w: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18C23CBA" wp14:editId="6EA0694F">
            <wp:extent cx="2471185" cy="2377440"/>
            <wp:effectExtent l="0" t="0" r="5715" b="3810"/>
            <wp:docPr id="2924369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36908" name="Imagem 292436908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" t="20592" b="776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5581" cy="2381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AF4EF51" wp14:editId="418DB464">
            <wp:extent cx="2294507" cy="2388870"/>
            <wp:effectExtent l="0" t="0" r="0" b="0"/>
            <wp:docPr id="17914364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436416" name="Imagem 1791436416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1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94934" cy="2389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Foto: Autoras, 2025.</w:t>
      </w:r>
    </w:p>
    <w:p w14:paraId="00C31FB6" w14:textId="77777777" w:rsidR="006662EF" w:rsidRDefault="006662EF" w:rsidP="006D61EB">
      <w:pPr>
        <w:spacing w:line="360" w:lineRule="auto"/>
        <w:ind w:firstLine="709"/>
        <w:jc w:val="both"/>
        <w:rPr>
          <w:sz w:val="24"/>
          <w:szCs w:val="24"/>
        </w:rPr>
      </w:pPr>
    </w:p>
    <w:p w14:paraId="5F42468F" w14:textId="2A25CD65" w:rsidR="006D61EB" w:rsidRPr="00677204" w:rsidRDefault="006D61EB" w:rsidP="006D61EB">
      <w:pPr>
        <w:spacing w:line="360" w:lineRule="auto"/>
        <w:ind w:firstLine="709"/>
        <w:jc w:val="both"/>
        <w:rPr>
          <w:sz w:val="24"/>
          <w:szCs w:val="24"/>
        </w:rPr>
      </w:pPr>
      <w:r w:rsidRPr="00677204">
        <w:rPr>
          <w:sz w:val="24"/>
          <w:szCs w:val="24"/>
        </w:rPr>
        <w:t xml:space="preserve">Os resultados </w:t>
      </w:r>
      <w:r w:rsidR="006662EF">
        <w:rPr>
          <w:sz w:val="24"/>
          <w:szCs w:val="24"/>
        </w:rPr>
        <w:t>apresentados</w:t>
      </w:r>
      <w:r w:rsidRPr="00677204">
        <w:rPr>
          <w:sz w:val="24"/>
          <w:szCs w:val="24"/>
        </w:rPr>
        <w:t xml:space="preserve"> evidenciam a eficácia das técnicas de isolamento direto e indireto na recuperação de microrganismos associados a sintomas foliares. A repicagem e purificação das culturas permitiram a obtenção de isolados viáveis para testes subsequentes, demonstrando a importância de protocolos laboratoriais bem definidos para o diagnóstico fitopatológico em viveiros florestais. Segundo </w:t>
      </w:r>
      <w:r w:rsidR="006662EF">
        <w:rPr>
          <w:sz w:val="24"/>
          <w:szCs w:val="24"/>
        </w:rPr>
        <w:t>S</w:t>
      </w:r>
      <w:r w:rsidR="006662EF" w:rsidRPr="00677204">
        <w:rPr>
          <w:sz w:val="24"/>
          <w:szCs w:val="24"/>
        </w:rPr>
        <w:t xml:space="preserve">ilva </w:t>
      </w:r>
      <w:r w:rsidRPr="006662EF">
        <w:rPr>
          <w:i/>
          <w:iCs/>
          <w:sz w:val="24"/>
          <w:szCs w:val="24"/>
        </w:rPr>
        <w:t>et</w:t>
      </w:r>
      <w:r w:rsidRPr="00677204">
        <w:rPr>
          <w:sz w:val="24"/>
          <w:szCs w:val="24"/>
        </w:rPr>
        <w:t xml:space="preserve"> </w:t>
      </w:r>
      <w:r w:rsidRPr="006662EF">
        <w:rPr>
          <w:i/>
          <w:iCs/>
          <w:sz w:val="24"/>
          <w:szCs w:val="24"/>
        </w:rPr>
        <w:t>al</w:t>
      </w:r>
      <w:r w:rsidRPr="00677204">
        <w:rPr>
          <w:sz w:val="24"/>
          <w:szCs w:val="24"/>
        </w:rPr>
        <w:t xml:space="preserve">. (2012), levantamentos sistemáticos em ambientes tropicais têm revelado a presença de diversos microrganismos associados a sintomas foliares, reforçando a necessidade de abordagens integradas que combinem observações morfológicas, testes biológicos e análise das condições ambientais para uma identificação precisa dos agentes etiológicos. </w:t>
      </w:r>
    </w:p>
    <w:p w14:paraId="3CE0E1F3" w14:textId="77777777" w:rsidR="00537F18" w:rsidRDefault="00537F18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6EF26A43" w14:textId="41282A05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>4. CONSIDERAÇÕES FINAIS</w:t>
      </w:r>
    </w:p>
    <w:p w14:paraId="0E98056D" w14:textId="77777777" w:rsidR="0017449F" w:rsidRPr="00631D69" w:rsidRDefault="003949CE" w:rsidP="0017449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449F" w:rsidRPr="00631D69">
        <w:rPr>
          <w:sz w:val="24"/>
          <w:szCs w:val="24"/>
        </w:rPr>
        <w:t>O estudo realizado em viveiros florestais no município de Castanhal–PA possibilitou a identificação de microrganismos associados a sintomas foliares em espécies nativas da Amazônia, por meio de técnicas laboratoriais como isolamento direto e indireto, microscopia óptica e testes de patogenicidade. A aplicação dos postulados de Koch demonstrou que nem todos os isolados foram capazes de reproduzir os sintomas observados em campo, evidenciando a importância de abordagens complementares no diagnóstico fitopatológico.</w:t>
      </w:r>
    </w:p>
    <w:p w14:paraId="7914D08E" w14:textId="77777777" w:rsidR="0017449F" w:rsidRPr="00631D69" w:rsidRDefault="0017449F" w:rsidP="0017449F">
      <w:pPr>
        <w:spacing w:line="360" w:lineRule="auto"/>
        <w:ind w:firstLine="709"/>
        <w:jc w:val="both"/>
        <w:rPr>
          <w:sz w:val="24"/>
          <w:szCs w:val="24"/>
        </w:rPr>
      </w:pPr>
      <w:r w:rsidRPr="00631D69">
        <w:rPr>
          <w:sz w:val="24"/>
          <w:szCs w:val="24"/>
        </w:rPr>
        <w:lastRenderedPageBreak/>
        <w:t>Em alguns casos, a identificação morfológica de estruturas fúngicas não foi acompanhada da confirmação biológica da doença, indicando que a simples presença do microrganismo não implica necessariamente em sua ação patogênica. Esses achados reforçam a necessidade de protocolos integrados que considerem fatores ambientais, características do hospedeiro e testes biológicos para uma avaliação precisa da sanidade vegetal.</w:t>
      </w:r>
    </w:p>
    <w:p w14:paraId="2E91CD00" w14:textId="1A9C5531" w:rsidR="0017449F" w:rsidRPr="00631D69" w:rsidRDefault="0017449F" w:rsidP="0017449F">
      <w:pPr>
        <w:spacing w:line="360" w:lineRule="auto"/>
        <w:ind w:firstLine="709"/>
        <w:jc w:val="both"/>
        <w:rPr>
          <w:sz w:val="24"/>
          <w:szCs w:val="24"/>
        </w:rPr>
      </w:pPr>
      <w:r w:rsidRPr="00631D69">
        <w:rPr>
          <w:sz w:val="24"/>
          <w:szCs w:val="24"/>
        </w:rPr>
        <w:t>O trabalho contribui para o fortalecimento das práticas de manejo fitossanitário em viveiros florestais e para o avanço do conhecimento sobre doenças em espécies nativas da região amazônica, promovendo estratégias mais seguras e sustentáveis na produção de mudas. Como continuidade da pesquisa, está prevista a realização de estudo</w:t>
      </w:r>
      <w:r w:rsidR="006662EF">
        <w:rPr>
          <w:sz w:val="24"/>
          <w:szCs w:val="24"/>
        </w:rPr>
        <w:t>s</w:t>
      </w:r>
      <w:r w:rsidRPr="00631D69">
        <w:rPr>
          <w:sz w:val="24"/>
          <w:szCs w:val="24"/>
        </w:rPr>
        <w:t xml:space="preserve"> epidemiológico</w:t>
      </w:r>
      <w:r w:rsidR="006662EF">
        <w:rPr>
          <w:sz w:val="24"/>
          <w:szCs w:val="24"/>
        </w:rPr>
        <w:t>s</w:t>
      </w:r>
      <w:r w:rsidRPr="00631D69">
        <w:rPr>
          <w:sz w:val="24"/>
          <w:szCs w:val="24"/>
        </w:rPr>
        <w:t xml:space="preserve"> em casa de vegetação, além da aplicação de técnicas de identificação molecular para confirmação dos agentes etiológicos envolvidos.</w:t>
      </w:r>
    </w:p>
    <w:p w14:paraId="64E377B6" w14:textId="2A7244C1" w:rsidR="003949CE" w:rsidRDefault="003949CE" w:rsidP="00F71B1D">
      <w:pPr>
        <w:widowControl/>
        <w:tabs>
          <w:tab w:val="left" w:pos="699"/>
        </w:tabs>
        <w:spacing w:after="160" w:line="259" w:lineRule="auto"/>
        <w:jc w:val="both"/>
        <w:rPr>
          <w:b/>
          <w:sz w:val="24"/>
          <w:szCs w:val="24"/>
        </w:rPr>
      </w:pPr>
    </w:p>
    <w:p w14:paraId="05746633" w14:textId="77777777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5D816746" w14:textId="49C2EB96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3F37A8AF" w14:textId="77777777" w:rsidR="00BE7388" w:rsidRPr="000A7928" w:rsidRDefault="00BE7388" w:rsidP="00F71B1D">
      <w:pPr>
        <w:spacing w:line="360" w:lineRule="auto"/>
        <w:jc w:val="both"/>
      </w:pPr>
      <w:bookmarkStart w:id="0" w:name="_gjdgxs" w:colFirst="0" w:colLast="0"/>
      <w:bookmarkEnd w:id="0"/>
      <w:r w:rsidRPr="000A7928">
        <w:t xml:space="preserve">AGRIOS, G. N. </w:t>
      </w:r>
      <w:r w:rsidRPr="000A7928">
        <w:rPr>
          <w:b/>
          <w:bCs/>
          <w:i/>
          <w:iCs/>
        </w:rPr>
        <w:t>Doenças de plantas</w:t>
      </w:r>
      <w:r w:rsidRPr="000A7928">
        <w:t>. 5. ed. San Diego: Elsevier Academic Press, 2005. 1051 p.</w:t>
      </w:r>
    </w:p>
    <w:p w14:paraId="554F2228" w14:textId="77777777" w:rsidR="00BE7388" w:rsidRDefault="00BE7388" w:rsidP="00F71B1D">
      <w:pPr>
        <w:spacing w:line="360" w:lineRule="auto"/>
        <w:jc w:val="both"/>
      </w:pPr>
      <w:r w:rsidRPr="000A7928">
        <w:t xml:space="preserve">AGUILAR-VILDOSO, C. I.; CAFÉ-FILHO, A. C. </w:t>
      </w:r>
      <w:r w:rsidRPr="000A7928">
        <w:rPr>
          <w:b/>
          <w:bCs/>
          <w:i/>
          <w:iCs/>
        </w:rPr>
        <w:t>Fitopatologia: princípios e conceitos</w:t>
      </w:r>
      <w:r w:rsidRPr="000A7928">
        <w:rPr>
          <w:b/>
          <w:bCs/>
        </w:rPr>
        <w:t>.</w:t>
      </w:r>
      <w:r w:rsidRPr="000A7928">
        <w:t xml:space="preserve"> Brasília: Embrapa, 2018.</w:t>
      </w:r>
    </w:p>
    <w:p w14:paraId="03058F44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ALFENAS, A. C. et al. </w:t>
      </w:r>
      <w:r w:rsidRPr="000A7928">
        <w:rPr>
          <w:b/>
          <w:bCs/>
          <w:i/>
          <w:iCs/>
        </w:rPr>
        <w:t>Doenças de espécies florestais</w:t>
      </w:r>
      <w:r w:rsidRPr="000A7928">
        <w:t>. 2. ed. Viçosa: Universidade Federal de Viçosa, 2009.</w:t>
      </w:r>
    </w:p>
    <w:p w14:paraId="0755C6EC" w14:textId="77777777" w:rsidR="00BE7388" w:rsidRDefault="00BE7388" w:rsidP="00F71B1D">
      <w:pPr>
        <w:spacing w:line="360" w:lineRule="auto"/>
        <w:jc w:val="both"/>
      </w:pPr>
      <w:r w:rsidRPr="000A7928">
        <w:t xml:space="preserve">ALFENAS, A. C.; FERREIRA, F. A.; MAFIA, R. G.; GONÇALVES, R. C. </w:t>
      </w:r>
      <w:r w:rsidRPr="000A7928">
        <w:rPr>
          <w:b/>
          <w:bCs/>
        </w:rPr>
        <w:t>Isolamento de fungos fitopatogênicos.</w:t>
      </w:r>
      <w:r w:rsidRPr="000A7928">
        <w:t xml:space="preserve"> In: ALFENAS, A. C.; GONÇALVES, R. C. </w:t>
      </w:r>
      <w:r w:rsidRPr="000A7928">
        <w:rPr>
          <w:i/>
          <w:iCs/>
        </w:rPr>
        <w:t>Métodos em fitopatologia</w:t>
      </w:r>
      <w:r w:rsidRPr="000A7928">
        <w:t>. 2. ed. Viçosa: Editora UFV, 2016. cap. 2, p. 58–64.</w:t>
      </w:r>
    </w:p>
    <w:p w14:paraId="00BD0D74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BARNETT, H. L.; HUNTER, B. B. </w:t>
      </w:r>
      <w:r w:rsidRPr="000A7928">
        <w:rPr>
          <w:b/>
          <w:bCs/>
          <w:i/>
          <w:iCs/>
        </w:rPr>
        <w:t>Illustrated genera of imperfect fungi</w:t>
      </w:r>
      <w:r w:rsidRPr="000A7928">
        <w:t>. 4. ed. St. Paul: APS Press, 1998. p. 126–188.</w:t>
      </w:r>
    </w:p>
    <w:p w14:paraId="45A27FD0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EMBRAPA AMAZÔNIA ORIENTAL. </w:t>
      </w:r>
      <w:r w:rsidRPr="000A7928">
        <w:rPr>
          <w:b/>
          <w:bCs/>
          <w:i/>
          <w:iCs/>
        </w:rPr>
        <w:t>Diversidade de hospedeiros de Pestalotiopsis sp. no Estado do Pará</w:t>
      </w:r>
      <w:r w:rsidRPr="000A7928">
        <w:rPr>
          <w:b/>
          <w:bCs/>
        </w:rPr>
        <w:t>.</w:t>
      </w:r>
      <w:r w:rsidRPr="000A7928">
        <w:t xml:space="preserve"> Belém: Embrapa, 2013. Disponível em: </w:t>
      </w:r>
      <w:hyperlink r:id="rId15" w:history="1">
        <w:r w:rsidRPr="000A7928">
          <w:rPr>
            <w:rStyle w:val="Hyperlink"/>
          </w:rPr>
          <w:t>https://www.alice.cnptia.embrapa.br/alice/bitstream/doc/950479/1/260.pdf</w:t>
        </w:r>
      </w:hyperlink>
      <w:r w:rsidRPr="000A7928">
        <w:t>. Acesso em: 16 set. 2025.</w:t>
      </w:r>
    </w:p>
    <w:p w14:paraId="060E2901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EMBRAPA AMAZÔNIA ORIENTAL. </w:t>
      </w:r>
      <w:r w:rsidRPr="000A7928">
        <w:rPr>
          <w:b/>
          <w:bCs/>
          <w:i/>
          <w:iCs/>
        </w:rPr>
        <w:t>Produção de mudas de espécies florestais nativas da Amazônia</w:t>
      </w:r>
      <w:r w:rsidRPr="000A7928">
        <w:rPr>
          <w:b/>
          <w:bCs/>
        </w:rPr>
        <w:t>.</w:t>
      </w:r>
      <w:r w:rsidRPr="000A7928">
        <w:t xml:space="preserve"> Belém: Embrapa, 2015.</w:t>
      </w:r>
    </w:p>
    <w:p w14:paraId="6847C80E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EMBRAPA. </w:t>
      </w:r>
      <w:r w:rsidRPr="000A7928">
        <w:rPr>
          <w:b/>
          <w:bCs/>
          <w:i/>
          <w:iCs/>
        </w:rPr>
        <w:t>Relatórios técnicos e informações sobre sanidade florestal</w:t>
      </w:r>
      <w:r w:rsidRPr="000A7928">
        <w:t>. Brasília: Embrapa, 2023.</w:t>
      </w:r>
    </w:p>
    <w:p w14:paraId="24D29FDF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GRIGOLETTI JUNIOR, A.; AUER, C. G.; SANTOS, A. F. dos. </w:t>
      </w:r>
      <w:r w:rsidRPr="000A7928">
        <w:rPr>
          <w:b/>
          <w:bCs/>
          <w:i/>
          <w:iCs/>
        </w:rPr>
        <w:t xml:space="preserve">Estratégias de manejo de doenças em </w:t>
      </w:r>
      <w:r w:rsidRPr="000A7928">
        <w:rPr>
          <w:b/>
          <w:bCs/>
          <w:i/>
          <w:iCs/>
        </w:rPr>
        <w:lastRenderedPageBreak/>
        <w:t>viveiros florestais</w:t>
      </w:r>
      <w:r w:rsidRPr="000A7928">
        <w:t>. Colombo: Embrapa Florestas, 2015. (Documentos, 282).</w:t>
      </w:r>
    </w:p>
    <w:p w14:paraId="3F4BFF3C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GUBA, E. F. </w:t>
      </w:r>
      <w:r w:rsidRPr="000A7928">
        <w:rPr>
          <w:b/>
          <w:bCs/>
          <w:i/>
          <w:iCs/>
        </w:rPr>
        <w:t>Monograph of Pestalotiopsis</w:t>
      </w:r>
      <w:r w:rsidRPr="000A7928">
        <w:t>. Cambridge: Harvard University Press, 1961.</w:t>
      </w:r>
    </w:p>
    <w:p w14:paraId="618B76BD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JEEWON, R.; LIEW, E. C. Y.; HYDE, K. D. </w:t>
      </w:r>
      <w:r w:rsidRPr="000A7928">
        <w:rPr>
          <w:b/>
          <w:bCs/>
        </w:rPr>
        <w:t xml:space="preserve">Phylogenetic relationships of </w:t>
      </w:r>
      <w:r w:rsidRPr="000A7928">
        <w:rPr>
          <w:b/>
          <w:bCs/>
          <w:i/>
          <w:iCs/>
        </w:rPr>
        <w:t>Pestalotiopsis</w:t>
      </w:r>
      <w:r w:rsidRPr="000A7928">
        <w:rPr>
          <w:b/>
          <w:bCs/>
        </w:rPr>
        <w:t xml:space="preserve"> and allied genera inferred from ribosomal DNA sequences and morphological characters</w:t>
      </w:r>
      <w:r w:rsidRPr="000A7928">
        <w:t xml:space="preserve">. </w:t>
      </w:r>
      <w:r w:rsidRPr="000A7928">
        <w:rPr>
          <w:i/>
          <w:iCs/>
        </w:rPr>
        <w:t>Molecular Phylogenetics and Evolution</w:t>
      </w:r>
      <w:r w:rsidRPr="000A7928">
        <w:t>, v. 25, n. 3, p. 378–392, 2002.</w:t>
      </w:r>
    </w:p>
    <w:p w14:paraId="3E57179D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KRUSCHEWSKY, M. C.; LUZ, E. D. M. N.; BEZERRA, J. L. </w:t>
      </w:r>
      <w:r w:rsidRPr="000A7928">
        <w:rPr>
          <w:b/>
          <w:bCs/>
        </w:rPr>
        <w:t xml:space="preserve">O gênero </w:t>
      </w:r>
      <w:r w:rsidRPr="000A7928">
        <w:rPr>
          <w:b/>
          <w:bCs/>
          <w:i/>
          <w:iCs/>
        </w:rPr>
        <w:t>Pestalotiopsis</w:t>
      </w:r>
      <w:r w:rsidRPr="000A7928">
        <w:rPr>
          <w:b/>
          <w:bCs/>
        </w:rPr>
        <w:t xml:space="preserve"> (Ascomycota, ‘Coelomycetes’) no Brasil</w:t>
      </w:r>
      <w:r w:rsidRPr="000A7928">
        <w:t xml:space="preserve">. </w:t>
      </w:r>
      <w:r w:rsidRPr="000A7928">
        <w:rPr>
          <w:i/>
          <w:iCs/>
        </w:rPr>
        <w:t>Agrotropica</w:t>
      </w:r>
      <w:r w:rsidRPr="000A7928">
        <w:t xml:space="preserve">, Ilhéus, v. 26, n. 2, p. 89–98, 2014. Disponível em: </w:t>
      </w:r>
      <w:hyperlink r:id="rId16" w:history="1">
        <w:r w:rsidRPr="000A7928">
          <w:rPr>
            <w:rStyle w:val="Hyperlink"/>
          </w:rPr>
          <w:t>https://repositorio-dspace.agricultura.gov.br/bitstream/1/1533/1/BR2019000379%20%282%29.pdf</w:t>
        </w:r>
      </w:hyperlink>
      <w:r w:rsidRPr="000A7928">
        <w:t>. Acesso em: 16 set. 2025.</w:t>
      </w:r>
    </w:p>
    <w:p w14:paraId="2E31AB8B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LESLIE, J. F.; SUMMERELL, B. A. </w:t>
      </w:r>
      <w:r w:rsidRPr="000A7928">
        <w:rPr>
          <w:b/>
          <w:bCs/>
          <w:i/>
          <w:iCs/>
        </w:rPr>
        <w:t>The Fusarium laboratory manual</w:t>
      </w:r>
      <w:r w:rsidRPr="000A7928">
        <w:t>. Ames: Blackwell Publishing, 2006.</w:t>
      </w:r>
    </w:p>
    <w:p w14:paraId="428EAE3D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MAFACIOLI, R.; SANTOS, A. F. dos; TESSMANN, D. J.; VIDA, J. B. </w:t>
      </w:r>
      <w:r w:rsidRPr="000A7928">
        <w:rPr>
          <w:b/>
          <w:bCs/>
        </w:rPr>
        <w:t>Etiologia e manejo das doenças da pupunheira no Brasil.</w:t>
      </w:r>
      <w:r w:rsidRPr="000A7928">
        <w:t xml:space="preserve"> </w:t>
      </w:r>
      <w:r w:rsidRPr="000A7928">
        <w:rPr>
          <w:i/>
          <w:iCs/>
        </w:rPr>
        <w:t>Pesquisa Florestal Brasileira</w:t>
      </w:r>
      <w:r w:rsidRPr="000A7928">
        <w:t xml:space="preserve">, n. 58, p. 61, 2010. Disponível em: </w:t>
      </w:r>
      <w:hyperlink r:id="rId17" w:history="1">
        <w:r w:rsidRPr="000A7928">
          <w:rPr>
            <w:rStyle w:val="Hyperlink"/>
          </w:rPr>
          <w:t>https://pfb.sede.embrapa.br/pfb/article/view/37</w:t>
        </w:r>
      </w:hyperlink>
      <w:r w:rsidRPr="000A7928">
        <w:t>. Acesso em: 16 set. 2025.</w:t>
      </w:r>
    </w:p>
    <w:p w14:paraId="76BF4395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MAHARACHCHIKUMBURA, S. S. N. et al. </w:t>
      </w:r>
      <w:r w:rsidRPr="000A7928">
        <w:rPr>
          <w:b/>
          <w:bCs/>
        </w:rPr>
        <w:t xml:space="preserve">A multi-locus backbone tree for </w:t>
      </w:r>
      <w:r w:rsidRPr="000A7928">
        <w:rPr>
          <w:b/>
          <w:bCs/>
          <w:i/>
          <w:iCs/>
        </w:rPr>
        <w:t>Pestalotiopsis</w:t>
      </w:r>
      <w:r w:rsidRPr="000A7928">
        <w:rPr>
          <w:b/>
          <w:bCs/>
        </w:rPr>
        <w:t xml:space="preserve"> with a polyphasic characterization of 14 new species. </w:t>
      </w:r>
      <w:r w:rsidRPr="000A7928">
        <w:rPr>
          <w:b/>
          <w:bCs/>
          <w:i/>
          <w:iCs/>
        </w:rPr>
        <w:t>Fungal Diversity</w:t>
      </w:r>
      <w:r w:rsidRPr="000A7928">
        <w:t xml:space="preserve">, v. 56, p. 95–129, 2012. DOI: </w:t>
      </w:r>
      <w:hyperlink r:id="rId18" w:history="1">
        <w:r w:rsidRPr="000A7928">
          <w:rPr>
            <w:rStyle w:val="Hyperlink"/>
          </w:rPr>
          <w:t>https://doi.org/10.1007/s13225-012-0198-1</w:t>
        </w:r>
      </w:hyperlink>
      <w:r w:rsidRPr="000A7928">
        <w:t>. Acesso em: 16 set. 2025.</w:t>
      </w:r>
    </w:p>
    <w:p w14:paraId="22909AC6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OREGON STATE UNIVERSITY. </w:t>
      </w:r>
      <w:r w:rsidRPr="000A7928">
        <w:rPr>
          <w:b/>
          <w:bCs/>
          <w:i/>
          <w:iCs/>
        </w:rPr>
        <w:t>The plant disease triangle</w:t>
      </w:r>
      <w:r w:rsidRPr="000A7928">
        <w:t xml:space="preserve">. Oregon, 2020. Disponível em: </w:t>
      </w:r>
      <w:hyperlink r:id="rId19" w:history="1">
        <w:r w:rsidRPr="000A7928">
          <w:rPr>
            <w:rStyle w:val="Hyperlink"/>
          </w:rPr>
          <w:t>https://cropandsoil.oregonstate.edu</w:t>
        </w:r>
      </w:hyperlink>
      <w:r w:rsidRPr="000A7928">
        <w:t>. Acesso em: 16 set. 2025.</w:t>
      </w:r>
    </w:p>
    <w:p w14:paraId="208E6A49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PEREIRA, O. L.; OLIVEIRA, R. R. </w:t>
      </w:r>
      <w:r w:rsidRPr="000A7928">
        <w:rPr>
          <w:b/>
          <w:bCs/>
          <w:i/>
          <w:iCs/>
        </w:rPr>
        <w:t>Fitopatologia florestal</w:t>
      </w:r>
      <w:r w:rsidRPr="000A7928">
        <w:t>. Viçosa: Universidade Federal de Viçosa, 2019.</w:t>
      </w:r>
    </w:p>
    <w:p w14:paraId="12902985" w14:textId="77777777" w:rsidR="00BE7388" w:rsidRDefault="00BE7388" w:rsidP="00F71B1D">
      <w:pPr>
        <w:spacing w:line="360" w:lineRule="auto"/>
        <w:jc w:val="both"/>
      </w:pPr>
      <w:r w:rsidRPr="000A7928">
        <w:t xml:space="preserve">PETRINI, O. </w:t>
      </w:r>
      <w:r w:rsidRPr="000A7928">
        <w:rPr>
          <w:b/>
          <w:bCs/>
        </w:rPr>
        <w:t>Fungal endophytes of tree leaves</w:t>
      </w:r>
      <w:r w:rsidRPr="000A7928">
        <w:t xml:space="preserve">. In: ANDREWS, J. H.; HIRANO, S. S. (Ed.). </w:t>
      </w:r>
      <w:r w:rsidRPr="000A7928">
        <w:rPr>
          <w:i/>
          <w:iCs/>
        </w:rPr>
        <w:t>Microbial ecology of leaves</w:t>
      </w:r>
      <w:r w:rsidRPr="000A7928">
        <w:t>. New York: Springer-Verlag, 1991. p. 179–197.</w:t>
      </w:r>
    </w:p>
    <w:p w14:paraId="3F95933B" w14:textId="77777777" w:rsidR="00BE7388" w:rsidRPr="000A7928" w:rsidRDefault="00BE7388" w:rsidP="00F71B1D">
      <w:pPr>
        <w:spacing w:line="360" w:lineRule="auto"/>
        <w:jc w:val="both"/>
      </w:pPr>
      <w:r w:rsidRPr="009B088A">
        <w:t>SILVA, D. H. S. et al.</w:t>
      </w:r>
      <w:r w:rsidRPr="007419ED">
        <w:t xml:space="preserve"> Fungos e nematoides fitopatogênicos associados ao cultivo de flores tropicais em São Luís – MA. </w:t>
      </w:r>
      <w:r w:rsidRPr="007419ED">
        <w:rPr>
          <w:b/>
          <w:bCs/>
          <w:i/>
          <w:iCs/>
        </w:rPr>
        <w:t>Summa Phytopathologica</w:t>
      </w:r>
      <w:r w:rsidRPr="007419ED">
        <w:t xml:space="preserve">, v. 38, n. 2, p. 159–162, 2012. Disponível em: https://www.scielo.br/j/sp/a/jXJThdmvSpBHfdCxhw6DTSz. Acesso em: </w:t>
      </w:r>
      <w:r>
        <w:t>20</w:t>
      </w:r>
      <w:r w:rsidRPr="007419ED">
        <w:t xml:space="preserve"> </w:t>
      </w:r>
      <w:r>
        <w:t>set</w:t>
      </w:r>
      <w:r w:rsidRPr="007419ED">
        <w:t>. 2025.</w:t>
      </w:r>
    </w:p>
    <w:p w14:paraId="683E15F3" w14:textId="77777777" w:rsidR="00BE7388" w:rsidRPr="000A7928" w:rsidRDefault="00BE7388" w:rsidP="00F71B1D">
      <w:pPr>
        <w:spacing w:line="360" w:lineRule="auto"/>
        <w:jc w:val="both"/>
      </w:pPr>
      <w:r w:rsidRPr="000A7928">
        <w:t xml:space="preserve">SILVA, M. A. et al. </w:t>
      </w:r>
      <w:r w:rsidRPr="000A7928">
        <w:rPr>
          <w:b/>
          <w:bCs/>
        </w:rPr>
        <w:t xml:space="preserve">Identificação e caracterização de espécies de </w:t>
      </w:r>
      <w:r w:rsidRPr="000A7928">
        <w:rPr>
          <w:b/>
          <w:bCs/>
          <w:i/>
          <w:iCs/>
        </w:rPr>
        <w:t>Pestalotiopsis</w:t>
      </w:r>
      <w:r w:rsidRPr="000A7928">
        <w:rPr>
          <w:b/>
          <w:bCs/>
        </w:rPr>
        <w:t xml:space="preserve"> patogênicas à nogueira-pecã no Brasil</w:t>
      </w:r>
      <w:r w:rsidRPr="000A7928">
        <w:t xml:space="preserve">. </w:t>
      </w:r>
      <w:r w:rsidRPr="000A7928">
        <w:rPr>
          <w:i/>
          <w:iCs/>
        </w:rPr>
        <w:t>Pesquisa Agropecuária Brasileira</w:t>
      </w:r>
      <w:r w:rsidRPr="000A7928">
        <w:t xml:space="preserve">, v. 55, p. 1–10, 2020. Disponível em: </w:t>
      </w:r>
      <w:hyperlink r:id="rId20" w:history="1">
        <w:r w:rsidRPr="000A7928">
          <w:rPr>
            <w:rStyle w:val="Hyperlink"/>
          </w:rPr>
          <w:t>https://www.scielo.br/j/pab/a/zsJQnYYz3GKNH5XyZJRWhnC/</w:t>
        </w:r>
      </w:hyperlink>
      <w:r w:rsidRPr="000A7928">
        <w:t>. Acesso em: 16 set. 2025.</w:t>
      </w:r>
    </w:p>
    <w:p w14:paraId="30DCEB1D" w14:textId="77777777" w:rsidR="00BE7388" w:rsidRDefault="00BE7388" w:rsidP="00F71B1D">
      <w:pPr>
        <w:spacing w:line="360" w:lineRule="auto"/>
        <w:jc w:val="both"/>
      </w:pPr>
      <w:r w:rsidRPr="000A7928">
        <w:t xml:space="preserve">SILVA, R. A. </w:t>
      </w:r>
      <w:r w:rsidRPr="000A7928">
        <w:rPr>
          <w:b/>
          <w:bCs/>
          <w:i/>
          <w:iCs/>
        </w:rPr>
        <w:t>Caracterização morfológica de fungos associados a doenças foliares em espécies florestais</w:t>
      </w:r>
      <w:r w:rsidRPr="000A7928">
        <w:t>. 2016. Dissertação (Mestrado em Fitopatologia) – Universidade Federal Rural da Amazônia, Belém.</w:t>
      </w:r>
    </w:p>
    <w:sectPr w:rsidR="00BE7388" w:rsidSect="00E1187C">
      <w:headerReference w:type="default" r:id="rId21"/>
      <w:footerReference w:type="default" r:id="rId22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2858" w14:textId="77777777" w:rsidR="0025367F" w:rsidRDefault="0025367F" w:rsidP="005A1575">
      <w:r>
        <w:separator/>
      </w:r>
    </w:p>
  </w:endnote>
  <w:endnote w:type="continuationSeparator" w:id="0">
    <w:p w14:paraId="167D4DE8" w14:textId="77777777" w:rsidR="0025367F" w:rsidRDefault="0025367F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5619" w14:textId="77777777" w:rsidR="0025367F" w:rsidRDefault="0025367F" w:rsidP="005A1575">
      <w:r>
        <w:separator/>
      </w:r>
    </w:p>
  </w:footnote>
  <w:footnote w:type="continuationSeparator" w:id="0">
    <w:p w14:paraId="704E3A44" w14:textId="77777777" w:rsidR="0025367F" w:rsidRDefault="0025367F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436E8"/>
    <w:rsid w:val="00050A98"/>
    <w:rsid w:val="000A1B4B"/>
    <w:rsid w:val="000B447D"/>
    <w:rsid w:val="000D6972"/>
    <w:rsid w:val="000E6288"/>
    <w:rsid w:val="0017449F"/>
    <w:rsid w:val="00177FDF"/>
    <w:rsid w:val="0019414F"/>
    <w:rsid w:val="001D4FA5"/>
    <w:rsid w:val="001E4608"/>
    <w:rsid w:val="0025367F"/>
    <w:rsid w:val="002D6DE6"/>
    <w:rsid w:val="002F3682"/>
    <w:rsid w:val="002F61FC"/>
    <w:rsid w:val="00313E21"/>
    <w:rsid w:val="0031571D"/>
    <w:rsid w:val="00340B04"/>
    <w:rsid w:val="003949CE"/>
    <w:rsid w:val="003C0271"/>
    <w:rsid w:val="00464C02"/>
    <w:rsid w:val="00466E6F"/>
    <w:rsid w:val="004963FE"/>
    <w:rsid w:val="004B3806"/>
    <w:rsid w:val="004C1D18"/>
    <w:rsid w:val="004E409D"/>
    <w:rsid w:val="00537F18"/>
    <w:rsid w:val="00542321"/>
    <w:rsid w:val="005A1575"/>
    <w:rsid w:val="005C7490"/>
    <w:rsid w:val="00631D69"/>
    <w:rsid w:val="00645BA4"/>
    <w:rsid w:val="006662EF"/>
    <w:rsid w:val="0069311A"/>
    <w:rsid w:val="006D61EB"/>
    <w:rsid w:val="006E3BD3"/>
    <w:rsid w:val="0070351F"/>
    <w:rsid w:val="007128E1"/>
    <w:rsid w:val="00754DFB"/>
    <w:rsid w:val="007701A8"/>
    <w:rsid w:val="00770D4C"/>
    <w:rsid w:val="00790D3A"/>
    <w:rsid w:val="00794936"/>
    <w:rsid w:val="007A3840"/>
    <w:rsid w:val="007A719C"/>
    <w:rsid w:val="007B00E2"/>
    <w:rsid w:val="007D3413"/>
    <w:rsid w:val="007F0867"/>
    <w:rsid w:val="00811C97"/>
    <w:rsid w:val="00836259"/>
    <w:rsid w:val="00886961"/>
    <w:rsid w:val="008C11E2"/>
    <w:rsid w:val="00935B87"/>
    <w:rsid w:val="009613E3"/>
    <w:rsid w:val="00962C69"/>
    <w:rsid w:val="0099138A"/>
    <w:rsid w:val="00A20A9D"/>
    <w:rsid w:val="00AA4CF4"/>
    <w:rsid w:val="00B17343"/>
    <w:rsid w:val="00B86606"/>
    <w:rsid w:val="00BE4D5C"/>
    <w:rsid w:val="00BE7388"/>
    <w:rsid w:val="00BF4634"/>
    <w:rsid w:val="00C63E08"/>
    <w:rsid w:val="00C81629"/>
    <w:rsid w:val="00CE2B1C"/>
    <w:rsid w:val="00D41B0B"/>
    <w:rsid w:val="00D44931"/>
    <w:rsid w:val="00D50895"/>
    <w:rsid w:val="00D755CD"/>
    <w:rsid w:val="00DB5854"/>
    <w:rsid w:val="00DE04D3"/>
    <w:rsid w:val="00DF23B8"/>
    <w:rsid w:val="00E1187C"/>
    <w:rsid w:val="00E5632E"/>
    <w:rsid w:val="00E80377"/>
    <w:rsid w:val="00EB078A"/>
    <w:rsid w:val="00EC3717"/>
    <w:rsid w:val="00ED216A"/>
    <w:rsid w:val="00F14119"/>
    <w:rsid w:val="00F14718"/>
    <w:rsid w:val="00F14FAA"/>
    <w:rsid w:val="00F46632"/>
    <w:rsid w:val="00F50A7E"/>
    <w:rsid w:val="00F71B1D"/>
    <w:rsid w:val="00F948A7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466E6F"/>
    <w:rPr>
      <w:color w:val="0000FF" w:themeColor="hyperlink"/>
      <w:u w:val="single"/>
    </w:rPr>
  </w:style>
  <w:style w:type="table" w:styleId="TabeladeGrade2-nfase6">
    <w:name w:val="Grid Table 2 Accent 6"/>
    <w:basedOn w:val="Tabelanormal"/>
    <w:uiPriority w:val="47"/>
    <w:rsid w:val="006D61EB"/>
    <w:pPr>
      <w:widowControl/>
      <w:autoSpaceDE/>
      <w:autoSpaceDN/>
    </w:pPr>
    <w:rPr>
      <w:kern w:val="2"/>
      <w:lang w:val="pt-BR"/>
      <w14:ligatures w14:val="standardContextual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ade1Clara">
    <w:name w:val="Grid Table 1 Light"/>
    <w:basedOn w:val="Tabelanormal"/>
    <w:uiPriority w:val="46"/>
    <w:rsid w:val="00C816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mplesTabela2">
    <w:name w:val="Plain Table 2"/>
    <w:basedOn w:val="Tabelanormal"/>
    <w:uiPriority w:val="42"/>
    <w:rsid w:val="00F14F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6Colorida">
    <w:name w:val="List Table 6 Colorful"/>
    <w:basedOn w:val="Tabelanormal"/>
    <w:uiPriority w:val="51"/>
    <w:rsid w:val="004963F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F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vianeoliveiraa18@gmail.com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doi.org/10.1007/s13225-012-0198-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pfb.sede.embrapa.br/pfb/article/view/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positorio-dspace.agricultura.gov.br/bitstream/1/1533/1/BR2019000379%20%282%29.pdf" TargetMode="External"/><Relationship Id="rId20" Type="http://schemas.openxmlformats.org/officeDocument/2006/relationships/hyperlink" Target="https://www.scielo.br/j/pab/a/zsJQnYYz3GKNH5XyZJRWhn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lice.cnptia.embrapa.br/alice/bitstream/doc/950479/1/260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cropandsoil.oregonstate.ed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1DB81-A07F-425B-AF6F-F68C53D9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2954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Wiviane Oliveira</cp:lastModifiedBy>
  <cp:revision>6</cp:revision>
  <dcterms:created xsi:type="dcterms:W3CDTF">2025-11-30T20:36:00Z</dcterms:created>
  <dcterms:modified xsi:type="dcterms:W3CDTF">2025-11-30T23:39:00Z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