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F8E1D">
      <w:pPr>
        <w:pStyle w:val="8"/>
        <w:rPr>
          <w:lang w:val="pt-BR"/>
        </w:rPr>
      </w:pPr>
      <w:r>
        <w:t>UTILIZAÇÃO DE ANTOCIANINAS DA CASCA DE CACAU COMO AGENTE COLORIMÉTRICO PARA A QUANTIFICAÇÃO DE ÍONS DE ALUMÍNIO EM ÁGUA</w:t>
      </w:r>
      <w:r>
        <w:rPr>
          <w:lang w:val="pt-BR"/>
        </w:rPr>
        <w:t>.</w:t>
      </w:r>
    </w:p>
    <w:p w14:paraId="061BCE86">
      <w:pPr>
        <w:pStyle w:val="2"/>
        <w:spacing w:before="251" w:line="242" w:lineRule="auto"/>
        <w:ind w:left="75" w:right="214"/>
        <w:jc w:val="center"/>
        <w:rPr>
          <w:sz w:val="24"/>
          <w:szCs w:val="24"/>
        </w:rPr>
      </w:pPr>
      <w:bookmarkStart w:id="0" w:name="1Primeiro_Autor_com_nome_completo,_2Segu"/>
      <w:bookmarkEnd w:id="0"/>
      <w:r>
        <w:rPr>
          <w:sz w:val="24"/>
          <w:szCs w:val="24"/>
          <w:vertAlign w:val="superscript"/>
        </w:rPr>
        <w:t>1</w:t>
      </w:r>
      <w:r>
        <w:rPr>
          <w:sz w:val="24"/>
          <w:szCs w:val="24"/>
          <w:lang w:val="pt-BR"/>
        </w:rPr>
        <w:t>Kaila Aparecida Del Caro Sonegheti</w:t>
      </w:r>
      <w:r>
        <w:rPr>
          <w:sz w:val="24"/>
          <w:szCs w:val="24"/>
        </w:rPr>
        <w:t>,</w:t>
      </w:r>
      <w:r>
        <w:rPr>
          <w:spacing w:val="-2"/>
          <w:sz w:val="24"/>
          <w:szCs w:val="24"/>
        </w:rPr>
        <w:t xml:space="preserve"> </w:t>
      </w:r>
      <w:r>
        <w:rPr>
          <w:sz w:val="24"/>
          <w:szCs w:val="24"/>
          <w:vertAlign w:val="superscript"/>
        </w:rPr>
        <w:t>2</w:t>
      </w:r>
      <w:r>
        <w:rPr>
          <w:sz w:val="24"/>
          <w:szCs w:val="24"/>
          <w:lang w:val="pt-BR"/>
        </w:rPr>
        <w:t>Lívia Miranda Davel</w:t>
      </w:r>
      <w:r>
        <w:rPr>
          <w:sz w:val="24"/>
          <w:szCs w:val="24"/>
        </w:rPr>
        <w:t>,</w:t>
      </w:r>
      <w:r>
        <w:rPr>
          <w:spacing w:val="-3"/>
          <w:sz w:val="24"/>
          <w:szCs w:val="24"/>
        </w:rPr>
        <w:t xml:space="preserve"> </w:t>
      </w:r>
      <w:r>
        <w:rPr>
          <w:sz w:val="24"/>
          <w:szCs w:val="24"/>
          <w:vertAlign w:val="superscript"/>
        </w:rPr>
        <w:t>3</w:t>
      </w:r>
      <w:r>
        <w:rPr>
          <w:sz w:val="24"/>
          <w:szCs w:val="24"/>
        </w:rPr>
        <w:t>Raissa L</w:t>
      </w:r>
      <w:r>
        <w:rPr>
          <w:sz w:val="24"/>
          <w:szCs w:val="24"/>
          <w:lang w:val="pt-BR"/>
        </w:rPr>
        <w:t>ial</w:t>
      </w:r>
      <w:r>
        <w:rPr>
          <w:sz w:val="24"/>
          <w:szCs w:val="24"/>
        </w:rPr>
        <w:t xml:space="preserve"> de Assis, </w:t>
      </w:r>
      <w:r>
        <w:rPr>
          <w:sz w:val="24"/>
          <w:szCs w:val="24"/>
          <w:vertAlign w:val="superscript"/>
        </w:rPr>
        <w:t>4</w:t>
      </w:r>
      <w:r>
        <w:rPr>
          <w:sz w:val="24"/>
          <w:szCs w:val="24"/>
        </w:rPr>
        <w:t xml:space="preserve">Faiçal Gazel, </w:t>
      </w:r>
      <w:r>
        <w:rPr>
          <w:color w:val="auto"/>
          <w:sz w:val="24"/>
          <w:szCs w:val="24"/>
          <w:vertAlign w:val="superscript"/>
        </w:rPr>
        <w:t>5</w:t>
      </w:r>
      <w:r>
        <w:rPr>
          <w:color w:val="auto"/>
          <w:sz w:val="24"/>
          <w:szCs w:val="24"/>
        </w:rPr>
        <w:t xml:space="preserve">Renato </w:t>
      </w:r>
      <w:r>
        <w:rPr>
          <w:sz w:val="24"/>
          <w:szCs w:val="24"/>
        </w:rPr>
        <w:t xml:space="preserve">César de Souza Oliveira, </w:t>
      </w:r>
      <w:r>
        <w:rPr>
          <w:sz w:val="24"/>
          <w:szCs w:val="24"/>
          <w:vertAlign w:val="superscript"/>
        </w:rPr>
        <w:t>6</w:t>
      </w:r>
      <w:r>
        <w:rPr>
          <w:sz w:val="24"/>
          <w:szCs w:val="24"/>
        </w:rPr>
        <w:t>Marina Cominote</w:t>
      </w:r>
    </w:p>
    <w:p w14:paraId="73CE91F0">
      <w:pPr>
        <w:spacing w:line="228" w:lineRule="exact"/>
        <w:ind w:left="77" w:right="209"/>
        <w:jc w:val="center"/>
        <w:rPr>
          <w:i/>
          <w:spacing w:val="-2"/>
          <w:sz w:val="24"/>
          <w:szCs w:val="24"/>
        </w:rPr>
      </w:pPr>
      <w:r>
        <w:rPr>
          <w:i/>
          <w:sz w:val="24"/>
          <w:szCs w:val="24"/>
          <w:vertAlign w:val="superscript"/>
        </w:rPr>
        <w:t>1</w:t>
      </w:r>
      <w:r>
        <w:rPr>
          <w:i/>
          <w:sz w:val="24"/>
          <w:szCs w:val="24"/>
        </w:rPr>
        <w:t xml:space="preserve">Instituto Federal do Espírito Santo campus – </w:t>
      </w:r>
      <w:r>
        <w:rPr>
          <w:i/>
          <w:sz w:val="24"/>
          <w:szCs w:val="24"/>
          <w:lang w:val="pt-BR"/>
        </w:rPr>
        <w:t>Aracruz</w:t>
      </w:r>
      <w:r>
        <w:rPr>
          <w:i/>
          <w:sz w:val="24"/>
          <w:szCs w:val="24"/>
        </w:rPr>
        <w:t>, e-mail:</w:t>
      </w:r>
      <w:r>
        <w:t xml:space="preserve"> </w:t>
      </w:r>
      <w:r>
        <w:rPr>
          <w:i/>
          <w:sz w:val="24"/>
          <w:szCs w:val="24"/>
        </w:rPr>
        <w:t>aparecidakaila8@gmail.com;</w:t>
      </w:r>
      <w:r>
        <w:rPr>
          <w:i/>
          <w:spacing w:val="-3"/>
          <w:sz w:val="24"/>
          <w:szCs w:val="24"/>
        </w:rPr>
        <w:t xml:space="preserve"> </w:t>
      </w:r>
      <w:r>
        <w:rPr>
          <w:i/>
          <w:sz w:val="24"/>
          <w:szCs w:val="24"/>
          <w:vertAlign w:val="superscript"/>
        </w:rPr>
        <w:t>2</w:t>
      </w:r>
      <w:r>
        <w:rPr>
          <w:i/>
          <w:sz w:val="24"/>
          <w:szCs w:val="24"/>
        </w:rPr>
        <w:t>Instituto Federal do Espírito Santo campus – Linhares,</w:t>
      </w:r>
      <w:r>
        <w:rPr>
          <w:i/>
          <w:spacing w:val="-1"/>
          <w:sz w:val="24"/>
          <w:szCs w:val="24"/>
        </w:rPr>
        <w:t xml:space="preserve"> </w:t>
      </w:r>
      <w:r>
        <w:rPr>
          <w:i/>
          <w:sz w:val="24"/>
          <w:szCs w:val="24"/>
        </w:rPr>
        <w:t>e-mail:</w:t>
      </w:r>
      <w:r>
        <w:t xml:space="preserve"> </w:t>
      </w:r>
      <w:r>
        <w:rPr>
          <w:i/>
          <w:sz w:val="24"/>
          <w:szCs w:val="24"/>
        </w:rPr>
        <w:t>liviadavelmiranda@gmail.com;</w:t>
      </w:r>
      <w:r>
        <w:rPr>
          <w:i/>
          <w:spacing w:val="-3"/>
          <w:sz w:val="24"/>
          <w:szCs w:val="24"/>
        </w:rPr>
        <w:t xml:space="preserve"> </w:t>
      </w:r>
      <w:r>
        <w:rPr>
          <w:i/>
          <w:sz w:val="24"/>
          <w:szCs w:val="24"/>
          <w:vertAlign w:val="superscript"/>
        </w:rPr>
        <w:t>3</w:t>
      </w:r>
      <w:r>
        <w:rPr>
          <w:i/>
          <w:sz w:val="24"/>
          <w:szCs w:val="24"/>
        </w:rPr>
        <w:t>Instituto Federal do Espírito Santo campus – Linhares,</w:t>
      </w:r>
      <w:r>
        <w:rPr>
          <w:i/>
          <w:spacing w:val="-1"/>
          <w:sz w:val="24"/>
          <w:szCs w:val="24"/>
        </w:rPr>
        <w:t xml:space="preserve"> </w:t>
      </w:r>
      <w:r>
        <w:rPr>
          <w:i/>
          <w:sz w:val="24"/>
          <w:szCs w:val="24"/>
        </w:rPr>
        <w:t>e-mail:</w:t>
      </w:r>
      <w:r>
        <w:t xml:space="preserve"> </w:t>
      </w:r>
      <w:r>
        <w:rPr>
          <w:i/>
          <w:sz w:val="24"/>
          <w:szCs w:val="24"/>
        </w:rPr>
        <w:t>raissaassislial@gmail.com</w:t>
      </w:r>
      <w:r>
        <w:rPr>
          <w:i/>
          <w:spacing w:val="-2"/>
          <w:sz w:val="24"/>
          <w:szCs w:val="24"/>
        </w:rPr>
        <w:t xml:space="preserve">; </w:t>
      </w:r>
      <w:r>
        <w:rPr>
          <w:i/>
          <w:sz w:val="24"/>
          <w:szCs w:val="24"/>
          <w:vertAlign w:val="superscript"/>
        </w:rPr>
        <w:t>4</w:t>
      </w:r>
      <w:r>
        <w:rPr>
          <w:i/>
          <w:sz w:val="24"/>
          <w:szCs w:val="24"/>
        </w:rPr>
        <w:t>Instituto Federal do Espírito Santo campus – Linhares,</w:t>
      </w:r>
      <w:r>
        <w:rPr>
          <w:i/>
          <w:spacing w:val="-1"/>
          <w:sz w:val="24"/>
          <w:szCs w:val="24"/>
        </w:rPr>
        <w:t xml:space="preserve"> </w:t>
      </w:r>
      <w:r>
        <w:rPr>
          <w:i/>
          <w:sz w:val="24"/>
          <w:szCs w:val="24"/>
        </w:rPr>
        <w:t>e-mail:</w:t>
      </w:r>
      <w:r>
        <w:rPr>
          <w:i/>
          <w:spacing w:val="-3"/>
          <w:sz w:val="24"/>
          <w:szCs w:val="24"/>
        </w:rPr>
        <w:t xml:space="preserve"> faical.gazel@ifes.edu.br</w:t>
      </w:r>
      <w:r>
        <w:rPr>
          <w:i/>
          <w:spacing w:val="-2"/>
          <w:sz w:val="24"/>
          <w:szCs w:val="24"/>
        </w:rPr>
        <w:t>;</w:t>
      </w:r>
      <w:r>
        <w:rPr>
          <w:i/>
          <w:sz w:val="24"/>
          <w:szCs w:val="24"/>
          <w:vertAlign w:val="superscript"/>
        </w:rPr>
        <w:t xml:space="preserve"> 5</w:t>
      </w:r>
      <w:r>
        <w:rPr>
          <w:i/>
          <w:sz w:val="24"/>
          <w:szCs w:val="24"/>
        </w:rPr>
        <w:t xml:space="preserve">Instituto Federal do Espírito Santo campus – </w:t>
      </w:r>
      <w:r>
        <w:rPr>
          <w:i/>
          <w:sz w:val="24"/>
          <w:szCs w:val="24"/>
          <w:lang w:val="pt-BR"/>
        </w:rPr>
        <w:t>Aracruz</w:t>
      </w:r>
      <w:r>
        <w:rPr>
          <w:i/>
          <w:sz w:val="24"/>
          <w:szCs w:val="24"/>
        </w:rPr>
        <w:t>,</w:t>
      </w:r>
      <w:r>
        <w:rPr>
          <w:i/>
          <w:spacing w:val="-1"/>
          <w:sz w:val="24"/>
          <w:szCs w:val="24"/>
        </w:rPr>
        <w:t xml:space="preserve"> </w:t>
      </w:r>
      <w:r>
        <w:rPr>
          <w:i/>
          <w:sz w:val="24"/>
          <w:szCs w:val="24"/>
        </w:rPr>
        <w:t>e-mail:</w:t>
      </w:r>
      <w:r>
        <w:t xml:space="preserve"> </w:t>
      </w:r>
      <w:r>
        <w:rPr>
          <w:i/>
          <w:spacing w:val="-2"/>
          <w:sz w:val="24"/>
          <w:szCs w:val="24"/>
        </w:rPr>
        <w:t xml:space="preserve">renatim@ifes.edu.br; </w:t>
      </w:r>
      <w:r>
        <w:rPr>
          <w:i/>
          <w:sz w:val="24"/>
          <w:szCs w:val="24"/>
          <w:vertAlign w:val="superscript"/>
        </w:rPr>
        <w:t>6</w:t>
      </w:r>
      <w:r>
        <w:rPr>
          <w:i/>
          <w:sz w:val="24"/>
          <w:szCs w:val="24"/>
        </w:rPr>
        <w:t xml:space="preserve">Instituto Federal do Espírito Santo campus – </w:t>
      </w:r>
      <w:r>
        <w:rPr>
          <w:i/>
          <w:sz w:val="24"/>
          <w:szCs w:val="24"/>
          <w:lang w:val="pt-BR"/>
        </w:rPr>
        <w:t>Linhares</w:t>
      </w:r>
      <w:r>
        <w:rPr>
          <w:i/>
          <w:sz w:val="24"/>
          <w:szCs w:val="24"/>
        </w:rPr>
        <w:t>,</w:t>
      </w:r>
      <w:r>
        <w:rPr>
          <w:i/>
          <w:spacing w:val="-1"/>
          <w:sz w:val="24"/>
          <w:szCs w:val="24"/>
        </w:rPr>
        <w:t xml:space="preserve"> </w:t>
      </w:r>
      <w:r>
        <w:rPr>
          <w:i/>
          <w:sz w:val="24"/>
          <w:szCs w:val="24"/>
        </w:rPr>
        <w:t>e-mail:</w:t>
      </w:r>
      <w:r>
        <w:rPr>
          <w:i/>
          <w:spacing w:val="-2"/>
          <w:sz w:val="24"/>
          <w:szCs w:val="24"/>
        </w:rPr>
        <w:t xml:space="preserve"> mcominote@ifes.edu.br</w:t>
      </w:r>
    </w:p>
    <w:p w14:paraId="56C1AB48">
      <w:pPr>
        <w:spacing w:line="228" w:lineRule="exact"/>
        <w:ind w:left="77" w:right="209"/>
        <w:jc w:val="center"/>
        <w:rPr>
          <w:i/>
          <w:spacing w:val="-2"/>
          <w:sz w:val="24"/>
          <w:szCs w:val="24"/>
        </w:rPr>
      </w:pPr>
    </w:p>
    <w:p w14:paraId="5ED4D62D">
      <w:pPr>
        <w:spacing w:line="228" w:lineRule="exact"/>
        <w:ind w:left="77" w:right="209"/>
        <w:jc w:val="right"/>
        <w:rPr>
          <w:b/>
          <w:bCs/>
          <w:i/>
          <w:spacing w:val="-2"/>
          <w:sz w:val="24"/>
          <w:szCs w:val="24"/>
        </w:rPr>
      </w:pPr>
      <w:r>
        <w:rPr>
          <w:b/>
          <w:bCs/>
          <w:i/>
          <w:spacing w:val="-2"/>
          <w:sz w:val="24"/>
          <w:szCs w:val="24"/>
        </w:rPr>
        <w:t xml:space="preserve">Grupo 4: Gestão Ambiental e </w:t>
      </w:r>
      <w:r>
        <w:rPr>
          <w:b/>
          <w:bCs/>
          <w:i/>
          <w:spacing w:val="-2"/>
          <w:sz w:val="24"/>
          <w:szCs w:val="24"/>
          <w:lang w:val="pt-BR"/>
        </w:rPr>
        <w:t>Políticas</w:t>
      </w:r>
      <w:r>
        <w:rPr>
          <w:b/>
          <w:bCs/>
          <w:i/>
          <w:spacing w:val="-2"/>
          <w:sz w:val="24"/>
          <w:szCs w:val="24"/>
        </w:rPr>
        <w:t xml:space="preserve"> Ambientais</w:t>
      </w:r>
    </w:p>
    <w:p w14:paraId="26296134">
      <w:pPr>
        <w:spacing w:line="228" w:lineRule="exact"/>
        <w:ind w:left="77" w:right="209"/>
        <w:jc w:val="right"/>
        <w:rPr>
          <w:b/>
          <w:bCs/>
          <w:i/>
          <w:spacing w:val="-2"/>
          <w:sz w:val="24"/>
          <w:szCs w:val="24"/>
        </w:rPr>
      </w:pPr>
      <w:r>
        <w:rPr>
          <w:b/>
          <w:bCs/>
          <w:i/>
          <w:spacing w:val="-2"/>
          <w:sz w:val="24"/>
          <w:szCs w:val="24"/>
        </w:rPr>
        <w:t>Inovação tecnológica para sustentabilidade</w:t>
      </w:r>
    </w:p>
    <w:p w14:paraId="1C82CE1A">
      <w:pPr>
        <w:spacing w:line="228" w:lineRule="exact"/>
        <w:ind w:left="77" w:right="209"/>
        <w:jc w:val="center"/>
        <w:rPr>
          <w:i/>
          <w:spacing w:val="-2"/>
          <w:sz w:val="24"/>
          <w:szCs w:val="24"/>
        </w:rPr>
      </w:pPr>
    </w:p>
    <w:p w14:paraId="6129767D">
      <w:pPr>
        <w:spacing w:line="228" w:lineRule="exact"/>
        <w:ind w:left="77" w:right="209"/>
        <w:jc w:val="center"/>
        <w:rPr>
          <w:b/>
          <w:bCs/>
          <w:iCs/>
          <w:sz w:val="28"/>
          <w:szCs w:val="28"/>
        </w:rPr>
      </w:pPr>
      <w:r>
        <w:rPr>
          <w:b/>
          <w:bCs/>
          <w:iCs/>
          <w:sz w:val="28"/>
          <w:szCs w:val="28"/>
        </w:rPr>
        <w:t>Resumo</w:t>
      </w:r>
    </w:p>
    <w:p w14:paraId="0EB37859">
      <w:pPr>
        <w:spacing w:line="228" w:lineRule="exact"/>
        <w:ind w:left="77" w:right="209"/>
        <w:jc w:val="both"/>
        <w:rPr>
          <w:iCs/>
          <w:sz w:val="24"/>
          <w:szCs w:val="24"/>
        </w:rPr>
      </w:pPr>
    </w:p>
    <w:p w14:paraId="161CA721">
      <w:pPr>
        <w:ind w:right="209"/>
        <w:jc w:val="both"/>
        <w:rPr>
          <w:iCs/>
          <w:sz w:val="24"/>
          <w:szCs w:val="24"/>
        </w:rPr>
      </w:pPr>
      <w:r>
        <w:rPr>
          <w:iCs/>
          <w:sz w:val="24"/>
          <w:szCs w:val="24"/>
        </w:rPr>
        <w:t>A busca por métodos analíticos mais sustentáveis tem estimulado o uso de compostos naturais como alternativa a reagentes sintéticos no monitoramento da qualidade da água. Nesse contexto, este estudo avaliou a viabilidade do uso de antocianinas extraídas da casca de cacau como reagente colorimétrico para determinação de alumínio em água, em substituição ao método com Eriocromo de Cianina R. As antocianinas foram extraídas, purificadas e submetidas a estudos de complexação com íons Al³⁺ em diferentes pHs (4, 5 e 6). Foram realizadas varreduras espectrais na região do visível para identificação do comprimento de onda de máxima absorbância, avaliação da estabilidade do complexo entre 0 e 10 minutos e construção de curva analítica na faixa de 0,05 a 0,40 mg/L, incluindo 0,20 mg/L, limite máximo permitido pela Portaria GM/MS nº 888/2021. Apesar da formação de complexo com resposta espectrofotométrica detectável, o sistema apresentou instabilidade, variação de cor, formação de material particulado e ausência de linearidade adequada, comprometendo a precisão e reprodutibilidade do método. Conclui-se que, nas condições avaliadas, as antocianinas não apresentaram desempenho adequado para aplicação quantitativa.</w:t>
      </w:r>
    </w:p>
    <w:p w14:paraId="64446AB0">
      <w:pPr>
        <w:jc w:val="both"/>
        <w:rPr>
          <w:b/>
          <w:sz w:val="24"/>
          <w:szCs w:val="24"/>
        </w:rPr>
      </w:pPr>
    </w:p>
    <w:p w14:paraId="2FBDC9A4">
      <w:pPr>
        <w:jc w:val="both"/>
        <w:rPr>
          <w:spacing w:val="-2"/>
          <w:sz w:val="24"/>
          <w:szCs w:val="24"/>
        </w:rPr>
      </w:pPr>
      <w:r>
        <w:rPr>
          <w:b/>
          <w:sz w:val="24"/>
          <w:szCs w:val="24"/>
        </w:rPr>
        <w:t>Palavras-chave:</w:t>
      </w:r>
      <w:r>
        <w:rPr>
          <w:b/>
          <w:spacing w:val="-2"/>
          <w:sz w:val="24"/>
          <w:szCs w:val="24"/>
        </w:rPr>
        <w:t xml:space="preserve"> </w:t>
      </w:r>
      <w:r>
        <w:rPr>
          <w:sz w:val="24"/>
          <w:szCs w:val="24"/>
        </w:rPr>
        <w:t>Antocianinas; Casca de cacau; Espectrofotometria; Extração; Purificação</w:t>
      </w:r>
      <w:r>
        <w:rPr>
          <w:spacing w:val="-2"/>
          <w:sz w:val="24"/>
          <w:szCs w:val="24"/>
        </w:rPr>
        <w:t>.</w:t>
      </w:r>
    </w:p>
    <w:p w14:paraId="1EED5B0B">
      <w:pPr>
        <w:jc w:val="both"/>
        <w:rPr>
          <w:b/>
          <w:bCs/>
          <w:spacing w:val="-2"/>
          <w:sz w:val="28"/>
          <w:szCs w:val="28"/>
        </w:rPr>
      </w:pPr>
    </w:p>
    <w:p w14:paraId="12CA6CE5">
      <w:pPr>
        <w:jc w:val="both"/>
        <w:rPr>
          <w:b/>
          <w:bCs/>
          <w:spacing w:val="-2"/>
          <w:sz w:val="28"/>
          <w:szCs w:val="28"/>
        </w:rPr>
      </w:pPr>
      <w:r>
        <w:rPr>
          <w:b/>
          <w:bCs/>
          <w:spacing w:val="-2"/>
          <w:sz w:val="28"/>
          <w:szCs w:val="28"/>
        </w:rPr>
        <w:t>Introdução</w:t>
      </w:r>
    </w:p>
    <w:p w14:paraId="7AC053FF">
      <w:pPr>
        <w:pStyle w:val="6"/>
        <w:spacing w:before="1" w:line="360" w:lineRule="auto"/>
        <w:ind w:firstLine="720"/>
        <w:jc w:val="both"/>
        <w:rPr>
          <w:sz w:val="24"/>
          <w:szCs w:val="24"/>
        </w:rPr>
      </w:pPr>
    </w:p>
    <w:p w14:paraId="3F63506D">
      <w:pPr>
        <w:pStyle w:val="6"/>
        <w:spacing w:before="1" w:line="360" w:lineRule="auto"/>
        <w:ind w:firstLine="720"/>
        <w:jc w:val="both"/>
        <w:rPr>
          <w:sz w:val="24"/>
          <w:szCs w:val="24"/>
        </w:rPr>
      </w:pPr>
      <w:r>
        <w:rPr>
          <w:sz w:val="24"/>
          <w:szCs w:val="24"/>
        </w:rPr>
        <w:t>O alumínio é um elemento naturalmente presente em fontes de água, mas sua concentração pode ser elevada por atividades humanas como mineração e descarte industrial, o que representa riscos à saúde, incluindo doenças neurodegenerativas (</w:t>
      </w:r>
      <w:r>
        <w:rPr>
          <w:sz w:val="24"/>
          <w:szCs w:val="24"/>
          <w:lang w:val="pt-BR"/>
        </w:rPr>
        <w:t>A</w:t>
      </w:r>
      <w:r>
        <w:rPr>
          <w:sz w:val="24"/>
          <w:szCs w:val="24"/>
        </w:rPr>
        <w:t>lonso-</w:t>
      </w:r>
      <w:r>
        <w:rPr>
          <w:sz w:val="24"/>
          <w:szCs w:val="24"/>
          <w:lang w:val="pt-BR"/>
        </w:rPr>
        <w:t>M</w:t>
      </w:r>
      <w:r>
        <w:rPr>
          <w:sz w:val="24"/>
          <w:szCs w:val="24"/>
        </w:rPr>
        <w:t>ateos et al., 2008). No Brasil, os limites seguros de alumínio na água são definidos pela Portaria nº 888/2021 do Ministério da Saúde, e a Resolução CONAMA nº 357/2005 estabelece critérios para proteção dos corpos hídricos. A quantificação do metal pode ser feita por técnicas como espectrofotometria, ICP-OES e colorimetria com Eriocromo de Cianina R (</w:t>
      </w:r>
      <w:r>
        <w:rPr>
          <w:color w:val="auto"/>
          <w:sz w:val="24"/>
          <w:szCs w:val="24"/>
        </w:rPr>
        <w:t>A</w:t>
      </w:r>
      <w:r>
        <w:rPr>
          <w:color w:val="auto"/>
          <w:sz w:val="24"/>
          <w:szCs w:val="24"/>
          <w:lang w:val="pt-BR"/>
        </w:rPr>
        <w:t>PHA</w:t>
      </w:r>
      <w:r>
        <w:rPr>
          <w:sz w:val="24"/>
          <w:szCs w:val="24"/>
        </w:rPr>
        <w:t>, 2023). Estudos recentes investigam metodologias alternativas com base em química verde, como</w:t>
      </w:r>
      <w:bookmarkStart w:id="1" w:name="_GoBack"/>
      <w:bookmarkEnd w:id="1"/>
      <w:r>
        <w:rPr>
          <w:sz w:val="24"/>
          <w:szCs w:val="24"/>
        </w:rPr>
        <w:t xml:space="preserve"> o uso de extratos vegetais e nanopartículas. Apesar do potencial das antocianinas na complexação com alumínio, seu uso para análise quantitativa em água ainda é pouco explorado. Nesse contexto, propõe-se avaliar o uso de antocianinas extraídas da casca de cacau como agente complexante para a determinação quantitativa de íons de alumínio em amostras de água, aproveitando um resíduo abundante na produção agrícola e promovendo soluções sustentáveis para a análise ambiental.</w:t>
      </w:r>
    </w:p>
    <w:p w14:paraId="601149ED">
      <w:pPr>
        <w:pStyle w:val="6"/>
        <w:spacing w:before="1" w:line="360" w:lineRule="auto"/>
        <w:ind w:firstLine="720"/>
        <w:jc w:val="both"/>
        <w:rPr>
          <w:sz w:val="24"/>
          <w:szCs w:val="24"/>
        </w:rPr>
      </w:pPr>
    </w:p>
    <w:p w14:paraId="124DEB42">
      <w:pPr>
        <w:pStyle w:val="6"/>
        <w:spacing w:before="1" w:line="360" w:lineRule="auto"/>
        <w:jc w:val="both"/>
        <w:rPr>
          <w:b/>
          <w:bCs/>
          <w:sz w:val="28"/>
          <w:szCs w:val="28"/>
        </w:rPr>
      </w:pPr>
      <w:r>
        <w:rPr>
          <w:b/>
          <w:bCs/>
          <w:sz w:val="28"/>
          <w:szCs w:val="28"/>
        </w:rPr>
        <w:t>Metodologia</w:t>
      </w:r>
    </w:p>
    <w:p w14:paraId="5246F481">
      <w:pPr>
        <w:pStyle w:val="6"/>
        <w:spacing w:before="1" w:line="360" w:lineRule="auto"/>
        <w:ind w:firstLine="720"/>
        <w:jc w:val="both"/>
        <w:rPr>
          <w:sz w:val="24"/>
          <w:szCs w:val="24"/>
        </w:rPr>
      </w:pPr>
      <w:r>
        <w:rPr>
          <w:sz w:val="24"/>
          <w:szCs w:val="24"/>
        </w:rPr>
        <w:t>Trata‑se de uma pesquisa experimental, de natureza quantitativa, estruturada em etapas de extração de antocianinas da casca do cacau, purificação deste extrato, análise espectrofotométrica e avaliação do complexo antocianina–alumínio.</w:t>
      </w:r>
    </w:p>
    <w:p w14:paraId="071ED52E">
      <w:pPr>
        <w:pStyle w:val="6"/>
        <w:spacing w:before="1" w:line="360" w:lineRule="auto"/>
        <w:ind w:firstLine="720"/>
        <w:jc w:val="both"/>
        <w:rPr>
          <w:sz w:val="24"/>
          <w:szCs w:val="24"/>
        </w:rPr>
      </w:pPr>
      <w:r>
        <w:rPr>
          <w:sz w:val="24"/>
          <w:szCs w:val="24"/>
        </w:rPr>
        <w:t>Os frutos de cacau da variedade PH16 foram obtidos por doação de uma propriedade do município de Linhares/ES. Inicialmente, foram conduzidos testes com esta variedade, pois em função da maior intensidade de coloração da casca, indicando maior teor de antocianinas.</w:t>
      </w:r>
    </w:p>
    <w:p w14:paraId="44E4F0CB">
      <w:pPr>
        <w:pStyle w:val="6"/>
        <w:spacing w:before="1" w:line="360" w:lineRule="auto"/>
        <w:ind w:firstLine="720"/>
        <w:jc w:val="both"/>
        <w:rPr>
          <w:sz w:val="24"/>
          <w:szCs w:val="24"/>
        </w:rPr>
      </w:pPr>
      <w:r>
        <w:rPr>
          <w:sz w:val="24"/>
          <w:szCs w:val="24"/>
        </w:rPr>
        <w:t xml:space="preserve">Após a coleta, os frutos foram higienizados com água destilada, e o epicarpo raspado. O material obtido foi imerso em solução de etanol 70% (v/v), acidificada com HCl até pH 2, na proporção 1:10 (m/v), mantido por 24 horas a 5°C e protegido da luz. Na sequência o extrato foi filtrado a vácuo em papel de filtração rápida. </w:t>
      </w:r>
    </w:p>
    <w:p w14:paraId="1DF68699">
      <w:pPr>
        <w:pStyle w:val="6"/>
        <w:spacing w:before="1" w:line="360" w:lineRule="auto"/>
        <w:ind w:firstLine="720"/>
        <w:jc w:val="both"/>
        <w:rPr>
          <w:sz w:val="24"/>
          <w:szCs w:val="24"/>
        </w:rPr>
      </w:pPr>
      <w:r>
        <w:rPr>
          <w:sz w:val="24"/>
          <w:szCs w:val="24"/>
        </w:rPr>
        <w:t>A purificação do extrato foi realizada utilizando cartuchos de separação C18 (Sep-Pak Vac 35cc – Waters), com o objetivo de remover interferentes como ácido ascórbico, açúcares, aminoácidos, ácidos fenólicos e flavonóis. Inicialmente, o cartucho foi condicionado com metanol e água destilada acidificada (0,01% de HCl). Uma alíquota de 25 mL do extrato bruto foi aplicada, eliminando os interferentes com água acidificada e removendo os compostos fenólicos com acetato de etila. As antocianinas purificadas foram então eluidas com 50 mL de metanol, conforme as metodologias de Rodriguez-Saona e Wrolstad (2001) e Noratto et al. (2010). A fração metanólica foi concentrada em rotaevaporador a 45°C.</w:t>
      </w:r>
    </w:p>
    <w:p w14:paraId="15964FCF">
      <w:pPr>
        <w:pStyle w:val="6"/>
        <w:spacing w:before="1" w:line="360" w:lineRule="auto"/>
        <w:ind w:firstLine="720"/>
        <w:jc w:val="both"/>
        <w:rPr>
          <w:sz w:val="24"/>
          <w:szCs w:val="24"/>
        </w:rPr>
      </w:pPr>
      <w:r>
        <w:rPr>
          <w:sz w:val="24"/>
          <w:szCs w:val="24"/>
        </w:rPr>
        <w:t>Inicialmente, foram realizadas varreduras espectrais na região do visível com soluções contendo diferentes concentrações de íons Al³⁺, a fim de identificar o comprimento de onda correspondente à máxima absorbância do complexo antocianina–alumínio. Foram preparadas soluções padrão nas concentrações de 0,05; 0,10; 0,20; 0,30 e 0,40 mg L⁻¹, contemplando valores abaixo, no limite e acima do valor máximo permitido para alumínio em água potável (0,20 mg/L), conforme estabelecido pela Portaria GM/MS nº 888/2021 do Ministério da Saúde. Também foram realizados experimentos de complexação em diferentes condições de pH, utilizando soluções tampão pH 4, 5 e 6, com o objetivo de avaliar a influência do meio na formação e estabilidade do complexo. Adicionalmente, foi investigada a estabilidade temporal do complexo formado, monitorando-se a variação da absorbância (intensidade da cor) no intervalo de 0 a 10 minutos após a complexação. Durante essa etapa, foram ainda avaliados possíveis deslocamentos batocrômicos e efeitos hipercrômicos decorrentes do processo de complexação. Após a definição do comprimento de onda de maior absorção (λmáx), procederam-se às leituras espectrofotométricas das soluções padrão no comprimento de onda selecionado.</w:t>
      </w:r>
    </w:p>
    <w:p w14:paraId="428082D4">
      <w:pPr>
        <w:pStyle w:val="6"/>
        <w:spacing w:before="1" w:line="360" w:lineRule="auto"/>
        <w:ind w:firstLine="720"/>
        <w:jc w:val="both"/>
        <w:rPr>
          <w:sz w:val="24"/>
          <w:szCs w:val="24"/>
        </w:rPr>
      </w:pPr>
      <w:r>
        <w:rPr>
          <w:sz w:val="24"/>
          <w:szCs w:val="24"/>
        </w:rPr>
        <w:t>Com base nos valores de absorbância obtidos, foi construída uma curva analítica relacionando absorbância em função da concentração de Al³⁺, utilizando o software Microsoft Excel. Ajustou-se um modelo de regressão linear aos dados experimentais, e a qualidade do ajuste foi avaliada por meio do coeficiente de determinação (R²), além da verificação da linearidade no intervalo de concentração estudado.</w:t>
      </w:r>
    </w:p>
    <w:p w14:paraId="5727D58F">
      <w:pPr>
        <w:pStyle w:val="6"/>
        <w:spacing w:before="1" w:line="360" w:lineRule="auto"/>
        <w:rPr>
          <w:sz w:val="24"/>
          <w:szCs w:val="24"/>
        </w:rPr>
      </w:pPr>
    </w:p>
    <w:p w14:paraId="2E38A0EC">
      <w:pPr>
        <w:pStyle w:val="6"/>
        <w:spacing w:before="1" w:line="360" w:lineRule="auto"/>
        <w:jc w:val="both"/>
        <w:rPr>
          <w:b/>
          <w:bCs/>
          <w:sz w:val="28"/>
          <w:szCs w:val="28"/>
        </w:rPr>
      </w:pPr>
      <w:r>
        <w:rPr>
          <w:b/>
          <w:bCs/>
          <w:sz w:val="28"/>
          <w:szCs w:val="28"/>
        </w:rPr>
        <w:t>Resultados e Discussão</w:t>
      </w:r>
    </w:p>
    <w:p w14:paraId="4D824CA2">
      <w:pPr>
        <w:pStyle w:val="6"/>
        <w:spacing w:before="1" w:line="360" w:lineRule="auto"/>
        <w:ind w:firstLine="720"/>
        <w:jc w:val="both"/>
        <w:rPr>
          <w:sz w:val="24"/>
          <w:szCs w:val="24"/>
          <w:lang w:val="pt-BR"/>
        </w:rPr>
      </w:pPr>
      <w:r>
        <w:rPr>
          <w:sz w:val="24"/>
          <w:szCs w:val="24"/>
        </w:rPr>
        <w:t xml:space="preserve">A interação entre as antocianinas extraídas da casca de cacau e os íons Al³⁺ foi avaliada por meio de varredura espectral na região do visível, com a finalidade de determinar o comprimento de onda de máxima absorbância do complexo formado. A varredura foi realizada imediatamente após a adição do extrato purificado à solução contendo tampão pH 6 e alumínio (0,4 mg/L), na proporção 1:10:50 (extrato:tampão:metal). Conforme evidenciado na </w:t>
      </w:r>
      <w:r>
        <w:rPr>
          <w:color w:val="auto"/>
          <w:sz w:val="24"/>
          <w:szCs w:val="24"/>
        </w:rPr>
        <w:t xml:space="preserve">Figura </w:t>
      </w:r>
      <w:r>
        <w:rPr>
          <w:sz w:val="24"/>
          <w:szCs w:val="24"/>
        </w:rPr>
        <w:t>1, observou-se o surgimento de uma banda de absorção com máximo em 620 nm, indicando a formação de um complexo, decorrente da interação química entre o sistema cromóforo das antocianinas e o cátion Al³⁺, sob condições controladas de pH</w:t>
      </w:r>
      <w:r>
        <w:rPr>
          <w:sz w:val="24"/>
          <w:szCs w:val="24"/>
          <w:lang w:val="pt-BR"/>
        </w:rPr>
        <w:t>.</w:t>
      </w:r>
    </w:p>
    <w:p w14:paraId="1AC2C6F5">
      <w:pPr>
        <w:pStyle w:val="6"/>
        <w:spacing w:before="1" w:line="360" w:lineRule="auto"/>
        <w:ind w:firstLine="720"/>
        <w:jc w:val="both"/>
        <w:rPr>
          <w:sz w:val="24"/>
          <w:szCs w:val="24"/>
          <w:lang w:val="pt-BR"/>
        </w:rPr>
      </w:pPr>
    </w:p>
    <w:p w14:paraId="3D577241">
      <w:pPr>
        <w:pStyle w:val="6"/>
        <w:spacing w:before="1" w:line="360" w:lineRule="auto"/>
        <w:ind w:firstLine="720"/>
        <w:jc w:val="both"/>
        <w:rPr>
          <w:sz w:val="24"/>
          <w:szCs w:val="24"/>
          <w:lang w:val="pt-BR"/>
        </w:rPr>
      </w:pPr>
    </w:p>
    <w:p w14:paraId="5EC70BDE">
      <w:pPr>
        <w:pStyle w:val="6"/>
        <w:spacing w:before="1" w:line="360" w:lineRule="auto"/>
        <w:ind w:firstLine="720"/>
        <w:jc w:val="both"/>
        <w:rPr>
          <w:sz w:val="24"/>
          <w:szCs w:val="24"/>
          <w:lang w:val="pt-BR"/>
        </w:rPr>
      </w:pPr>
    </w:p>
    <w:p w14:paraId="151F1ED7">
      <w:pPr>
        <w:pStyle w:val="6"/>
        <w:spacing w:before="1" w:line="360" w:lineRule="auto"/>
        <w:ind w:firstLine="720"/>
        <w:jc w:val="both"/>
        <w:rPr>
          <w:sz w:val="24"/>
          <w:szCs w:val="24"/>
          <w:lang w:val="pt-BR"/>
        </w:rPr>
      </w:pPr>
    </w:p>
    <w:p w14:paraId="65EED3C1">
      <w:pPr>
        <w:pStyle w:val="6"/>
        <w:spacing w:before="1" w:line="360" w:lineRule="auto"/>
        <w:ind w:firstLine="720"/>
        <w:jc w:val="both"/>
        <w:rPr>
          <w:sz w:val="24"/>
          <w:szCs w:val="24"/>
          <w:lang w:val="pt-BR"/>
        </w:rPr>
      </w:pPr>
    </w:p>
    <w:p w14:paraId="163E6F0E">
      <w:pPr>
        <w:pStyle w:val="6"/>
        <w:spacing w:before="1" w:line="360" w:lineRule="auto"/>
        <w:ind w:firstLine="720"/>
        <w:jc w:val="both"/>
        <w:rPr>
          <w:sz w:val="24"/>
          <w:szCs w:val="24"/>
          <w:lang w:val="pt-BR"/>
        </w:rPr>
      </w:pPr>
    </w:p>
    <w:p w14:paraId="74371AB0">
      <w:pPr>
        <w:pStyle w:val="6"/>
        <w:spacing w:before="1" w:line="360" w:lineRule="auto"/>
        <w:ind w:firstLine="720"/>
        <w:jc w:val="both"/>
        <w:rPr>
          <w:sz w:val="24"/>
          <w:szCs w:val="24"/>
          <w:lang w:val="pt-BR"/>
        </w:rPr>
      </w:pPr>
    </w:p>
    <w:p w14:paraId="0107D165">
      <w:pPr>
        <w:pStyle w:val="6"/>
        <w:spacing w:before="1" w:line="360" w:lineRule="auto"/>
        <w:ind w:firstLine="720"/>
        <w:jc w:val="both"/>
        <w:rPr>
          <w:sz w:val="24"/>
          <w:szCs w:val="24"/>
          <w:lang w:val="pt-BR"/>
        </w:rPr>
      </w:pPr>
    </w:p>
    <w:p w14:paraId="23F8C21F">
      <w:pPr>
        <w:pStyle w:val="6"/>
        <w:spacing w:before="1" w:line="360" w:lineRule="auto"/>
        <w:jc w:val="both"/>
        <w:rPr>
          <w:sz w:val="24"/>
          <w:szCs w:val="24"/>
          <w:lang w:val="pt-BR"/>
        </w:rPr>
      </w:pPr>
      <w:r>
        <w:rPr>
          <w:b/>
          <w:bCs/>
          <w:lang w:val="pt-BR"/>
        </w:rPr>
        <w:t xml:space="preserve">Figura </w:t>
      </w:r>
      <w:r>
        <w:rPr>
          <w:b/>
          <w:bCs/>
        </w:rPr>
        <w:t>1: Varredura espectral do complexo antocianina–Al³⁺ na região do visível para determinação do comprimento de onda de máxima absorbância.</w:t>
      </w:r>
    </w:p>
    <w:p w14:paraId="193BDC1B">
      <w:pPr>
        <w:pStyle w:val="6"/>
        <w:tabs>
          <w:tab w:val="left" w:pos="5280"/>
        </w:tabs>
        <w:spacing w:before="1" w:line="360" w:lineRule="auto"/>
        <w:jc w:val="center"/>
        <w:rPr>
          <w:sz w:val="24"/>
          <w:szCs w:val="24"/>
          <w:lang w:val="pt-BR"/>
        </w:rPr>
      </w:pPr>
      <w:r>
        <w:rPr>
          <w:rFonts w:ascii="Arial" w:hAnsi="Arial" w:eastAsia="SimSun" w:cs="Arial"/>
          <w:color w:val="FF0000"/>
        </w:rPr>
        <w:drawing>
          <wp:inline distT="0" distB="0" distL="114300" distR="114300">
            <wp:extent cx="3559175" cy="2135505"/>
            <wp:effectExtent l="0" t="0" r="6985" b="13335"/>
            <wp:docPr id="1" name="Imagem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IMG_256"/>
                    <pic:cNvPicPr>
                      <a:picLocks noChangeAspect="1"/>
                    </pic:cNvPicPr>
                  </pic:nvPicPr>
                  <pic:blipFill>
                    <a:blip r:embed="rId6"/>
                    <a:stretch>
                      <a:fillRect/>
                    </a:stretch>
                  </pic:blipFill>
                  <pic:spPr>
                    <a:xfrm>
                      <a:off x="0" y="0"/>
                      <a:ext cx="3559175" cy="2135505"/>
                    </a:xfrm>
                    <a:prstGeom prst="rect">
                      <a:avLst/>
                    </a:prstGeom>
                    <a:noFill/>
                    <a:ln w="9525">
                      <a:noFill/>
                    </a:ln>
                  </pic:spPr>
                </pic:pic>
              </a:graphicData>
            </a:graphic>
          </wp:inline>
        </w:drawing>
      </w:r>
    </w:p>
    <w:p w14:paraId="2877C9AB">
      <w:pPr>
        <w:pStyle w:val="6"/>
        <w:spacing w:before="1" w:line="360" w:lineRule="auto"/>
        <w:jc w:val="both"/>
        <w:rPr>
          <w:sz w:val="24"/>
          <w:szCs w:val="24"/>
        </w:rPr>
      </w:pPr>
      <w:r>
        <w:rPr>
          <w:lang w:val="pt-BR"/>
        </w:rPr>
        <w:t>Fonte: Elaborado pelo autor (2025).</w:t>
      </w:r>
    </w:p>
    <w:p w14:paraId="16807CC1">
      <w:pPr>
        <w:pStyle w:val="6"/>
        <w:spacing w:before="1" w:line="360" w:lineRule="auto"/>
        <w:ind w:firstLine="720"/>
        <w:jc w:val="both"/>
        <w:rPr>
          <w:sz w:val="24"/>
          <w:szCs w:val="24"/>
        </w:rPr>
      </w:pPr>
      <w:r>
        <w:rPr>
          <w:sz w:val="24"/>
          <w:szCs w:val="24"/>
        </w:rPr>
        <w:t xml:space="preserve">A partir da determinação do comprimento de onda de absorção máxima, 620 nm, procedeu-se à avaliação da estabilidade do complexo ao longo do tempo. O monitoramento foi realizado no intervalo de 0 a 10 minutos após a complexação, mantendo-se o tampão pH 6 e empregando a relação 2:10:50 (extrato:tampão:metal), com solução de alumínio na concentração de 0,4 mg/L. Conforme apresentado no </w:t>
      </w:r>
      <w:r>
        <w:rPr>
          <w:color w:val="auto"/>
          <w:sz w:val="24"/>
          <w:szCs w:val="24"/>
        </w:rPr>
        <w:t xml:space="preserve">Figura </w:t>
      </w:r>
      <w:r>
        <w:rPr>
          <w:sz w:val="24"/>
          <w:szCs w:val="24"/>
        </w:rPr>
        <w:t>2, observou-se redução progressiva da absorbância ao longo do tempo, indicando instabilidade do complexo antocianina–Al³⁺.</w:t>
      </w:r>
    </w:p>
    <w:p w14:paraId="5A3EA8DA">
      <w:pPr>
        <w:pStyle w:val="6"/>
        <w:spacing w:before="1" w:line="360" w:lineRule="auto"/>
        <w:jc w:val="both"/>
        <w:rPr>
          <w:b/>
          <w:bCs/>
          <w:lang w:val="pt-BR"/>
        </w:rPr>
      </w:pPr>
      <w:r>
        <w:rPr>
          <w:b/>
          <w:bCs/>
          <w:lang w:val="pt-BR"/>
        </w:rPr>
        <w:t>Figura 2: Avaliação da estabilidade temporal do complexo antocianina–Al³⁺ no intervalo de 0 a 10 minutos por monitoramento da absorbância.</w:t>
      </w:r>
    </w:p>
    <w:p w14:paraId="30E0A640">
      <w:pPr>
        <w:pStyle w:val="6"/>
        <w:spacing w:before="1" w:line="360" w:lineRule="auto"/>
        <w:jc w:val="center"/>
        <w:rPr>
          <w:b/>
          <w:bCs/>
          <w:lang w:val="pt-BR"/>
        </w:rPr>
      </w:pPr>
      <w:r>
        <w:rPr>
          <w:rFonts w:ascii="Arial" w:hAnsi="Arial" w:eastAsia="SimSun" w:cs="Arial"/>
          <w:color w:val="FF0000"/>
          <w:sz w:val="24"/>
          <w:szCs w:val="24"/>
        </w:rPr>
        <w:drawing>
          <wp:inline distT="0" distB="0" distL="114300" distR="114300">
            <wp:extent cx="3733800" cy="2249170"/>
            <wp:effectExtent l="0" t="0" r="0" b="6350"/>
            <wp:docPr id="3" name="Imagem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descr="IMG_256"/>
                    <pic:cNvPicPr>
                      <a:picLocks noChangeAspect="1"/>
                    </pic:cNvPicPr>
                  </pic:nvPicPr>
                  <pic:blipFill>
                    <a:blip r:embed="rId7"/>
                    <a:stretch>
                      <a:fillRect/>
                    </a:stretch>
                  </pic:blipFill>
                  <pic:spPr>
                    <a:xfrm>
                      <a:off x="0" y="0"/>
                      <a:ext cx="3733800" cy="2249170"/>
                    </a:xfrm>
                    <a:prstGeom prst="rect">
                      <a:avLst/>
                    </a:prstGeom>
                    <a:noFill/>
                    <a:ln w="9525">
                      <a:noFill/>
                    </a:ln>
                  </pic:spPr>
                </pic:pic>
              </a:graphicData>
            </a:graphic>
          </wp:inline>
        </w:drawing>
      </w:r>
    </w:p>
    <w:p w14:paraId="3556A863">
      <w:pPr>
        <w:pStyle w:val="6"/>
        <w:spacing w:before="1" w:line="360" w:lineRule="auto"/>
        <w:jc w:val="both"/>
        <w:rPr>
          <w:b/>
          <w:bCs/>
          <w:lang w:val="pt-BR"/>
        </w:rPr>
      </w:pPr>
      <w:r>
        <w:rPr>
          <w:lang w:val="pt-BR"/>
        </w:rPr>
        <w:t>Fonte: Elaborado pelo autor (2025).</w:t>
      </w:r>
    </w:p>
    <w:p w14:paraId="5886AE36">
      <w:pPr>
        <w:pStyle w:val="6"/>
        <w:spacing w:before="1" w:line="360" w:lineRule="auto"/>
        <w:ind w:firstLine="720"/>
        <w:jc w:val="both"/>
        <w:rPr>
          <w:sz w:val="24"/>
          <w:szCs w:val="24"/>
        </w:rPr>
      </w:pPr>
      <w:r>
        <w:rPr>
          <w:sz w:val="24"/>
          <w:szCs w:val="24"/>
        </w:rPr>
        <w:t xml:space="preserve"> Ainda em relação ao monitoramento temporal, no intervalo entre 2 e 7 minutos a absorbância apresentou pequenas oscilações (elevação e decréscimo). Para esse intervalo, obteve-se média de absorbância de 0,0241 e desvio padrão de 0,0041, resultando em coeficiente de variação de 17,36%. Apesar da aparente constância gráfica, o valor do desvio percentual indica dispersão moderada dos dados, o que compromete a precisão analítica. Em métodos quantitativos baseados em espectrofotometria UV-Vis, tal variabilidade é considerada significativa.</w:t>
      </w:r>
    </w:p>
    <w:p w14:paraId="41D63C10">
      <w:pPr>
        <w:pStyle w:val="6"/>
        <w:spacing w:before="1" w:line="360" w:lineRule="auto"/>
        <w:ind w:firstLine="720"/>
        <w:jc w:val="both"/>
        <w:rPr>
          <w:sz w:val="24"/>
          <w:szCs w:val="24"/>
        </w:rPr>
      </w:pPr>
      <w:r>
        <w:rPr>
          <w:sz w:val="24"/>
          <w:szCs w:val="24"/>
        </w:rPr>
        <w:t>Para avaliar a resposta quantitativa do método, uma curva de calibração foi elaborada com leitura imediata após a complexação, empregando-se a proporção 1:10:50 (extrato:tampão pH 6:metal), com o objetivo de minimizar os efeitos da instabilidade temporal previamente observada. A faixa de concentração adotada compreendeu valores de 0,05 a 0,40 mg/L de Al³⁺, incluindo a concentração de 0,20 mg/L, correspondente ao limite máximo permitido pela Portaria GM/MS nº 888/2021 para água destinada ao consumo humano. Observou-se aumento geral da absorbância com o incremento da concentração de alumínio; contudo, a relação entre as variáveis não apresentou linearidade satisfatória em todo o intervalo estudado. Esse comportamento é evidenciado pelo coeficiente de determinação (R² = 0,8666), valor inferior ao recomendado para métodos analíticos quantitativos, indicando limitações na aplicabilidade do modelo linear proposto.</w:t>
      </w:r>
    </w:p>
    <w:p w14:paraId="5109A8AB">
      <w:pPr>
        <w:pStyle w:val="6"/>
        <w:spacing w:before="1" w:line="360" w:lineRule="auto"/>
        <w:ind w:firstLine="720"/>
        <w:jc w:val="both"/>
        <w:rPr>
          <w:strike/>
          <w:color w:val="FF0000"/>
          <w:sz w:val="24"/>
          <w:szCs w:val="24"/>
        </w:rPr>
      </w:pPr>
      <w:r>
        <w:rPr>
          <w:sz w:val="24"/>
          <w:szCs w:val="24"/>
        </w:rPr>
        <w:t>Em todas as concentrações de alumínio avaliadas, na presença do extrato e tampão em pH 6, observou-se, ao longo do tempo, a formação de material particulado em suspensão, sugerindo possível precipitação do complexo ou degradação do sistema cromóforo. Esse comportamento pode estar diretamente relacionado à ausência de linearidade observada na curva analítica, uma vez que a instabilidade do complexo compromete a proporcionalidade entre concentração e resposta espectrofotométrica. Adicionalmente, a presença de impurezas remanescentes no extrato vegetal, bem como a influência da força iônica do meio na dinâmica de complexação metálica, podem ter interferido na formação e manutenção do complexo antocianina–Al³⁺. Soma-se a isso a própria natureza química das antocianinas, compostos reconhecidamente sensíveis a variações de pH, temperatura e à presença de oxigênio, fatores que podem favorecer processos de degradação estrutural e, consequentemente, impactar a estabilidade e a resposta analítica do sistema.</w:t>
      </w:r>
    </w:p>
    <w:p w14:paraId="7A9890A5">
      <w:pPr>
        <w:pStyle w:val="6"/>
        <w:spacing w:line="360" w:lineRule="auto"/>
        <w:ind w:firstLine="720"/>
        <w:jc w:val="both"/>
        <w:rPr>
          <w:sz w:val="24"/>
          <w:szCs w:val="24"/>
        </w:rPr>
      </w:pPr>
    </w:p>
    <w:p w14:paraId="49F1F2B1">
      <w:pPr>
        <w:pStyle w:val="6"/>
        <w:spacing w:line="360" w:lineRule="auto"/>
        <w:jc w:val="both"/>
        <w:rPr>
          <w:b/>
          <w:bCs/>
          <w:sz w:val="28"/>
          <w:szCs w:val="28"/>
        </w:rPr>
      </w:pPr>
      <w:r>
        <w:rPr>
          <w:b/>
          <w:bCs/>
          <w:sz w:val="28"/>
          <w:szCs w:val="28"/>
        </w:rPr>
        <w:t>Conclusão ou Considerações Finais</w:t>
      </w:r>
    </w:p>
    <w:p w14:paraId="61F847BE">
      <w:pPr>
        <w:pStyle w:val="6"/>
        <w:spacing w:line="360" w:lineRule="auto"/>
        <w:ind w:firstLine="720"/>
        <w:jc w:val="both"/>
        <w:rPr>
          <w:sz w:val="24"/>
          <w:szCs w:val="24"/>
        </w:rPr>
      </w:pPr>
      <w:r>
        <w:rPr>
          <w:sz w:val="24"/>
          <w:szCs w:val="24"/>
        </w:rPr>
        <w:t>Os resultados indicaram que, em tampão pH 6, ocorre a formação do complexo entre o alumínio e as antocianinas presentes no extrato purificado da casca de cacau da variedade PH16. Entretanto, a presença de outras substâncias possivelmente não removidas durante a etapa de purificação da fase metanoica promove a aglutinação do alumínio, resultando em material particulado que interfere na formação adequada do complexo colorido. Esses achados sugerem a necessidade de aprimorar o processo de purificação do extrato e de avaliar condições alternativas de complexação, incluindo o uso de tampões mais ácidos, na faixa de pH 4 a 5.</w:t>
      </w:r>
    </w:p>
    <w:p w14:paraId="0CE51CE4">
      <w:pPr>
        <w:pStyle w:val="6"/>
        <w:spacing w:line="360" w:lineRule="auto"/>
        <w:ind w:firstLine="720"/>
        <w:jc w:val="both"/>
        <w:rPr>
          <w:sz w:val="24"/>
          <w:szCs w:val="24"/>
        </w:rPr>
      </w:pPr>
    </w:p>
    <w:p w14:paraId="4C921AA3">
      <w:pPr>
        <w:pStyle w:val="6"/>
        <w:spacing w:line="360" w:lineRule="auto"/>
        <w:jc w:val="both"/>
        <w:rPr>
          <w:b/>
          <w:bCs/>
          <w:sz w:val="28"/>
          <w:szCs w:val="28"/>
        </w:rPr>
      </w:pPr>
      <w:r>
        <w:rPr>
          <w:b/>
          <w:bCs/>
          <w:sz w:val="28"/>
          <w:szCs w:val="28"/>
        </w:rPr>
        <w:t>Agradecimentos</w:t>
      </w:r>
    </w:p>
    <w:p w14:paraId="64426647">
      <w:pPr>
        <w:pStyle w:val="6"/>
        <w:spacing w:line="360" w:lineRule="auto"/>
        <w:jc w:val="both"/>
        <w:rPr>
          <w:color w:val="FF0000"/>
          <w:sz w:val="24"/>
          <w:szCs w:val="24"/>
        </w:rPr>
      </w:pPr>
      <w:r>
        <w:rPr>
          <w:sz w:val="24"/>
          <w:szCs w:val="24"/>
        </w:rPr>
        <w:tab/>
      </w:r>
      <w:r>
        <w:rPr>
          <w:color w:val="auto"/>
          <w:sz w:val="24"/>
          <w:szCs w:val="24"/>
          <w:lang w:val="pt-BR"/>
        </w:rPr>
        <w:t>Agradecemos à Fundação de Amparo à Pesquisa e Inovação do Espírito Santo (FAPES) pelo apoio financeiro, por meio da concessão de bolsas e de recursos de bancada que viabilizaram a execução deste trabalho.</w:t>
      </w:r>
    </w:p>
    <w:p w14:paraId="2EE877A5">
      <w:pPr>
        <w:pStyle w:val="6"/>
        <w:spacing w:line="360" w:lineRule="auto"/>
        <w:jc w:val="both"/>
        <w:rPr>
          <w:b/>
          <w:bCs/>
          <w:sz w:val="28"/>
          <w:szCs w:val="28"/>
        </w:rPr>
      </w:pPr>
    </w:p>
    <w:p w14:paraId="625AAB53">
      <w:pPr>
        <w:pStyle w:val="6"/>
        <w:spacing w:line="360" w:lineRule="auto"/>
        <w:jc w:val="both"/>
        <w:rPr>
          <w:sz w:val="24"/>
          <w:szCs w:val="24"/>
        </w:rPr>
      </w:pPr>
      <w:r>
        <w:rPr>
          <w:b/>
          <w:bCs/>
          <w:sz w:val="28"/>
          <w:szCs w:val="28"/>
        </w:rPr>
        <w:t>Referências</w:t>
      </w:r>
    </w:p>
    <w:p w14:paraId="4B6B80D1">
      <w:pPr>
        <w:pStyle w:val="6"/>
        <w:rPr>
          <w:sz w:val="24"/>
          <w:szCs w:val="24"/>
          <w:lang w:val="en-US"/>
        </w:rPr>
      </w:pPr>
      <w:r>
        <w:rPr>
          <w:sz w:val="24"/>
          <w:szCs w:val="24"/>
        </w:rPr>
        <w:t xml:space="preserve">ALONSO-MATEOS, A., ALMENDRAL-PARRA, M. J., CURTO-SERRANO, Y., &amp; RODRÍGUEZ-MARTÍN, F. J. (2008). </w:t>
      </w:r>
      <w:r>
        <w:rPr>
          <w:sz w:val="24"/>
          <w:szCs w:val="24"/>
          <w:lang w:val="en-US"/>
        </w:rPr>
        <w:t xml:space="preserve">Online monitoring of aluminium in drinking water with fluorimetric detection. </w:t>
      </w:r>
      <w:r>
        <w:rPr>
          <w:b/>
          <w:bCs/>
          <w:sz w:val="24"/>
          <w:szCs w:val="24"/>
          <w:lang w:val="en-US"/>
        </w:rPr>
        <w:t>Journal of Fluorescence</w:t>
      </w:r>
      <w:r>
        <w:rPr>
          <w:sz w:val="24"/>
          <w:szCs w:val="24"/>
          <w:lang w:val="en-US"/>
        </w:rPr>
        <w:t>, 18, 183-192.</w:t>
      </w:r>
    </w:p>
    <w:p w14:paraId="7639C0D1">
      <w:pPr>
        <w:pStyle w:val="6"/>
        <w:rPr>
          <w:sz w:val="24"/>
          <w:szCs w:val="24"/>
          <w:lang w:val="en-US"/>
        </w:rPr>
      </w:pPr>
      <w:r>
        <w:rPr>
          <w:sz w:val="24"/>
          <w:szCs w:val="24"/>
          <w:lang w:val="en-US"/>
        </w:rPr>
        <w:t xml:space="preserve">APHA. Standart Methods for the Examination of Water and Wasterwater. 24 th. Edtion. </w:t>
      </w:r>
      <w:r>
        <w:rPr>
          <w:b/>
          <w:bCs/>
          <w:sz w:val="24"/>
          <w:szCs w:val="24"/>
          <w:lang w:val="en-US"/>
        </w:rPr>
        <w:t>New York: American Public Health Association</w:t>
      </w:r>
      <w:r>
        <w:rPr>
          <w:sz w:val="24"/>
          <w:szCs w:val="24"/>
          <w:lang w:val="en-US"/>
        </w:rPr>
        <w:t xml:space="preserve">, 2023. </w:t>
      </w:r>
    </w:p>
    <w:p w14:paraId="20A70B89">
      <w:pPr>
        <w:pStyle w:val="6"/>
        <w:rPr>
          <w:sz w:val="24"/>
          <w:szCs w:val="24"/>
        </w:rPr>
      </w:pPr>
      <w:r>
        <w:rPr>
          <w:sz w:val="24"/>
          <w:szCs w:val="24"/>
          <w:lang w:val="en-US"/>
        </w:rPr>
        <w:t xml:space="preserve">BRASIL. Ministério da Saúde. </w:t>
      </w:r>
      <w:r>
        <w:rPr>
          <w:sz w:val="24"/>
          <w:szCs w:val="24"/>
        </w:rPr>
        <w:t xml:space="preserve">Portaria nº 888, de 04 de maio de 2021. </w:t>
      </w:r>
      <w:r>
        <w:rPr>
          <w:b/>
          <w:bCs/>
          <w:sz w:val="24"/>
          <w:szCs w:val="24"/>
        </w:rPr>
        <w:t>Dispõe sobre os procedimentos de controle e de vigilância da qualidade da água para consumo humano e seu padrão de potabilidade</w:t>
      </w:r>
      <w:r>
        <w:rPr>
          <w:sz w:val="24"/>
          <w:szCs w:val="24"/>
          <w:lang w:val="pt-BR"/>
        </w:rPr>
        <w:t>,</w:t>
      </w:r>
      <w:r>
        <w:rPr>
          <w:sz w:val="24"/>
          <w:szCs w:val="24"/>
        </w:rPr>
        <w:t xml:space="preserve"> 2021. Disponível em:</w:t>
      </w:r>
      <w:r>
        <w:rPr>
          <w:sz w:val="24"/>
          <w:szCs w:val="24"/>
          <w:lang w:val="pt-BR"/>
        </w:rPr>
        <w:t xml:space="preserve"> https://saec.sp.gov.br/wp-content/uploads/2025/09/Portaria-GM-MS-888-DE-04-DE-MAIO-DE-2021.pdf.</w:t>
      </w:r>
      <w:r>
        <w:rPr>
          <w:sz w:val="24"/>
          <w:szCs w:val="24"/>
        </w:rPr>
        <w:t xml:space="preserve"> Acesso em: 01 dezembro. 2024.</w:t>
      </w:r>
    </w:p>
    <w:p w14:paraId="4372591E">
      <w:pPr>
        <w:pStyle w:val="6"/>
        <w:rPr>
          <w:sz w:val="24"/>
          <w:szCs w:val="24"/>
        </w:rPr>
      </w:pPr>
      <w:r>
        <w:rPr>
          <w:sz w:val="24"/>
          <w:szCs w:val="24"/>
        </w:rPr>
        <w:t xml:space="preserve">CONAMA - Conselho Nacional do Meio Ambiente. Resolução n° 357, 17 de março de 2005: Dispõe sobre a classificação dos corpos de água e diretrizes ambientais para o seu enquadramento, bem como estabelece as condições e padrões de lançamento de efluentes, e dá outras providências. </w:t>
      </w:r>
      <w:r>
        <w:rPr>
          <w:b/>
          <w:bCs/>
          <w:sz w:val="24"/>
          <w:szCs w:val="24"/>
        </w:rPr>
        <w:t>Diário Oficial da República Federativa do Brasil</w:t>
      </w:r>
      <w:r>
        <w:rPr>
          <w:sz w:val="24"/>
          <w:szCs w:val="24"/>
        </w:rPr>
        <w:t>, Brasília, 18 de março de 2005.</w:t>
      </w:r>
    </w:p>
    <w:p w14:paraId="14D19F47">
      <w:pPr>
        <w:pStyle w:val="6"/>
        <w:rPr>
          <w:sz w:val="24"/>
          <w:szCs w:val="24"/>
          <w:lang w:val="en-US"/>
        </w:rPr>
      </w:pPr>
      <w:r>
        <w:rPr>
          <w:sz w:val="24"/>
          <w:szCs w:val="24"/>
          <w:lang w:val="en-US"/>
        </w:rPr>
        <w:t xml:space="preserve">NORATTO, G. D. et al. Anticarcinogenic Effects of Polyphenolics from Mango (Mangifera indica) Varieties. </w:t>
      </w:r>
      <w:r>
        <w:rPr>
          <w:b/>
          <w:bCs/>
          <w:sz w:val="24"/>
          <w:szCs w:val="24"/>
          <w:lang w:val="en-US"/>
        </w:rPr>
        <w:t>Journal of Agricultural and Food Chemistry</w:t>
      </w:r>
      <w:r>
        <w:rPr>
          <w:sz w:val="24"/>
          <w:szCs w:val="24"/>
          <w:lang w:val="en-US"/>
        </w:rPr>
        <w:t>, v. 58, p. 4104–4112, 2010.</w:t>
      </w:r>
    </w:p>
    <w:p w14:paraId="48D8364B">
      <w:pPr>
        <w:pStyle w:val="6"/>
        <w:rPr>
          <w:sz w:val="24"/>
          <w:szCs w:val="24"/>
          <w:lang w:val="en-US"/>
        </w:rPr>
      </w:pPr>
      <w:r>
        <w:rPr>
          <w:sz w:val="24"/>
          <w:szCs w:val="24"/>
          <w:lang w:val="en-US"/>
        </w:rPr>
        <w:t xml:space="preserve">RODRIGUEZ-SAONA, L. E.; WROLSTAD, R. E. Extraction, Isolation, and Purification of Anthocyanins. </w:t>
      </w:r>
      <w:r>
        <w:rPr>
          <w:b/>
          <w:bCs/>
          <w:sz w:val="24"/>
          <w:szCs w:val="24"/>
          <w:lang w:val="en-US"/>
        </w:rPr>
        <w:t>In: Current Protocols in Food Analytical Chemistry</w:t>
      </w:r>
      <w:r>
        <w:rPr>
          <w:sz w:val="24"/>
          <w:szCs w:val="24"/>
          <w:lang w:val="en-US"/>
        </w:rPr>
        <w:t>. Hoboken, NJ, USA: John Wiley &amp; Sons, Inc., 2001.</w:t>
      </w:r>
    </w:p>
    <w:p w14:paraId="29A7AA5F">
      <w:pPr>
        <w:pStyle w:val="6"/>
        <w:ind w:right="3991"/>
        <w:rPr>
          <w:lang w:val="en-US"/>
        </w:rPr>
      </w:pPr>
    </w:p>
    <w:sectPr>
      <w:headerReference r:id="rId3" w:type="default"/>
      <w:footerReference r:id="rId4" w:type="default"/>
      <w:type w:val="continuous"/>
      <w:pgSz w:w="11910" w:h="16840"/>
      <w:pgMar w:top="1701" w:right="1134" w:bottom="1134" w:left="1701" w:header="0" w:footer="1414"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2E5C6">
    <w:pPr>
      <w:pStyle w:val="6"/>
      <w:spacing w:line="14" w:lineRule="auto"/>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84375">
    <w:pPr>
      <w:pStyle w:val="9"/>
    </w:pPr>
    <w:r>
      <w:rPr>
        <w:sz w:val="24"/>
        <w:szCs w:val="24"/>
        <w:lang w:val="pt-BR" w:eastAsia="pt-BR"/>
      </w:rPr>
      <w:drawing>
        <wp:anchor distT="0" distB="0" distL="0" distR="0" simplePos="0" relativeHeight="251659264" behindDoc="0" locked="0" layoutInCell="1" allowOverlap="1">
          <wp:simplePos x="0" y="0"/>
          <wp:positionH relativeFrom="page">
            <wp:posOffset>6350</wp:posOffset>
          </wp:positionH>
          <wp:positionV relativeFrom="page">
            <wp:posOffset>0</wp:posOffset>
          </wp:positionV>
          <wp:extent cx="7556500" cy="1060450"/>
          <wp:effectExtent l="0" t="0" r="6350" b="6350"/>
          <wp:wrapNone/>
          <wp:docPr id="2" name="Image 4"/>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anchor>
      </w:drawing>
    </w:r>
    <w:r>
      <w:rPr>
        <w:sz w:val="24"/>
        <w:szCs w:val="24"/>
        <w:lang w:val="pt-BR" w:eastAsia="pt-BR"/>
      </w:rPr>
      <w:drawing>
        <wp:inline distT="0" distB="0" distL="0" distR="0">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80208"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5753100" cy="9969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drawingGridHorizontalSpacing w:val="110"/>
  <w:noPunctuationKerning w:val="1"/>
  <w:characterSpacingControl w:val="doNotCompress"/>
  <w:compat>
    <w:ulTrailSpace/>
    <w:doNotExpandShiftReturn/>
    <w:doNotWrapTextWithPunct/>
    <w:doNotUseEastAsianBreakRules/>
    <w:compatSetting w:name="compatibilityMode" w:uri="http://schemas.microsoft.com/office/word" w:val="14"/>
  </w:compat>
  <w:rsids>
    <w:rsidRoot w:val="001C5BCC"/>
    <w:rsid w:val="000449F4"/>
    <w:rsid w:val="000815CB"/>
    <w:rsid w:val="00157AC0"/>
    <w:rsid w:val="001C5BCC"/>
    <w:rsid w:val="00243512"/>
    <w:rsid w:val="002C4AC9"/>
    <w:rsid w:val="0036697E"/>
    <w:rsid w:val="003D6818"/>
    <w:rsid w:val="005259CE"/>
    <w:rsid w:val="005544D3"/>
    <w:rsid w:val="005F70B0"/>
    <w:rsid w:val="00624629"/>
    <w:rsid w:val="00694319"/>
    <w:rsid w:val="007561D8"/>
    <w:rsid w:val="008858BD"/>
    <w:rsid w:val="008908DA"/>
    <w:rsid w:val="008913F4"/>
    <w:rsid w:val="009C4B75"/>
    <w:rsid w:val="00A33E6F"/>
    <w:rsid w:val="00AD22F1"/>
    <w:rsid w:val="00AF5124"/>
    <w:rsid w:val="00C44CDC"/>
    <w:rsid w:val="00C538C1"/>
    <w:rsid w:val="00C60F3C"/>
    <w:rsid w:val="00CB7608"/>
    <w:rsid w:val="00E3782C"/>
    <w:rsid w:val="00E940CF"/>
    <w:rsid w:val="00EA25BE"/>
    <w:rsid w:val="00F135CC"/>
    <w:rsid w:val="0A943153"/>
    <w:rsid w:val="16A3080E"/>
    <w:rsid w:val="2739130A"/>
    <w:rsid w:val="71A351C2"/>
    <w:rsid w:val="7E772DD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pt-PT" w:eastAsia="en-US" w:bidi="ar-SA"/>
    </w:rPr>
  </w:style>
  <w:style w:type="paragraph" w:styleId="2">
    <w:name w:val="heading 1"/>
    <w:basedOn w:val="1"/>
    <w:qFormat/>
    <w:uiPriority w:val="9"/>
    <w:pPr>
      <w:outlineLvl w:val="0"/>
    </w:pPr>
    <w:rPr>
      <w:b/>
      <w:bC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annotation reference"/>
    <w:basedOn w:val="3"/>
    <w:semiHidden/>
    <w:unhideWhenUsed/>
    <w:qFormat/>
    <w:uiPriority w:val="99"/>
    <w:rPr>
      <w:sz w:val="16"/>
      <w:szCs w:val="16"/>
    </w:rPr>
  </w:style>
  <w:style w:type="paragraph" w:styleId="6">
    <w:name w:val="Body Text"/>
    <w:basedOn w:val="1"/>
    <w:qFormat/>
    <w:uiPriority w:val="1"/>
    <w:rPr>
      <w:sz w:val="20"/>
      <w:szCs w:val="20"/>
    </w:rPr>
  </w:style>
  <w:style w:type="paragraph" w:styleId="7">
    <w:name w:val="annotation text"/>
    <w:basedOn w:val="1"/>
    <w:link w:val="17"/>
    <w:unhideWhenUsed/>
    <w:qFormat/>
    <w:uiPriority w:val="99"/>
    <w:rPr>
      <w:sz w:val="20"/>
      <w:szCs w:val="20"/>
    </w:rPr>
  </w:style>
  <w:style w:type="paragraph" w:styleId="8">
    <w:name w:val="Title"/>
    <w:basedOn w:val="1"/>
    <w:qFormat/>
    <w:uiPriority w:val="10"/>
    <w:pPr>
      <w:spacing w:before="367"/>
      <w:ind w:left="75" w:right="209"/>
      <w:jc w:val="center"/>
    </w:pPr>
    <w:rPr>
      <w:b/>
      <w:bCs/>
      <w:sz w:val="32"/>
      <w:szCs w:val="32"/>
    </w:rPr>
  </w:style>
  <w:style w:type="paragraph" w:styleId="9">
    <w:name w:val="header"/>
    <w:basedOn w:val="1"/>
    <w:link w:val="15"/>
    <w:unhideWhenUsed/>
    <w:qFormat/>
    <w:uiPriority w:val="99"/>
    <w:pPr>
      <w:tabs>
        <w:tab w:val="center" w:pos="4252"/>
        <w:tab w:val="right" w:pos="8504"/>
      </w:tabs>
    </w:pPr>
  </w:style>
  <w:style w:type="paragraph" w:styleId="10">
    <w:name w:val="annotation subject"/>
    <w:basedOn w:val="7"/>
    <w:next w:val="7"/>
    <w:link w:val="18"/>
    <w:semiHidden/>
    <w:unhideWhenUsed/>
    <w:qFormat/>
    <w:uiPriority w:val="99"/>
    <w:rPr>
      <w:b/>
      <w:bCs/>
    </w:rPr>
  </w:style>
  <w:style w:type="paragraph" w:styleId="11">
    <w:name w:val="footer"/>
    <w:basedOn w:val="1"/>
    <w:link w:val="16"/>
    <w:unhideWhenUsed/>
    <w:qFormat/>
    <w:uiPriority w:val="99"/>
    <w:pPr>
      <w:tabs>
        <w:tab w:val="center" w:pos="4252"/>
        <w:tab w:val="right" w:pos="8504"/>
      </w:tabs>
    </w:p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style>
  <w:style w:type="paragraph" w:customStyle="1" w:styleId="14">
    <w:name w:val="Table Paragraph"/>
    <w:basedOn w:val="1"/>
    <w:qFormat/>
    <w:uiPriority w:val="1"/>
  </w:style>
  <w:style w:type="character" w:customStyle="1" w:styleId="15">
    <w:name w:val="Cabeçalho Char"/>
    <w:basedOn w:val="3"/>
    <w:link w:val="9"/>
    <w:qFormat/>
    <w:uiPriority w:val="99"/>
    <w:rPr>
      <w:rFonts w:ascii="Times New Roman" w:hAnsi="Times New Roman" w:eastAsia="Times New Roman" w:cs="Times New Roman"/>
      <w:lang w:val="pt-PT"/>
    </w:rPr>
  </w:style>
  <w:style w:type="character" w:customStyle="1" w:styleId="16">
    <w:name w:val="Rodapé Char"/>
    <w:basedOn w:val="3"/>
    <w:link w:val="11"/>
    <w:qFormat/>
    <w:uiPriority w:val="99"/>
    <w:rPr>
      <w:rFonts w:ascii="Times New Roman" w:hAnsi="Times New Roman" w:eastAsia="Times New Roman" w:cs="Times New Roman"/>
      <w:lang w:val="pt-PT"/>
    </w:rPr>
  </w:style>
  <w:style w:type="character" w:customStyle="1" w:styleId="17">
    <w:name w:val="Texto de comentário Char"/>
    <w:basedOn w:val="3"/>
    <w:link w:val="7"/>
    <w:qFormat/>
    <w:uiPriority w:val="99"/>
    <w:rPr>
      <w:rFonts w:ascii="Times New Roman" w:hAnsi="Times New Roman" w:eastAsia="Times New Roman" w:cs="Times New Roman"/>
      <w:sz w:val="20"/>
      <w:szCs w:val="20"/>
      <w:lang w:val="pt-PT"/>
    </w:rPr>
  </w:style>
  <w:style w:type="character" w:customStyle="1" w:styleId="18">
    <w:name w:val="Assunto do comentário Char"/>
    <w:basedOn w:val="17"/>
    <w:link w:val="10"/>
    <w:semiHidden/>
    <w:qFormat/>
    <w:uiPriority w:val="99"/>
    <w:rPr>
      <w:rFonts w:ascii="Times New Roman" w:hAnsi="Times New Roman" w:eastAsia="Times New Roman" w:cs="Times New Roman"/>
      <w:b/>
      <w:bCs/>
      <w:sz w:val="20"/>
      <w:szCs w:val="20"/>
      <w:lang w:val="pt-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1855</Words>
  <Characters>11094</Characters>
  <Lines>94</Lines>
  <Paragraphs>26</Paragraphs>
  <TotalTime>65</TotalTime>
  <ScaleCrop>false</ScaleCrop>
  <LinksUpToDate>false</LinksUpToDate>
  <CharactersWithSpaces>12915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2026-01-27T16:39:00Z</dcterms:created>
  <dc:creator>cristiano poleto</dc:creator>
  <cp:lastModifiedBy>Kaila Aparecida Del Caro Soneg</cp:lastModifiedBy>
  <dcterms:modified xsi:type="dcterms:W3CDTF">2026-06-29T19:57:57Z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y fmtid="{D5CDD505-2E9C-101B-9397-08002B2CF9AE}" pid="5" name="KSOTemplateDocerSaveRecord">
    <vt:lpwstr>eyJoZGlkIjoiMmQ3N2I2MjgyODZmOTkwMjBhZWM2MzQ3NmFkZWI4ZmQiLCJ1c2VySWQiOiIxMjU0NzkzNTU2NDE3In0=</vt:lpwstr>
  </property>
  <property fmtid="{D5CDD505-2E9C-101B-9397-08002B2CF9AE}" pid="6" name="KSOProductBuildVer">
    <vt:lpwstr>1046-12.1.0.26880</vt:lpwstr>
  </property>
  <property fmtid="{D5CDD505-2E9C-101B-9397-08002B2CF9AE}" pid="7" name="ICV">
    <vt:lpwstr>5AB983A7FD414F1BB9B03A84AE16D16C_12</vt:lpwstr>
  </property>
</Properties>
</file>