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98C6" w14:textId="77777777" w:rsidR="00471C63" w:rsidRPr="00150127" w:rsidRDefault="00471C63">
      <w:pPr>
        <w:pStyle w:val="Corpodetexto"/>
        <w:spacing w:before="5"/>
        <w:ind w:left="0"/>
        <w:rPr>
          <w:rFonts w:ascii="Times New Roman"/>
          <w:sz w:val="21"/>
        </w:rPr>
      </w:pPr>
    </w:p>
    <w:p w14:paraId="64685302" w14:textId="28AD804A" w:rsidR="00471C63" w:rsidRDefault="00EB456B" w:rsidP="00EB456B">
      <w:pPr>
        <w:pStyle w:val="Corpodetexto"/>
        <w:spacing w:before="10"/>
        <w:ind w:left="0"/>
        <w:jc w:val="center"/>
        <w:rPr>
          <w:rFonts w:ascii="Arial" w:hAnsi="Arial" w:cs="Arial"/>
          <w:b/>
        </w:rPr>
      </w:pPr>
      <w:bookmarkStart w:id="0" w:name="_Hlk143971674"/>
      <w:r w:rsidRPr="00EB456B">
        <w:rPr>
          <w:rFonts w:ascii="Arial" w:hAnsi="Arial" w:cs="Arial"/>
          <w:b/>
        </w:rPr>
        <w:t>REVISÃO CRIMINAL: TRANSCEDENDO A COISA JULGADA EM PROL DA PRESUNÇÃO DE NÃO CULPABILIDADE E REFLEXÕES ACERCA DE SUA COMPATIBILIDADE CONSTITUCIONAL</w:t>
      </w:r>
    </w:p>
    <w:p w14:paraId="55BCD88F" w14:textId="77777777" w:rsidR="00EB456B" w:rsidRDefault="00EB456B" w:rsidP="00EB456B">
      <w:pPr>
        <w:pStyle w:val="Corpodetexto"/>
        <w:spacing w:before="10"/>
        <w:ind w:left="0"/>
        <w:jc w:val="center"/>
        <w:rPr>
          <w:rFonts w:ascii="Arial" w:hAnsi="Arial" w:cs="Arial"/>
          <w:b/>
        </w:rPr>
      </w:pPr>
    </w:p>
    <w:p w14:paraId="70C706FC" w14:textId="77777777" w:rsidR="00EB456B" w:rsidRPr="00EB456B" w:rsidRDefault="00EB456B">
      <w:pPr>
        <w:pStyle w:val="Corpodetexto"/>
        <w:spacing w:before="10"/>
        <w:ind w:left="0"/>
        <w:rPr>
          <w:rFonts w:ascii="Arial" w:hAnsi="Arial" w:cs="Arial"/>
          <w:b/>
        </w:rPr>
      </w:pPr>
    </w:p>
    <w:p w14:paraId="1145683E" w14:textId="491AF222" w:rsidR="00471C63" w:rsidRDefault="00EB456B">
      <w:pPr>
        <w:spacing w:line="252" w:lineRule="exact"/>
        <w:ind w:left="471" w:right="476"/>
        <w:jc w:val="center"/>
        <w:rPr>
          <w:rFonts w:ascii="Arial"/>
          <w:b/>
        </w:rPr>
      </w:pPr>
      <w:r>
        <w:rPr>
          <w:rFonts w:ascii="Arial"/>
          <w:b/>
        </w:rPr>
        <w:t>Maria Juliana dos Santos Lima</w:t>
      </w:r>
    </w:p>
    <w:p w14:paraId="2EBCD74F" w14:textId="22F0E1B6" w:rsidR="00471C63" w:rsidRDefault="00827580">
      <w:pPr>
        <w:spacing w:line="252" w:lineRule="exact"/>
        <w:ind w:left="124" w:right="132"/>
        <w:jc w:val="center"/>
      </w:pPr>
      <w:r>
        <w:t>Discente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Curso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Direito</w:t>
      </w:r>
      <w:r>
        <w:rPr>
          <w:color w:val="333333"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FACIGA/AESGA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E-mail</w:t>
      </w:r>
      <w:r w:rsidR="00EB456B">
        <w:t>: maria21115632@aesga.edu.br</w:t>
      </w:r>
    </w:p>
    <w:p w14:paraId="1D9CC1CD" w14:textId="77777777" w:rsidR="00471C63" w:rsidRDefault="00471C63">
      <w:pPr>
        <w:pStyle w:val="Corpodetexto"/>
        <w:ind w:left="0"/>
        <w:rPr>
          <w:sz w:val="22"/>
        </w:rPr>
      </w:pPr>
    </w:p>
    <w:p w14:paraId="21C38F9F" w14:textId="5BE61AC5" w:rsidR="00471C63" w:rsidRDefault="00EB456B">
      <w:pPr>
        <w:ind w:left="471" w:right="478"/>
        <w:jc w:val="center"/>
        <w:rPr>
          <w:rFonts w:ascii="Arial"/>
          <w:b/>
        </w:rPr>
      </w:pPr>
      <w:r w:rsidRPr="004E1D30">
        <w:rPr>
          <w:rFonts w:ascii="Arial"/>
          <w:b/>
        </w:rPr>
        <w:t>Jos</w:t>
      </w:r>
      <w:r w:rsidR="0012650F" w:rsidRPr="004E1D30">
        <w:rPr>
          <w:rFonts w:ascii="Arial"/>
          <w:b/>
        </w:rPr>
        <w:t>é</w:t>
      </w:r>
      <w:r w:rsidRPr="0012650F">
        <w:rPr>
          <w:rFonts w:ascii="Arial"/>
          <w:b/>
          <w:color w:val="FF0000"/>
        </w:rPr>
        <w:t xml:space="preserve"> </w:t>
      </w:r>
      <w:r>
        <w:rPr>
          <w:rFonts w:ascii="Arial"/>
          <w:b/>
        </w:rPr>
        <w:t>Claudio</w:t>
      </w:r>
      <w:r w:rsidR="00FC161B">
        <w:rPr>
          <w:rFonts w:ascii="Arial"/>
          <w:b/>
        </w:rPr>
        <w:t xml:space="preserve"> Cavalcanti Silva</w:t>
      </w:r>
    </w:p>
    <w:p w14:paraId="66697870" w14:textId="5DAA28C9" w:rsidR="00471C63" w:rsidRDefault="00827580">
      <w:pPr>
        <w:spacing w:before="2"/>
        <w:ind w:left="126" w:right="132"/>
        <w:jc w:val="center"/>
      </w:pPr>
      <w:r>
        <w:t>Professor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FACIGA/AESGA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E-mail:</w:t>
      </w:r>
      <w:r w:rsidR="00FC161B">
        <w:rPr>
          <w:spacing w:val="-1"/>
        </w:rPr>
        <w:t xml:space="preserve"> joseclaudio@aesga.edu.br</w:t>
      </w:r>
    </w:p>
    <w:p w14:paraId="773E4AEF" w14:textId="77777777" w:rsidR="00471C63" w:rsidRDefault="00471C63">
      <w:pPr>
        <w:pStyle w:val="Corpodetexto"/>
        <w:spacing w:before="10"/>
        <w:ind w:left="0"/>
        <w:rPr>
          <w:sz w:val="23"/>
        </w:rPr>
      </w:pPr>
    </w:p>
    <w:p w14:paraId="6FFCA4E2" w14:textId="77777777" w:rsidR="00BC7653" w:rsidRDefault="00BC7653">
      <w:pPr>
        <w:pStyle w:val="Corpodetexto"/>
        <w:spacing w:before="10"/>
        <w:ind w:left="0"/>
        <w:rPr>
          <w:sz w:val="23"/>
        </w:rPr>
      </w:pPr>
    </w:p>
    <w:p w14:paraId="3D395AE1" w14:textId="77777777" w:rsidR="00BC7653" w:rsidRDefault="00BC7653">
      <w:pPr>
        <w:pStyle w:val="Corpodetexto"/>
        <w:spacing w:before="10"/>
        <w:ind w:left="0"/>
        <w:rPr>
          <w:sz w:val="23"/>
        </w:rPr>
      </w:pPr>
    </w:p>
    <w:bookmarkEnd w:id="0"/>
    <w:p w14:paraId="736ED496" w14:textId="04B57844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 w:rsidRPr="004E1D30">
        <w:rPr>
          <w:rFonts w:ascii="Arial" w:eastAsia="Calibri" w:hAnsi="Arial" w:cs="Arial"/>
          <w:b/>
          <w:bCs/>
          <w:sz w:val="24"/>
          <w:szCs w:val="24"/>
          <w:lang w:val="pt-BR"/>
        </w:rPr>
        <w:t>1 CONSIDERAÇ</w:t>
      </w:r>
      <w:r w:rsidR="000A6486">
        <w:rPr>
          <w:rFonts w:ascii="Arial" w:eastAsia="Calibri" w:hAnsi="Arial" w:cs="Arial"/>
          <w:b/>
          <w:bCs/>
          <w:sz w:val="24"/>
          <w:szCs w:val="24"/>
          <w:lang w:val="pt-BR"/>
        </w:rPr>
        <w:t>Õ</w:t>
      </w:r>
      <w:r w:rsidRPr="004E1D30">
        <w:rPr>
          <w:rFonts w:ascii="Arial" w:eastAsia="Calibri" w:hAnsi="Arial" w:cs="Arial"/>
          <w:b/>
          <w:bCs/>
          <w:sz w:val="24"/>
          <w:szCs w:val="24"/>
          <w:lang w:val="pt-BR"/>
        </w:rPr>
        <w:t>ES INICIAIS</w:t>
      </w:r>
    </w:p>
    <w:p w14:paraId="7DDE6C69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</w:p>
    <w:p w14:paraId="58F1E3F7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A revisão criminal, como instituto jurídico, envolve uma análise profunda das relações entre a coisa julgada, a presunção de não culpabilidade e sua compatibilidade constitucional. Nesse contexto, a interpretação da Constituição, como defendida por Barroso (2018), é de suma importância para esclarecer as nuances desse tema. A Constituição da República Federativa do Brasil de 1988 (BRASIL, 1988) estabelece direitos fundamentais, sendo o direito à presunção de não culpabilidade um dos principais pilares do sistema legal. Tal presunção é consagrada no artigo 5º, inciso LVII.</w:t>
      </w:r>
    </w:p>
    <w:p w14:paraId="52C36341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Nesse cenário, a compatibilidade constitucional da revisão criminal ganha relevância. A revisão, conforme apontado por Lima (2015), é uma ferramenta que se alinha com a presunção de não culpabilidade, permitindo que esta seja efetivamente aplicada mesmo após a conclusão do processo. Isso revela a dinâmica entre a proteção dos direitos individuais e a estabilidade das decisões judiciais, questão que também é abordada por Nucci (2018).</w:t>
      </w:r>
    </w:p>
    <w:p w14:paraId="2CC39D5D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Ainda que o princípio da coisa julgada seja vital para a segurança jurídica e estabilidade das decisões judiciais, não pode ser um obstáculo absoluto à correção de possíveis erros judiciais. A revisão criminal, portanto, age como uma ferramenta de equilíbrio entre esses valores, como apontado por Nucci (2018), ao permitir uma análise mais profunda das situações em que a justiça pode ter sido prejudicada.</w:t>
      </w:r>
    </w:p>
    <w:p w14:paraId="6778D013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Vale mencionar que a revisão criminal também tem reflexos na metodologia do trabalho científico, conforme discutido por Severino (2016). A abordagem desse tema requer uma análise metodológica que leve em conta a complexidade das relações entre a coisa julgada, a presunção de não culpabilidade e os princípios constitucionais, enriquecendo o debate acadêmico e jurídico.</w:t>
      </w:r>
    </w:p>
    <w:p w14:paraId="20D35A32" w14:textId="77777777" w:rsid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A pesquisa tem relevância jurídica porque traz uma discussão pertinente a compatibilidade de uma norma infraconstitucional com vários dispositivos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lastRenderedPageBreak/>
        <w:t xml:space="preserve">constitucionais; bem como direitos fundamentais que aparentemente se chocam entre si, necessitando de uma intepretação mais clara e compatível com o arcabouço constitucional. </w:t>
      </w:r>
    </w:p>
    <w:p w14:paraId="6D50AFFA" w14:textId="139A71B6" w:rsidR="008F1915" w:rsidRPr="004E1D30" w:rsidRDefault="008F1915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8F1915">
        <w:rPr>
          <w:rFonts w:ascii="Arial" w:eastAsia="Calibri" w:hAnsi="Arial" w:cs="Arial"/>
          <w:sz w:val="24"/>
          <w:szCs w:val="24"/>
        </w:rPr>
        <w:t>O problema central desta pesquisa diz respeito à seguinte indagaçã</w:t>
      </w:r>
      <w:r>
        <w:rPr>
          <w:rFonts w:ascii="Arial" w:eastAsia="Calibri" w:hAnsi="Arial" w:cs="Arial"/>
          <w:sz w:val="24"/>
          <w:szCs w:val="24"/>
        </w:rPr>
        <w:t>: É</w:t>
      </w:r>
      <w:r w:rsidRPr="008F1915">
        <w:rPr>
          <w:rFonts w:ascii="Arial" w:eastAsia="Calibri" w:hAnsi="Arial" w:cs="Arial"/>
          <w:sz w:val="24"/>
          <w:szCs w:val="24"/>
        </w:rPr>
        <w:t xml:space="preserve"> possível transcender a coisa julgada em prol da presunção de não culpabilidade em consonância com os princípios constitucionais?</w:t>
      </w:r>
    </w:p>
    <w:p w14:paraId="6737FC37" w14:textId="7AE6B4D4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O objetivo deste estudo é analisar a revisão criminal no contexto jurídico, explorando como esse instituto transcende a coisa julgada em prol da presunção de não culpabilidade.</w:t>
      </w:r>
      <w:r w:rsidR="008F1915">
        <w:rPr>
          <w:rFonts w:ascii="Arial" w:eastAsia="Calibri" w:hAnsi="Arial" w:cs="Arial"/>
          <w:sz w:val="24"/>
          <w:szCs w:val="24"/>
          <w:lang w:val="pt-BR"/>
        </w:rPr>
        <w:t xml:space="preserve"> Para alcançar esse objetivo é preciso observar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t>a compatibilidade constitucional desse processo de reavaliação das decisões judiciais em relação aos direitos fundamentais dos indivíduos</w:t>
      </w:r>
      <w:r w:rsidRPr="00150127">
        <w:rPr>
          <w:rFonts w:ascii="Arial" w:eastAsia="Calibri" w:hAnsi="Arial" w:cs="Arial"/>
          <w:sz w:val="24"/>
          <w:szCs w:val="24"/>
          <w:lang w:val="pt-BR"/>
        </w:rPr>
        <w:t xml:space="preserve">. Possui como objetivos específicos, investigar os fundamentos teóricos e as implicações práticas da revisão criminal, considerando as contribuições de diversos autores, como Santos, </w:t>
      </w:r>
      <w:proofErr w:type="spellStart"/>
      <w:r w:rsidRPr="00150127">
        <w:rPr>
          <w:rFonts w:ascii="Arial" w:eastAsia="Calibri" w:hAnsi="Arial" w:cs="Arial"/>
          <w:sz w:val="24"/>
          <w:szCs w:val="24"/>
          <w:lang w:val="pt-BR"/>
        </w:rPr>
        <w:t>Aubano</w:t>
      </w:r>
      <w:proofErr w:type="spellEnd"/>
      <w:r w:rsidRPr="00150127">
        <w:rPr>
          <w:rFonts w:ascii="Arial" w:eastAsia="Calibri" w:hAnsi="Arial" w:cs="Arial"/>
          <w:sz w:val="24"/>
          <w:szCs w:val="24"/>
          <w:lang w:val="pt-BR"/>
        </w:rPr>
        <w:t xml:space="preserve"> e Bertucci (2022), Machado (2018), Pimentel (2015) e De Mello (2017);</w:t>
      </w:r>
      <w:r w:rsidRPr="004846F1">
        <w:rPr>
          <w:rFonts w:ascii="Arial" w:eastAsia="Calibri" w:hAnsi="Arial" w:cs="Arial"/>
          <w:sz w:val="24"/>
          <w:szCs w:val="24"/>
          <w:u w:val="single"/>
          <w:lang w:val="pt-BR"/>
        </w:rPr>
        <w:t xml:space="preserve">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t>e analisar como a revisão criminal se relaciona com a presunção de não culpabilidade, considerando as garantias individuais previstas na Constituição da República Federativa do Brasil de 1988 (BRASIL, 1988) e explorando a dinâmica entre a proteção da coisa julgada e a busca por justiça.</w:t>
      </w:r>
    </w:p>
    <w:p w14:paraId="69D3B1D4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795A08C6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 w:rsidRPr="004E1D30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2 METODOLOGIA </w:t>
      </w:r>
    </w:p>
    <w:p w14:paraId="0E0F9050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O pesquisador deve estudar e resolver uma questão ainda não explorada, esforçando-se para que a sua tese seja uma verdadeira contribuição aos conhecimentos humanos existentes (LAKATOS E MARCONI, 2015.p 244).</w:t>
      </w:r>
    </w:p>
    <w:p w14:paraId="0620149F" w14:textId="636A9D8C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Com método bibliográfico tem como pesquisa básica a investigação em material teórico sobre o assunto de interesse. Ela precede o reconhecimento do problema ou do questionamento que funcionará como delimitador do tema de estudo. Assim, a pesquisa bibliográfica compreende a identificação da importância nos termos do conhecimento para o desenvolvimento da sua pesquisa e criação do saber científico.</w:t>
      </w:r>
    </w:p>
    <w:p w14:paraId="17C3DD26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É de cunho qualitativo, pois busca compreender e analisar o âmbito do aspecto exploratório, o foco está no modo subjetivo do objeto verificado.</w:t>
      </w:r>
    </w:p>
    <w:p w14:paraId="5007B5EC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52DB04A3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 w:rsidRPr="004E1D30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3 RESULTADOS E DISCUSSÕES </w:t>
      </w:r>
    </w:p>
    <w:p w14:paraId="374DBC41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</w:p>
    <w:p w14:paraId="3C3BD7B0" w14:textId="61F1C45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A presunção de não culpabilidade trata-se de um direito fundamental expresso na CF, no art. 5º, inciso XXXVI; o qual literalmente prevê que: “que ninguém será considerado culpado até o trânsito em julgado da sentença penal condenatória.”</w:t>
      </w:r>
      <w:r w:rsidR="008F1915">
        <w:rPr>
          <w:rFonts w:ascii="Arial" w:eastAsia="Calibri" w:hAnsi="Arial" w:cs="Arial"/>
          <w:sz w:val="24"/>
          <w:szCs w:val="24"/>
          <w:lang w:val="pt-BR"/>
        </w:rPr>
        <w:t xml:space="preserve"> (BRASIL, 1988).</w:t>
      </w: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  Ou seja, numa interpretação literal da norma constitucional, se alguém for condenado por sentença penal da qual não mais caiba recurso, este indivíduo não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lastRenderedPageBreak/>
        <w:t>mais poderá ser considerado presumivelmente inocente. Mas, se a norma processual penal dispõe de um instituto denominado de “revisão criminal”, previsto no art. 621 e seguintes do CPP, o qual trata-se de uma ação que visa desconstituir uma sentença penal condenatória, satisfeitos alguns requisitos preestabelecidos em lei, esta presunção de não culpabilidade transcende a coisa julgada. Sabendo-se que a presunção de não culpabilidade como também todos os direitos fundamentos expressos no art. 5º da Constituição Federal são cláusulas pétreas, conforme expressa o art. 60, § 4º, IV da CF.</w:t>
      </w:r>
    </w:p>
    <w:p w14:paraId="5ECE5F1D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A discussão também se estende a abordagens específicas, como o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retrospective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overruling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in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mellius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>. Pimentel (2015) discute essa abordagem como base para a revisão criminal, explorando como a aplicação retrospectiva de decisões favoráveis ao réu pode fundamentar a reavaliação de casos já julgados. Esse enfoque demonstra a complexidade das questões que envolvem a revisão criminal e sua relação com a coisa julgada.</w:t>
      </w:r>
    </w:p>
    <w:p w14:paraId="2E23D61F" w14:textId="6BF32DBA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De Mello (2017) traz uma análise aprofundada sobre a revisão criminal, explorando suas nuances em um contexto mais amplo. Sua pesquisa abrange questões que vão desde os fundamentos teóricos até as implicações práticas desse instituto jurídic</w:t>
      </w:r>
      <w:r w:rsidR="00827580">
        <w:rPr>
          <w:rFonts w:ascii="Arial" w:eastAsia="Calibri" w:hAnsi="Arial" w:cs="Arial"/>
          <w:sz w:val="24"/>
          <w:szCs w:val="24"/>
          <w:lang w:val="pt-BR"/>
        </w:rPr>
        <w:t xml:space="preserve">o. A perspectiva abrangente de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t>Mello contribui para uma compreensão mais completa das interações entre a revisão criminal e outros princípios fundamentais.</w:t>
      </w:r>
    </w:p>
    <w:p w14:paraId="2FDA1D08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A revisão criminal, como um complexo instituto jurídico, requer uma investigação aprofundada de seus fundamentos teóricos e implicações práticas. Diversos autores contribuem para essa compreensão. Santos,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Aubano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e Bertucci (2022) oferecem uma perspectiva contemporânea sobre a revisão criminal, apresentando análises atuais sobre seu funcionamento e desafios. Machado (2018), por sua vez, explora a relação entre a revisão criminal e a dignidade da pessoa humana, lançando luz sobre como esse instituto pode garantir a correção de erros judiciais e a proteção dos direitos individuais. Além disso, Pimentel (2015) explora o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retrospective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overruling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in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mellius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como base para a revisão criminal, demonstrando como decisões retrospectivas favoráveis ao réu podem justificar a reavaliação de casos encerrados. De Mello (2017) aprofunda a análise, cobrindo desde os fundamentos teóricos até as implicações práticas da revisão criminal. A consideração dessas diversas contribuições enriquece a compreensão do tema.</w:t>
      </w:r>
    </w:p>
    <w:p w14:paraId="5D989778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A revisão criminal, ao se relacionar com a presunção de não culpabilidade, entra em uma área crítica da justiça. A Constituição da República Federativa do Brasil de 1988 (BRASIL, 1988) assegura a presunção de não culpabilidade como um direito fundamental no artigo 5º, LVII. Explorar como a revisão criminal se encaixa nesse contexto é essencial para uma análise completa. A revisão criminal, ao permitir uma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lastRenderedPageBreak/>
        <w:t>reavaliação de casos encerrados, pode ser vista como uma maneira de preservar essa presunção de inocência. No entanto, isso também levanta questões complexas sobre a dinâmica entre a coisa julgada, a busca por justiça e a proteção dos direitos individuais. A compreensão dessas interações é crucial para avaliar a compatibilidade constitucional da revisão criminal.</w:t>
      </w:r>
    </w:p>
    <w:p w14:paraId="41F7AF16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5604A653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 w:rsidRPr="004E1D30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4 CONSIDERAÇÕES FINAIS </w:t>
      </w:r>
    </w:p>
    <w:p w14:paraId="0B6D94FF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</w:p>
    <w:p w14:paraId="05F9C21F" w14:textId="23105920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Pode-se observar que a revisão criminal desempenha um papel crucial no sistema jurídico ao permitir a reavaliação de casos já encerrados. Quanto à possibilidade de transcender a presunção de não culpabilidade para além da coisa julgada penal condenatória, os estudos analisados indicam que sim. A </w:t>
      </w:r>
      <w:r w:rsidR="00CF0279">
        <w:rPr>
          <w:rFonts w:ascii="Arial" w:eastAsia="Calibri" w:hAnsi="Arial" w:cs="Arial"/>
          <w:sz w:val="24"/>
          <w:szCs w:val="24"/>
          <w:lang w:val="pt-BR"/>
        </w:rPr>
        <w:t xml:space="preserve">mesma </w:t>
      </w: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demonstra que a presunção de inocência não é apenas uma etapa anterior ao trânsito em julgado, mas um direito que pode ser reafirmado mesmo após essa fase, como defendido por Pimentel (2015) em sua abordagem sobre o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retrospective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overruling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in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mellius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>.</w:t>
      </w:r>
    </w:p>
    <w:p w14:paraId="5998DDAD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Além disso, a análise dos fundamentos jurídicos que sustentam a compatibilidade da revisão criminal com os direitos fundamentais expressos na Constituição Federal (BRASIL, 1988) revela uma relação intrincada. A revisão criminal pode ser vista como uma expressão do princípio da dignidade da pessoa humana, como argumenta Machado (2018), ao corrigir erros judiciais que afetariam a integridade dos indivíduos. A preservação da justiça e dos direitos individuais, mesmo após a formação da coisa julgada, é um dos alicerces dessa compatibilidade, como sugerido por De Mello (2017).</w:t>
      </w:r>
    </w:p>
    <w:p w14:paraId="587D1B73" w14:textId="77777777" w:rsidR="004E1D30" w:rsidRP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>Os debates acadêmicos e jurídicos sobre a revisão criminal revelam que sua aplicação não se limita apenas à flexibilização da coisa julgada, mas abrange uma gama mais ampla de valores constitucionais. O equilíbrio entre a segurança jurídica e a busca por justiça é uma consideração central, como ressaltado por Nucci (2018), que sugere que a revisão criminal atua como um mecanismo de harmonização desses princípios.</w:t>
      </w:r>
    </w:p>
    <w:p w14:paraId="5292F04E" w14:textId="0CFBA15A" w:rsidR="004E1D30" w:rsidRDefault="004E1D30" w:rsidP="004E1D30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Portanto, a </w:t>
      </w:r>
      <w:proofErr w:type="spellStart"/>
      <w:r w:rsidRPr="004E1D30">
        <w:rPr>
          <w:rFonts w:ascii="Arial" w:eastAsia="Calibri" w:hAnsi="Arial" w:cs="Arial"/>
          <w:sz w:val="24"/>
          <w:szCs w:val="24"/>
          <w:lang w:val="pt-BR"/>
        </w:rPr>
        <w:t>revisãoemerge</w:t>
      </w:r>
      <w:proofErr w:type="spellEnd"/>
      <w:r w:rsidRPr="004E1D30">
        <w:rPr>
          <w:rFonts w:ascii="Arial" w:eastAsia="Calibri" w:hAnsi="Arial" w:cs="Arial"/>
          <w:sz w:val="24"/>
          <w:szCs w:val="24"/>
          <w:lang w:val="pt-BR"/>
        </w:rPr>
        <w:t xml:space="preserve"> como uma ferramenta capaz de transcender a presunção de não culpabilidade, fortalecendo-a após a formação da coisa julgada, em consonância com os valores fundamentais da Constituição Federal. A compatibilidade da revisão com os direitos fundamentais expressos na Constituição é respaldada por argumentos que destacam a proteção da dignidade humana, a busca por justiça e a preservação dos direitos individuais, culminando em uma análise complexa e multifacetada que enriquece o entendimento desse tema crítico no âmbito jurídico.</w:t>
      </w:r>
    </w:p>
    <w:p w14:paraId="740C69D4" w14:textId="77777777" w:rsidR="008F1915" w:rsidRPr="008F1915" w:rsidRDefault="008F1915" w:rsidP="008F1915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  <w:r w:rsidRPr="008F1915">
        <w:rPr>
          <w:rFonts w:ascii="Arial" w:eastAsia="Calibri" w:hAnsi="Arial" w:cs="Arial"/>
          <w:sz w:val="24"/>
          <w:szCs w:val="24"/>
          <w:lang w:val="pt-BR"/>
        </w:rPr>
        <w:t xml:space="preserve">Após uma análise profunda das questões envolvendo a possibilidade de transcender a coisa julgada em prol da presunção de não culpabilidade em consonância com os princípios constitucionais, é evidente que essa questão não possui uma resposta </w:t>
      </w:r>
      <w:r w:rsidRPr="008F1915">
        <w:rPr>
          <w:rFonts w:ascii="Arial" w:eastAsia="Calibri" w:hAnsi="Arial" w:cs="Arial"/>
          <w:sz w:val="24"/>
          <w:szCs w:val="24"/>
          <w:lang w:val="pt-BR"/>
        </w:rPr>
        <w:lastRenderedPageBreak/>
        <w:t>simplista. A complexidade do tema exige uma abordagem cuidadosa que leve em consideração tanto a necessidade de proteger a estabilidade das decisões judiciais quanto a garantia dos direitos fundamentais dos indivíduos. Embora os desafios sejam significativos, a pesquisa demonstra que, em circunstâncias excepcionais, é possível encontrar um equilíbrio que permita a revisão de condenações criminais quando a presunção de não culpabilidade estiver em risco, sem comprometer gravemente a autoridade da coisa julgada. Esse equilíbrio exige uma interpretação sensível da Constituição, bem como a aplicação cuidadosa dos princípios do devido processo legal e da justiça, buscando sempre proteger os direitos individuais sem enfraquecer a segurança jurídica. Portanto, embora seja um desafio complexo, a harmonização desses princípios constitucionais é possível, e é uma tarefa crucial para o desenvolvimento contínuo do sistema legal em prol da justiça e dos direitos humanos.</w:t>
      </w:r>
    </w:p>
    <w:p w14:paraId="1B44D1A5" w14:textId="77777777" w:rsidR="008F1915" w:rsidRPr="008F1915" w:rsidRDefault="008F1915" w:rsidP="008F1915">
      <w:pPr>
        <w:widowControl/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vanish/>
          <w:sz w:val="24"/>
          <w:szCs w:val="24"/>
          <w:lang w:val="pt-BR"/>
        </w:rPr>
      </w:pPr>
      <w:r w:rsidRPr="008F1915">
        <w:rPr>
          <w:rFonts w:ascii="Arial" w:eastAsia="Calibri" w:hAnsi="Arial" w:cs="Arial"/>
          <w:vanish/>
          <w:sz w:val="24"/>
          <w:szCs w:val="24"/>
          <w:lang w:val="pt-BR"/>
        </w:rPr>
        <w:t>Parte superior do formulário</w:t>
      </w:r>
    </w:p>
    <w:p w14:paraId="2DFF0F95" w14:textId="69E83EC4" w:rsidR="004E1D30" w:rsidRPr="005D1789" w:rsidRDefault="004E1D30" w:rsidP="00CF0279">
      <w:pPr>
        <w:spacing w:before="89"/>
        <w:ind w:left="102" w:right="111"/>
        <w:jc w:val="both"/>
        <w:rPr>
          <w:rFonts w:ascii="Arial" w:hAnsi="Arial"/>
          <w:b/>
          <w:sz w:val="24"/>
          <w:szCs w:val="24"/>
        </w:rPr>
      </w:pPr>
      <w:r w:rsidRPr="004E1D30">
        <w:rPr>
          <w:rFonts w:ascii="Arial" w:hAnsi="Arial"/>
          <w:b/>
          <w:sz w:val="24"/>
          <w:szCs w:val="24"/>
        </w:rPr>
        <w:t xml:space="preserve">Palavras-Chaves: </w:t>
      </w:r>
      <w:r w:rsidRPr="004E1D30">
        <w:rPr>
          <w:rFonts w:ascii="Arial" w:hAnsi="Arial"/>
          <w:bCs/>
          <w:sz w:val="24"/>
          <w:szCs w:val="24"/>
        </w:rPr>
        <w:t>Revisão Criminal</w:t>
      </w:r>
      <w:r w:rsidR="00150127">
        <w:rPr>
          <w:rFonts w:ascii="Arial" w:hAnsi="Arial"/>
          <w:bCs/>
          <w:sz w:val="24"/>
          <w:szCs w:val="24"/>
        </w:rPr>
        <w:t>. C</w:t>
      </w:r>
      <w:r w:rsidR="005D1789" w:rsidRPr="00150127">
        <w:rPr>
          <w:rFonts w:ascii="Arial" w:hAnsi="Arial"/>
          <w:bCs/>
          <w:sz w:val="24"/>
          <w:szCs w:val="24"/>
        </w:rPr>
        <w:t>ulpabilidade</w:t>
      </w:r>
      <w:r w:rsidR="00150127">
        <w:rPr>
          <w:rFonts w:ascii="Arial" w:hAnsi="Arial"/>
          <w:bCs/>
          <w:sz w:val="24"/>
          <w:szCs w:val="24"/>
        </w:rPr>
        <w:t>.</w:t>
      </w:r>
      <w:r w:rsidRPr="004E1D30">
        <w:rPr>
          <w:rFonts w:ascii="Arial" w:hAnsi="Arial"/>
          <w:b/>
          <w:sz w:val="24"/>
          <w:szCs w:val="24"/>
        </w:rPr>
        <w:t xml:space="preserve"> </w:t>
      </w:r>
      <w:r w:rsidR="005D1789" w:rsidRPr="00150127">
        <w:rPr>
          <w:rFonts w:ascii="Arial" w:hAnsi="Arial"/>
          <w:bCs/>
          <w:sz w:val="24"/>
          <w:szCs w:val="24"/>
        </w:rPr>
        <w:t>Constitucional</w:t>
      </w:r>
      <w:r w:rsidR="00150127">
        <w:rPr>
          <w:rFonts w:ascii="Arial" w:hAnsi="Arial"/>
          <w:bCs/>
          <w:sz w:val="24"/>
          <w:szCs w:val="24"/>
        </w:rPr>
        <w:t>.</w:t>
      </w:r>
      <w:r w:rsidR="00CF0279" w:rsidRPr="00CF0279">
        <w:rPr>
          <w:rFonts w:ascii="Arial" w:hAnsi="Arial"/>
          <w:bCs/>
          <w:sz w:val="24"/>
          <w:szCs w:val="24"/>
        </w:rPr>
        <w:t xml:space="preserve"> </w:t>
      </w:r>
      <w:r w:rsidR="00CF0279" w:rsidRPr="005D1789">
        <w:rPr>
          <w:rFonts w:ascii="Arial" w:hAnsi="Arial"/>
          <w:bCs/>
          <w:sz w:val="24"/>
          <w:szCs w:val="24"/>
        </w:rPr>
        <w:t>Coisa</w:t>
      </w:r>
      <w:r w:rsidR="00CF0279" w:rsidRPr="005D1789">
        <w:rPr>
          <w:rFonts w:ascii="Arial" w:hAnsi="Arial"/>
          <w:b/>
          <w:sz w:val="24"/>
          <w:szCs w:val="24"/>
        </w:rPr>
        <w:t xml:space="preserve"> </w:t>
      </w:r>
      <w:r w:rsidR="00CF0279" w:rsidRPr="004E1D30">
        <w:rPr>
          <w:rFonts w:ascii="Arial" w:hAnsi="Arial"/>
          <w:bCs/>
          <w:sz w:val="24"/>
          <w:szCs w:val="24"/>
        </w:rPr>
        <w:t>Julgada</w:t>
      </w:r>
      <w:r w:rsidR="00CF0279">
        <w:rPr>
          <w:rFonts w:ascii="Arial" w:hAnsi="Arial"/>
          <w:bCs/>
          <w:sz w:val="24"/>
          <w:szCs w:val="24"/>
        </w:rPr>
        <w:t>.</w:t>
      </w:r>
      <w:r w:rsidR="00CF0279" w:rsidRPr="004E1D30">
        <w:rPr>
          <w:rFonts w:ascii="Arial" w:hAnsi="Arial"/>
          <w:bCs/>
          <w:sz w:val="24"/>
          <w:szCs w:val="24"/>
        </w:rPr>
        <w:t xml:space="preserve"> </w:t>
      </w:r>
      <w:r w:rsidR="00CF0279">
        <w:rPr>
          <w:rFonts w:ascii="Arial" w:hAnsi="Arial"/>
          <w:bCs/>
          <w:sz w:val="24"/>
          <w:szCs w:val="24"/>
        </w:rPr>
        <w:t xml:space="preserve"> </w:t>
      </w:r>
      <w:r w:rsidR="00CF0279" w:rsidRPr="004E1D30">
        <w:rPr>
          <w:rFonts w:ascii="Arial" w:hAnsi="Arial"/>
          <w:bCs/>
          <w:sz w:val="24"/>
          <w:szCs w:val="24"/>
        </w:rPr>
        <w:t>Compatibilidade</w:t>
      </w:r>
      <w:r w:rsidR="00CF0279">
        <w:rPr>
          <w:rFonts w:ascii="Arial" w:hAnsi="Arial"/>
          <w:b/>
          <w:sz w:val="24"/>
          <w:szCs w:val="24"/>
        </w:rPr>
        <w:t>.</w:t>
      </w:r>
    </w:p>
    <w:p w14:paraId="2D058685" w14:textId="77777777" w:rsidR="004E1D30" w:rsidRPr="004E1D30" w:rsidRDefault="004E1D30" w:rsidP="004E1D30">
      <w:pPr>
        <w:spacing w:before="89"/>
        <w:ind w:left="102" w:right="111" w:firstLine="707"/>
        <w:jc w:val="both"/>
        <w:rPr>
          <w:rFonts w:ascii="Arial" w:hAnsi="Arial"/>
          <w:b/>
          <w:sz w:val="24"/>
          <w:szCs w:val="24"/>
        </w:rPr>
      </w:pPr>
    </w:p>
    <w:p w14:paraId="3FF7C99E" w14:textId="3F650B9F" w:rsidR="004E1D30" w:rsidRPr="004E1D30" w:rsidRDefault="004E1D30" w:rsidP="008F1915">
      <w:pPr>
        <w:jc w:val="both"/>
        <w:rPr>
          <w:sz w:val="24"/>
        </w:rPr>
      </w:pPr>
      <w:r w:rsidRPr="004E1D30">
        <w:rPr>
          <w:rFonts w:ascii="Arial" w:hAnsi="Arial"/>
          <w:b/>
          <w:sz w:val="24"/>
        </w:rPr>
        <w:t>Órgão</w:t>
      </w:r>
      <w:r w:rsidRPr="004E1D30">
        <w:rPr>
          <w:rFonts w:ascii="Arial" w:hAnsi="Arial"/>
          <w:b/>
          <w:spacing w:val="-2"/>
          <w:sz w:val="24"/>
        </w:rPr>
        <w:t xml:space="preserve"> </w:t>
      </w:r>
      <w:r w:rsidRPr="004E1D30">
        <w:rPr>
          <w:rFonts w:ascii="Arial" w:hAnsi="Arial"/>
          <w:b/>
          <w:sz w:val="24"/>
        </w:rPr>
        <w:t>de</w:t>
      </w:r>
      <w:r w:rsidRPr="004E1D30">
        <w:rPr>
          <w:rFonts w:ascii="Arial" w:hAnsi="Arial"/>
          <w:b/>
          <w:spacing w:val="-2"/>
          <w:sz w:val="24"/>
        </w:rPr>
        <w:t xml:space="preserve"> </w:t>
      </w:r>
      <w:r w:rsidRPr="004E1D30">
        <w:rPr>
          <w:rFonts w:ascii="Arial" w:hAnsi="Arial"/>
          <w:b/>
          <w:sz w:val="24"/>
        </w:rPr>
        <w:t>Fomento:</w:t>
      </w:r>
      <w:r w:rsidRPr="004E1D30">
        <w:rPr>
          <w:rFonts w:ascii="Arial" w:hAnsi="Arial"/>
          <w:b/>
          <w:spacing w:val="-2"/>
          <w:sz w:val="24"/>
        </w:rPr>
        <w:t xml:space="preserve"> </w:t>
      </w:r>
      <w:r w:rsidRPr="004E1D30">
        <w:rPr>
          <w:sz w:val="24"/>
        </w:rPr>
        <w:t>Programa</w:t>
      </w:r>
      <w:r w:rsidRPr="004E1D30">
        <w:rPr>
          <w:spacing w:val="-2"/>
          <w:sz w:val="24"/>
        </w:rPr>
        <w:t xml:space="preserve"> </w:t>
      </w:r>
      <w:r w:rsidRPr="004E1D30">
        <w:rPr>
          <w:sz w:val="24"/>
        </w:rPr>
        <w:t>Pernambuco</w:t>
      </w:r>
      <w:r w:rsidRPr="004E1D30">
        <w:rPr>
          <w:spacing w:val="-4"/>
          <w:sz w:val="24"/>
        </w:rPr>
        <w:t xml:space="preserve"> </w:t>
      </w:r>
      <w:r w:rsidRPr="004E1D30">
        <w:rPr>
          <w:sz w:val="24"/>
        </w:rPr>
        <w:t>na</w:t>
      </w:r>
      <w:r w:rsidRPr="004E1D30">
        <w:rPr>
          <w:spacing w:val="-2"/>
          <w:sz w:val="24"/>
        </w:rPr>
        <w:t xml:space="preserve"> </w:t>
      </w:r>
      <w:r w:rsidRPr="004E1D30">
        <w:rPr>
          <w:sz w:val="24"/>
        </w:rPr>
        <w:t>Universidade</w:t>
      </w:r>
      <w:r w:rsidRPr="004E1D30">
        <w:rPr>
          <w:spacing w:val="1"/>
          <w:sz w:val="24"/>
        </w:rPr>
        <w:t xml:space="preserve"> </w:t>
      </w:r>
      <w:r w:rsidRPr="004E1D30">
        <w:rPr>
          <w:sz w:val="24"/>
        </w:rPr>
        <w:t>–</w:t>
      </w:r>
      <w:r w:rsidRPr="004E1D30">
        <w:rPr>
          <w:spacing w:val="-1"/>
          <w:sz w:val="24"/>
        </w:rPr>
        <w:t xml:space="preserve"> </w:t>
      </w:r>
      <w:r w:rsidRPr="004E1D30">
        <w:rPr>
          <w:sz w:val="24"/>
        </w:rPr>
        <w:t>PROUNI-PE.</w:t>
      </w:r>
    </w:p>
    <w:p w14:paraId="04C3E169" w14:textId="77777777" w:rsidR="004E1D30" w:rsidRPr="004E1D30" w:rsidRDefault="004E1D30" w:rsidP="004E1D30">
      <w:pPr>
        <w:widowControl/>
        <w:tabs>
          <w:tab w:val="left" w:pos="1140"/>
        </w:tabs>
        <w:autoSpaceDE/>
        <w:autoSpaceDN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78BD39DE" w14:textId="77777777" w:rsidR="004E1D30" w:rsidRPr="004E1D30" w:rsidRDefault="004E1D30" w:rsidP="004E1D30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  <w:lang w:val="pt-BR"/>
        </w:rPr>
      </w:pPr>
      <w:r w:rsidRPr="004E1D30">
        <w:rPr>
          <w:rFonts w:ascii="Arial" w:eastAsia="Times New Roman" w:hAnsi="Arial" w:cs="Arial"/>
          <w:b/>
          <w:sz w:val="24"/>
          <w:szCs w:val="24"/>
          <w:highlight w:val="white"/>
          <w:lang w:val="pt-BR"/>
        </w:rPr>
        <w:t>REFERÊNCIAS</w:t>
      </w:r>
    </w:p>
    <w:p w14:paraId="0E620252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BARROSO, Luís Roberto. Interpretação e aplicação da Constituição. 13. ed. São Paulo: Saraiva, 2018.</w:t>
      </w:r>
    </w:p>
    <w:p w14:paraId="3D4398F5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60FFC340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BRASIL. Constituição da República Federativa do Brasil de 1988.</w:t>
      </w:r>
    </w:p>
    <w:p w14:paraId="40B379D2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4EF268AF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DE MELLO, Eduardo Queiroz. A Revisão Criminal. </w:t>
      </w:r>
      <w:proofErr w:type="spellStart"/>
      <w:r w:rsidRPr="004E1D30">
        <w:rPr>
          <w:rFonts w:ascii="Arial" w:hAnsi="Arial" w:cs="Arial"/>
          <w:b/>
          <w:bCs/>
          <w:sz w:val="24"/>
          <w:szCs w:val="24"/>
          <w:lang w:val="pt-BR"/>
        </w:rPr>
        <w:t>Virtuajus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>, v. 2, n. 3, p. 212-228, 2017</w:t>
      </w:r>
    </w:p>
    <w:p w14:paraId="24CCD52F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eastAsia="Calibri" w:hAnsi="Arial" w:cs="Arial"/>
          <w:sz w:val="24"/>
          <w:szCs w:val="24"/>
          <w:lang w:val="pt-BR"/>
        </w:rPr>
      </w:pPr>
    </w:p>
    <w:p w14:paraId="44A6D3C5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LAKATOS. Eva Maria; MARCONI, Maria de Andrade. Fundamentos de metodologia científica. 13. ed. -São Paulo: Atlas 2015.</w:t>
      </w:r>
    </w:p>
    <w:p w14:paraId="6D561F30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4F17105F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 xml:space="preserve">LIMA, Renato Brasileiro de. Manual de Processo Penal. 3.ed. rev. </w:t>
      </w:r>
      <w:proofErr w:type="spellStart"/>
      <w:r w:rsidRPr="004E1D30">
        <w:rPr>
          <w:rFonts w:ascii="Arial" w:hAnsi="Arial" w:cs="Arial"/>
          <w:sz w:val="24"/>
          <w:szCs w:val="24"/>
          <w:lang w:val="pt-BR"/>
        </w:rPr>
        <w:t>ampl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 xml:space="preserve">. e atual. Salvador: Jus </w:t>
      </w:r>
      <w:proofErr w:type="spellStart"/>
      <w:r w:rsidRPr="004E1D30">
        <w:rPr>
          <w:rFonts w:ascii="Arial" w:hAnsi="Arial" w:cs="Arial"/>
          <w:sz w:val="24"/>
          <w:szCs w:val="24"/>
          <w:lang w:val="pt-BR"/>
        </w:rPr>
        <w:t>Podivm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>, 2015.</w:t>
      </w:r>
    </w:p>
    <w:p w14:paraId="7CAA871F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42DBE441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LOPES JR, Aury. Direito Processual Penal. 9.ed. São Paulo: Saraiva, 2012.</w:t>
      </w:r>
    </w:p>
    <w:p w14:paraId="6ED9D539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08D05FFE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MACHADO, Marlon Wander. REVISÃO CRIMINAL E A DIGNIDADE DA PESSOA HUMANA. </w:t>
      </w:r>
      <w:r w:rsidRPr="004E1D30">
        <w:rPr>
          <w:rFonts w:ascii="Arial" w:hAnsi="Arial" w:cs="Arial"/>
          <w:b/>
          <w:bCs/>
          <w:sz w:val="24"/>
          <w:szCs w:val="24"/>
          <w:lang w:val="pt-BR"/>
        </w:rPr>
        <w:t>Revista da Faculdade de Direito da Universidade São Judas Tadeu</w:t>
      </w:r>
      <w:r w:rsidRPr="004E1D30">
        <w:rPr>
          <w:rFonts w:ascii="Arial" w:hAnsi="Arial" w:cs="Arial"/>
          <w:sz w:val="24"/>
          <w:szCs w:val="24"/>
          <w:lang w:val="pt-BR"/>
        </w:rPr>
        <w:t>, n. 6, 2018.</w:t>
      </w:r>
    </w:p>
    <w:p w14:paraId="0E72441E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3CFF469A" w14:textId="35D5E8FD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>NUCCI, Guilherme de Souza. Manual de Direito Penal. Forense, 14ª. Edição, Rio de Janeiro, 2018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4D12AA14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284445AF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 xml:space="preserve">PIMENTEL, Fabiano Cavalcante. O </w:t>
      </w:r>
      <w:proofErr w:type="spellStart"/>
      <w:r w:rsidRPr="004E1D30">
        <w:rPr>
          <w:rFonts w:ascii="Arial" w:hAnsi="Arial" w:cs="Arial"/>
          <w:sz w:val="24"/>
          <w:szCs w:val="24"/>
          <w:lang w:val="pt-BR"/>
        </w:rPr>
        <w:t>retrospective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4E1D30">
        <w:rPr>
          <w:rFonts w:ascii="Arial" w:hAnsi="Arial" w:cs="Arial"/>
          <w:sz w:val="24"/>
          <w:szCs w:val="24"/>
          <w:lang w:val="pt-BR"/>
        </w:rPr>
        <w:t>overruling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 xml:space="preserve"> in </w:t>
      </w:r>
      <w:proofErr w:type="spellStart"/>
      <w:r w:rsidRPr="004E1D30">
        <w:rPr>
          <w:rFonts w:ascii="Arial" w:hAnsi="Arial" w:cs="Arial"/>
          <w:sz w:val="24"/>
          <w:szCs w:val="24"/>
          <w:lang w:val="pt-BR"/>
        </w:rPr>
        <w:t>mellius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 xml:space="preserve"> como fundamento para a revisão criminal. 2015.</w:t>
      </w:r>
    </w:p>
    <w:p w14:paraId="6D03D787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5E3205D7" w14:textId="77777777" w:rsid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  <w:r w:rsidRPr="004E1D30">
        <w:rPr>
          <w:rFonts w:ascii="Arial" w:hAnsi="Arial" w:cs="Arial"/>
          <w:sz w:val="24"/>
          <w:szCs w:val="24"/>
          <w:lang w:val="pt-BR"/>
        </w:rPr>
        <w:t xml:space="preserve">SANTOS, Daiane da Cruz; AUBANO, Janaina Elena; BERTUCCI, </w:t>
      </w:r>
      <w:proofErr w:type="spellStart"/>
      <w:r w:rsidRPr="004E1D30">
        <w:rPr>
          <w:rFonts w:ascii="Arial" w:hAnsi="Arial" w:cs="Arial"/>
          <w:sz w:val="24"/>
          <w:szCs w:val="24"/>
          <w:lang w:val="pt-BR"/>
        </w:rPr>
        <w:t>Tauane</w:t>
      </w:r>
      <w:proofErr w:type="spellEnd"/>
      <w:r w:rsidRPr="004E1D30">
        <w:rPr>
          <w:rFonts w:ascii="Arial" w:hAnsi="Arial" w:cs="Arial"/>
          <w:sz w:val="24"/>
          <w:szCs w:val="24"/>
          <w:lang w:val="pt-BR"/>
        </w:rPr>
        <w:t>. Revisão criminal. 2022.</w:t>
      </w:r>
    </w:p>
    <w:p w14:paraId="39481C0D" w14:textId="77777777" w:rsidR="004E1D30" w:rsidRPr="004E1D30" w:rsidRDefault="004E1D30" w:rsidP="004E1D30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val="pt-BR"/>
        </w:rPr>
      </w:pPr>
    </w:p>
    <w:p w14:paraId="4C4BD1CD" w14:textId="0C2AF455" w:rsidR="004846F1" w:rsidRPr="00DA08F8" w:rsidRDefault="004E1D30" w:rsidP="00DA08F8">
      <w:pPr>
        <w:pStyle w:val="Corpodetexto"/>
        <w:ind w:left="0"/>
        <w:jc w:val="both"/>
        <w:rPr>
          <w:rFonts w:ascii="Arial" w:hAnsi="Arial" w:cs="Arial"/>
          <w:lang w:val="pt-BR"/>
        </w:rPr>
      </w:pPr>
      <w:r w:rsidRPr="004E1D30">
        <w:rPr>
          <w:rFonts w:ascii="Arial" w:hAnsi="Arial" w:cs="Arial"/>
          <w:lang w:val="pt-BR"/>
        </w:rPr>
        <w:t>SEVERINO, A. J. Metodologia do trabalho científico. 24 ed. São Paulo: Cortez</w:t>
      </w:r>
      <w:r>
        <w:rPr>
          <w:rFonts w:ascii="Arial" w:hAnsi="Arial" w:cs="Arial"/>
          <w:lang w:val="pt-BR"/>
        </w:rPr>
        <w:t>, 2016.</w:t>
      </w:r>
    </w:p>
    <w:sectPr w:rsidR="004846F1" w:rsidRPr="00DA08F8">
      <w:headerReference w:type="default" r:id="rId8"/>
      <w:footerReference w:type="default" r:id="rId9"/>
      <w:pgSz w:w="11910" w:h="16840"/>
      <w:pgMar w:top="1380" w:right="1020" w:bottom="280" w:left="1600" w:header="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3F8F" w14:textId="77777777" w:rsidR="00546921" w:rsidRDefault="00546921">
      <w:r>
        <w:separator/>
      </w:r>
    </w:p>
  </w:endnote>
  <w:endnote w:type="continuationSeparator" w:id="0">
    <w:p w14:paraId="425D221C" w14:textId="77777777" w:rsidR="00546921" w:rsidRDefault="0054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21B9" w14:textId="77777777" w:rsidR="00471C63" w:rsidRDefault="00471C63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D9EB" w14:textId="77777777" w:rsidR="00546921" w:rsidRDefault="00546921">
      <w:r>
        <w:separator/>
      </w:r>
    </w:p>
  </w:footnote>
  <w:footnote w:type="continuationSeparator" w:id="0">
    <w:p w14:paraId="4C2DC0F9" w14:textId="77777777" w:rsidR="00546921" w:rsidRDefault="0054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C2AD" w14:textId="65D21BF7" w:rsidR="00471C63" w:rsidRDefault="00827580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1760" behindDoc="1" locked="0" layoutInCell="1" allowOverlap="1" wp14:anchorId="666D171F" wp14:editId="021CE232">
          <wp:simplePos x="0" y="0"/>
          <wp:positionH relativeFrom="page">
            <wp:posOffset>1318260</wp:posOffset>
          </wp:positionH>
          <wp:positionV relativeFrom="page">
            <wp:posOffset>121919</wp:posOffset>
          </wp:positionV>
          <wp:extent cx="591185" cy="652145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18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222272" behindDoc="1" locked="0" layoutInCell="1" allowOverlap="1" wp14:anchorId="291E5B27" wp14:editId="0C9BA97C">
          <wp:simplePos x="0" y="0"/>
          <wp:positionH relativeFrom="page">
            <wp:posOffset>6170929</wp:posOffset>
          </wp:positionH>
          <wp:positionV relativeFrom="page">
            <wp:posOffset>158749</wp:posOffset>
          </wp:positionV>
          <wp:extent cx="669925" cy="66294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992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CE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22784" behindDoc="1" locked="0" layoutInCell="1" allowOverlap="1" wp14:anchorId="4AC1BB02" wp14:editId="431A5F98">
              <wp:simplePos x="0" y="0"/>
              <wp:positionH relativeFrom="page">
                <wp:posOffset>2336165</wp:posOffset>
              </wp:positionH>
              <wp:positionV relativeFrom="page">
                <wp:posOffset>170815</wp:posOffset>
              </wp:positionV>
              <wp:extent cx="3107690" cy="490220"/>
              <wp:effectExtent l="0" t="0" r="0" b="0"/>
              <wp:wrapNone/>
              <wp:docPr id="6748519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1F218" w14:textId="77777777" w:rsidR="00471C63" w:rsidRDefault="00827580">
                          <w:pPr>
                            <w:spacing w:before="15"/>
                            <w:ind w:left="19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AUTARQUIA DO ENSINO SUPERIOR DE GARANHUNS (AESGA)</w:t>
                          </w:r>
                          <w:r>
                            <w:rPr>
                              <w:rFonts w:asci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FACULDADES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INTEGRADAS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 GARANHUNS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(FACIGA)</w:t>
                          </w:r>
                        </w:p>
                        <w:p w14:paraId="48C1440E" w14:textId="77777777" w:rsidR="00471C63" w:rsidRDefault="00827580">
                          <w:pPr>
                            <w:ind w:left="106" w:right="96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 Seminário de Iniciação Científica e Extensão Universitária –</w:t>
                          </w:r>
                          <w:r>
                            <w:rPr>
                              <w:rFonts w:ascii="Arial" w:hAnsi="Arial"/>
                              <w:b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SICEUNI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1BB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95pt;margin-top:13.45pt;width:244.7pt;height:38.6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" filled="f" stroked="f">
              <v:textbox inset="0,0,0,0">
                <w:txbxContent>
                  <w:p w14:paraId="1E51F218" w14:textId="77777777" w:rsidR="00471C63" w:rsidRDefault="00827580">
                    <w:pPr>
                      <w:spacing w:before="15"/>
                      <w:ind w:left="19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AUTARQUIA DO ENSINO SUPERIOR DE GARANHUNS (AESGA)</w:t>
                    </w:r>
                    <w:r>
                      <w:rPr>
                        <w:rFonts w:asci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FACULDADES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INTEGRADAS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DE GARANHUNS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(FACIGA)</w:t>
                    </w:r>
                  </w:p>
                  <w:p w14:paraId="48C1440E" w14:textId="77777777" w:rsidR="00471C63" w:rsidRDefault="00827580">
                    <w:pPr>
                      <w:ind w:left="106" w:right="96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V Seminário de Iniciação Científica e Extensão Universitária –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SICEUNI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269"/>
    <w:multiLevelType w:val="hybridMultilevel"/>
    <w:tmpl w:val="D48A5D1C"/>
    <w:lvl w:ilvl="0" w:tplc="B5308828">
      <w:start w:val="1"/>
      <w:numFmt w:val="decimal"/>
      <w:lvlText w:val="%1."/>
      <w:lvlJc w:val="left"/>
      <w:pPr>
        <w:ind w:left="462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E8659DD"/>
    <w:multiLevelType w:val="hybridMultilevel"/>
    <w:tmpl w:val="89AE650E"/>
    <w:lvl w:ilvl="0" w:tplc="5E127070">
      <w:numFmt w:val="bullet"/>
      <w:lvlText w:val=""/>
      <w:lvlJc w:val="left"/>
      <w:pPr>
        <w:ind w:left="6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ED8DFB4">
      <w:numFmt w:val="bullet"/>
      <w:lvlText w:val="•"/>
      <w:lvlJc w:val="left"/>
      <w:pPr>
        <w:ind w:left="1505" w:hanging="360"/>
      </w:pPr>
      <w:rPr>
        <w:rFonts w:hint="default"/>
        <w:lang w:val="pt-PT" w:eastAsia="en-US" w:bidi="ar-SA"/>
      </w:rPr>
    </w:lvl>
    <w:lvl w:ilvl="2" w:tplc="8D06A84A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CAEA301A">
      <w:numFmt w:val="bullet"/>
      <w:lvlText w:val="•"/>
      <w:lvlJc w:val="left"/>
      <w:pPr>
        <w:ind w:left="3198" w:hanging="360"/>
      </w:pPr>
      <w:rPr>
        <w:rFonts w:hint="default"/>
        <w:lang w:val="pt-PT" w:eastAsia="en-US" w:bidi="ar-SA"/>
      </w:rPr>
    </w:lvl>
    <w:lvl w:ilvl="4" w:tplc="C90EA15E">
      <w:numFmt w:val="bullet"/>
      <w:lvlText w:val="•"/>
      <w:lvlJc w:val="left"/>
      <w:pPr>
        <w:ind w:left="4045" w:hanging="360"/>
      </w:pPr>
      <w:rPr>
        <w:rFonts w:hint="default"/>
        <w:lang w:val="pt-PT" w:eastAsia="en-US" w:bidi="ar-SA"/>
      </w:rPr>
    </w:lvl>
    <w:lvl w:ilvl="5" w:tplc="153C11F2"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6" w:tplc="E7006D82">
      <w:numFmt w:val="bullet"/>
      <w:lvlText w:val="•"/>
      <w:lvlJc w:val="left"/>
      <w:pPr>
        <w:ind w:left="5738" w:hanging="360"/>
      </w:pPr>
      <w:rPr>
        <w:rFonts w:hint="default"/>
        <w:lang w:val="pt-PT" w:eastAsia="en-US" w:bidi="ar-SA"/>
      </w:rPr>
    </w:lvl>
    <w:lvl w:ilvl="7" w:tplc="B3381600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8" w:tplc="6FC4237E">
      <w:numFmt w:val="bullet"/>
      <w:lvlText w:val="•"/>
      <w:lvlJc w:val="left"/>
      <w:pPr>
        <w:ind w:left="743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F310EC3"/>
    <w:multiLevelType w:val="multilevel"/>
    <w:tmpl w:val="18CA7D3E"/>
    <w:lvl w:ilvl="0">
      <w:start w:val="1"/>
      <w:numFmt w:val="decimal"/>
      <w:lvlText w:val="%1"/>
      <w:lvlJc w:val="left"/>
      <w:pPr>
        <w:ind w:left="303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0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9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6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9" w:hanging="670"/>
      </w:pPr>
      <w:rPr>
        <w:rFonts w:hint="default"/>
        <w:lang w:val="pt-PT" w:eastAsia="en-US" w:bidi="ar-SA"/>
      </w:rPr>
    </w:lvl>
  </w:abstractNum>
  <w:abstractNum w:abstractNumId="3" w15:restartNumberingAfterBreak="0">
    <w:nsid w:val="16AE4236"/>
    <w:multiLevelType w:val="hybridMultilevel"/>
    <w:tmpl w:val="9DEE4A70"/>
    <w:lvl w:ilvl="0" w:tplc="5D40DB1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83852AA"/>
    <w:multiLevelType w:val="hybridMultilevel"/>
    <w:tmpl w:val="3990D7BA"/>
    <w:lvl w:ilvl="0" w:tplc="BD7A778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C27BC4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A4C6C43A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98E03CB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B622A9A6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E4A274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A2BEDD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8F0E8F8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62D35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89001F8"/>
    <w:multiLevelType w:val="multilevel"/>
    <w:tmpl w:val="803C0166"/>
    <w:lvl w:ilvl="0">
      <w:start w:val="1"/>
      <w:numFmt w:val="decimal"/>
      <w:lvlText w:val="%1"/>
      <w:lvlJc w:val="left"/>
      <w:pPr>
        <w:ind w:left="32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25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23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21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1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6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4" w:hanging="401"/>
      </w:pPr>
      <w:rPr>
        <w:rFonts w:hint="default"/>
        <w:lang w:val="pt-PT" w:eastAsia="en-US" w:bidi="ar-SA"/>
      </w:rPr>
    </w:lvl>
  </w:abstractNum>
  <w:abstractNum w:abstractNumId="6" w15:restartNumberingAfterBreak="0">
    <w:nsid w:val="192C6999"/>
    <w:multiLevelType w:val="hybridMultilevel"/>
    <w:tmpl w:val="B4EA123E"/>
    <w:lvl w:ilvl="0" w:tplc="3A4E3F7A">
      <w:numFmt w:val="bullet"/>
      <w:lvlText w:val=""/>
      <w:lvlJc w:val="left"/>
      <w:pPr>
        <w:ind w:left="102" w:hanging="24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8E6DF60">
      <w:numFmt w:val="bullet"/>
      <w:lvlText w:val="•"/>
      <w:lvlJc w:val="left"/>
      <w:pPr>
        <w:ind w:left="1018" w:hanging="243"/>
      </w:pPr>
      <w:rPr>
        <w:rFonts w:hint="default"/>
        <w:lang w:val="pt-PT" w:eastAsia="en-US" w:bidi="ar-SA"/>
      </w:rPr>
    </w:lvl>
    <w:lvl w:ilvl="2" w:tplc="FBDCECE8">
      <w:numFmt w:val="bullet"/>
      <w:lvlText w:val="•"/>
      <w:lvlJc w:val="left"/>
      <w:pPr>
        <w:ind w:left="1937" w:hanging="243"/>
      </w:pPr>
      <w:rPr>
        <w:rFonts w:hint="default"/>
        <w:lang w:val="pt-PT" w:eastAsia="en-US" w:bidi="ar-SA"/>
      </w:rPr>
    </w:lvl>
    <w:lvl w:ilvl="3" w:tplc="31F02E4C">
      <w:numFmt w:val="bullet"/>
      <w:lvlText w:val="•"/>
      <w:lvlJc w:val="left"/>
      <w:pPr>
        <w:ind w:left="2855" w:hanging="243"/>
      </w:pPr>
      <w:rPr>
        <w:rFonts w:hint="default"/>
        <w:lang w:val="pt-PT" w:eastAsia="en-US" w:bidi="ar-SA"/>
      </w:rPr>
    </w:lvl>
    <w:lvl w:ilvl="4" w:tplc="8F2CF96C">
      <w:numFmt w:val="bullet"/>
      <w:lvlText w:val="•"/>
      <w:lvlJc w:val="left"/>
      <w:pPr>
        <w:ind w:left="3774" w:hanging="243"/>
      </w:pPr>
      <w:rPr>
        <w:rFonts w:hint="default"/>
        <w:lang w:val="pt-PT" w:eastAsia="en-US" w:bidi="ar-SA"/>
      </w:rPr>
    </w:lvl>
    <w:lvl w:ilvl="5" w:tplc="37342BAC">
      <w:numFmt w:val="bullet"/>
      <w:lvlText w:val="•"/>
      <w:lvlJc w:val="left"/>
      <w:pPr>
        <w:ind w:left="4693" w:hanging="243"/>
      </w:pPr>
      <w:rPr>
        <w:rFonts w:hint="default"/>
        <w:lang w:val="pt-PT" w:eastAsia="en-US" w:bidi="ar-SA"/>
      </w:rPr>
    </w:lvl>
    <w:lvl w:ilvl="6" w:tplc="C2A0F5CC">
      <w:numFmt w:val="bullet"/>
      <w:lvlText w:val="•"/>
      <w:lvlJc w:val="left"/>
      <w:pPr>
        <w:ind w:left="5611" w:hanging="243"/>
      </w:pPr>
      <w:rPr>
        <w:rFonts w:hint="default"/>
        <w:lang w:val="pt-PT" w:eastAsia="en-US" w:bidi="ar-SA"/>
      </w:rPr>
    </w:lvl>
    <w:lvl w:ilvl="7" w:tplc="4EA210FE">
      <w:numFmt w:val="bullet"/>
      <w:lvlText w:val="•"/>
      <w:lvlJc w:val="left"/>
      <w:pPr>
        <w:ind w:left="6530" w:hanging="243"/>
      </w:pPr>
      <w:rPr>
        <w:rFonts w:hint="default"/>
        <w:lang w:val="pt-PT" w:eastAsia="en-US" w:bidi="ar-SA"/>
      </w:rPr>
    </w:lvl>
    <w:lvl w:ilvl="8" w:tplc="667AE71A">
      <w:numFmt w:val="bullet"/>
      <w:lvlText w:val="•"/>
      <w:lvlJc w:val="left"/>
      <w:pPr>
        <w:ind w:left="7449" w:hanging="243"/>
      </w:pPr>
      <w:rPr>
        <w:rFonts w:hint="default"/>
        <w:lang w:val="pt-PT" w:eastAsia="en-US" w:bidi="ar-SA"/>
      </w:rPr>
    </w:lvl>
  </w:abstractNum>
  <w:abstractNum w:abstractNumId="7" w15:restartNumberingAfterBreak="0">
    <w:nsid w:val="1AAE3E09"/>
    <w:multiLevelType w:val="multilevel"/>
    <w:tmpl w:val="3AD4633C"/>
    <w:lvl w:ilvl="0">
      <w:start w:val="5"/>
      <w:numFmt w:val="decimal"/>
      <w:lvlText w:val="%1"/>
      <w:lvlJc w:val="left"/>
      <w:pPr>
        <w:ind w:left="102" w:hanging="42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" w:hanging="42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2886563C"/>
    <w:multiLevelType w:val="hybridMultilevel"/>
    <w:tmpl w:val="41525A8A"/>
    <w:lvl w:ilvl="0" w:tplc="AF0CD19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 w15:restartNumberingAfterBreak="0">
    <w:nsid w:val="378C3144"/>
    <w:multiLevelType w:val="hybridMultilevel"/>
    <w:tmpl w:val="063A25F2"/>
    <w:lvl w:ilvl="0" w:tplc="DCA2D620">
      <w:start w:val="3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461979A1"/>
    <w:multiLevelType w:val="multilevel"/>
    <w:tmpl w:val="AF8651BC"/>
    <w:lvl w:ilvl="0">
      <w:start w:val="4"/>
      <w:numFmt w:val="decimal"/>
      <w:lvlText w:val="%1"/>
      <w:lvlJc w:val="left"/>
      <w:pPr>
        <w:ind w:left="490" w:hanging="38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90" w:hanging="38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7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5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389"/>
      </w:pPr>
      <w:rPr>
        <w:rFonts w:hint="default"/>
        <w:lang w:val="pt-PT" w:eastAsia="en-US" w:bidi="ar-SA"/>
      </w:rPr>
    </w:lvl>
  </w:abstractNum>
  <w:abstractNum w:abstractNumId="11" w15:restartNumberingAfterBreak="0">
    <w:nsid w:val="4BE13085"/>
    <w:multiLevelType w:val="multilevel"/>
    <w:tmpl w:val="4E7C3F5A"/>
    <w:lvl w:ilvl="0">
      <w:start w:val="10"/>
      <w:numFmt w:val="decimal"/>
      <w:lvlText w:val="%1"/>
      <w:lvlJc w:val="left"/>
      <w:pPr>
        <w:ind w:left="102" w:hanging="53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53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536"/>
      </w:pPr>
      <w:rPr>
        <w:rFonts w:hint="default"/>
        <w:lang w:val="pt-PT" w:eastAsia="en-US" w:bidi="ar-SA"/>
      </w:rPr>
    </w:lvl>
  </w:abstractNum>
  <w:abstractNum w:abstractNumId="12" w15:restartNumberingAfterBreak="0">
    <w:nsid w:val="4FFF41FF"/>
    <w:multiLevelType w:val="hybridMultilevel"/>
    <w:tmpl w:val="FB5CB166"/>
    <w:lvl w:ilvl="0" w:tplc="BF84B7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4EA6"/>
    <w:multiLevelType w:val="multilevel"/>
    <w:tmpl w:val="D3981828"/>
    <w:lvl w:ilvl="0">
      <w:start w:val="2"/>
      <w:numFmt w:val="decimal"/>
      <w:lvlText w:val="%1"/>
      <w:lvlJc w:val="left"/>
      <w:pPr>
        <w:ind w:left="102" w:hanging="48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" w:hanging="48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77E85190"/>
    <w:multiLevelType w:val="hybridMultilevel"/>
    <w:tmpl w:val="6DF23428"/>
    <w:lvl w:ilvl="0" w:tplc="DF7AFDB4">
      <w:start w:val="3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B3739CC"/>
    <w:multiLevelType w:val="hybridMultilevel"/>
    <w:tmpl w:val="AB98703C"/>
    <w:lvl w:ilvl="0" w:tplc="0C2091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B566421"/>
    <w:multiLevelType w:val="hybridMultilevel"/>
    <w:tmpl w:val="28C46C62"/>
    <w:lvl w:ilvl="0" w:tplc="76340A22">
      <w:numFmt w:val="bullet"/>
      <w:lvlText w:val="–"/>
      <w:lvlJc w:val="left"/>
      <w:pPr>
        <w:ind w:left="102" w:hanging="19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C10BA7E">
      <w:numFmt w:val="bullet"/>
      <w:lvlText w:val="•"/>
      <w:lvlJc w:val="left"/>
      <w:pPr>
        <w:ind w:left="1018" w:hanging="192"/>
      </w:pPr>
      <w:rPr>
        <w:rFonts w:hint="default"/>
        <w:lang w:val="pt-PT" w:eastAsia="en-US" w:bidi="ar-SA"/>
      </w:rPr>
    </w:lvl>
    <w:lvl w:ilvl="2" w:tplc="E2B245FA">
      <w:numFmt w:val="bullet"/>
      <w:lvlText w:val="•"/>
      <w:lvlJc w:val="left"/>
      <w:pPr>
        <w:ind w:left="1937" w:hanging="192"/>
      </w:pPr>
      <w:rPr>
        <w:rFonts w:hint="default"/>
        <w:lang w:val="pt-PT" w:eastAsia="en-US" w:bidi="ar-SA"/>
      </w:rPr>
    </w:lvl>
    <w:lvl w:ilvl="3" w:tplc="FB70A4E2">
      <w:numFmt w:val="bullet"/>
      <w:lvlText w:val="•"/>
      <w:lvlJc w:val="left"/>
      <w:pPr>
        <w:ind w:left="2855" w:hanging="192"/>
      </w:pPr>
      <w:rPr>
        <w:rFonts w:hint="default"/>
        <w:lang w:val="pt-PT" w:eastAsia="en-US" w:bidi="ar-SA"/>
      </w:rPr>
    </w:lvl>
    <w:lvl w:ilvl="4" w:tplc="F0D22D94">
      <w:numFmt w:val="bullet"/>
      <w:lvlText w:val="•"/>
      <w:lvlJc w:val="left"/>
      <w:pPr>
        <w:ind w:left="3774" w:hanging="192"/>
      </w:pPr>
      <w:rPr>
        <w:rFonts w:hint="default"/>
        <w:lang w:val="pt-PT" w:eastAsia="en-US" w:bidi="ar-SA"/>
      </w:rPr>
    </w:lvl>
    <w:lvl w:ilvl="5" w:tplc="F2F2CA4C">
      <w:numFmt w:val="bullet"/>
      <w:lvlText w:val="•"/>
      <w:lvlJc w:val="left"/>
      <w:pPr>
        <w:ind w:left="4693" w:hanging="192"/>
      </w:pPr>
      <w:rPr>
        <w:rFonts w:hint="default"/>
        <w:lang w:val="pt-PT" w:eastAsia="en-US" w:bidi="ar-SA"/>
      </w:rPr>
    </w:lvl>
    <w:lvl w:ilvl="6" w:tplc="6CAA0FAC">
      <w:numFmt w:val="bullet"/>
      <w:lvlText w:val="•"/>
      <w:lvlJc w:val="left"/>
      <w:pPr>
        <w:ind w:left="5611" w:hanging="192"/>
      </w:pPr>
      <w:rPr>
        <w:rFonts w:hint="default"/>
        <w:lang w:val="pt-PT" w:eastAsia="en-US" w:bidi="ar-SA"/>
      </w:rPr>
    </w:lvl>
    <w:lvl w:ilvl="7" w:tplc="8BBC12A8">
      <w:numFmt w:val="bullet"/>
      <w:lvlText w:val="•"/>
      <w:lvlJc w:val="left"/>
      <w:pPr>
        <w:ind w:left="6530" w:hanging="192"/>
      </w:pPr>
      <w:rPr>
        <w:rFonts w:hint="default"/>
        <w:lang w:val="pt-PT" w:eastAsia="en-US" w:bidi="ar-SA"/>
      </w:rPr>
    </w:lvl>
    <w:lvl w:ilvl="8" w:tplc="13005586">
      <w:numFmt w:val="bullet"/>
      <w:lvlText w:val="•"/>
      <w:lvlJc w:val="left"/>
      <w:pPr>
        <w:ind w:left="7449" w:hanging="192"/>
      </w:pPr>
      <w:rPr>
        <w:rFonts w:hint="default"/>
        <w:lang w:val="pt-PT" w:eastAsia="en-US" w:bidi="ar-SA"/>
      </w:rPr>
    </w:lvl>
  </w:abstractNum>
  <w:abstractNum w:abstractNumId="17" w15:restartNumberingAfterBreak="0">
    <w:nsid w:val="7BF405BB"/>
    <w:multiLevelType w:val="multilevel"/>
    <w:tmpl w:val="F9D4FE6A"/>
    <w:lvl w:ilvl="0">
      <w:start w:val="2"/>
      <w:numFmt w:val="decimal"/>
      <w:lvlText w:val="%1"/>
      <w:lvlJc w:val="left"/>
      <w:pPr>
        <w:ind w:left="102" w:hanging="41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02" w:hanging="41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7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18"/>
      </w:pPr>
      <w:rPr>
        <w:rFonts w:hint="default"/>
        <w:lang w:val="pt-PT" w:eastAsia="en-US" w:bidi="ar-SA"/>
      </w:rPr>
    </w:lvl>
  </w:abstractNum>
  <w:num w:numId="1" w16cid:durableId="2134323265">
    <w:abstractNumId w:val="5"/>
  </w:num>
  <w:num w:numId="2" w16cid:durableId="1824930858">
    <w:abstractNumId w:val="11"/>
  </w:num>
  <w:num w:numId="3" w16cid:durableId="1358461287">
    <w:abstractNumId w:val="1"/>
  </w:num>
  <w:num w:numId="4" w16cid:durableId="1101681854">
    <w:abstractNumId w:val="7"/>
  </w:num>
  <w:num w:numId="5" w16cid:durableId="1226603097">
    <w:abstractNumId w:val="6"/>
  </w:num>
  <w:num w:numId="6" w16cid:durableId="426006832">
    <w:abstractNumId w:val="10"/>
  </w:num>
  <w:num w:numId="7" w16cid:durableId="1960379874">
    <w:abstractNumId w:val="4"/>
  </w:num>
  <w:num w:numId="8" w16cid:durableId="1697541998">
    <w:abstractNumId w:val="17"/>
  </w:num>
  <w:num w:numId="9" w16cid:durableId="81143838">
    <w:abstractNumId w:val="13"/>
  </w:num>
  <w:num w:numId="10" w16cid:durableId="971448623">
    <w:abstractNumId w:val="2"/>
  </w:num>
  <w:num w:numId="11" w16cid:durableId="548108444">
    <w:abstractNumId w:val="16"/>
  </w:num>
  <w:num w:numId="12" w16cid:durableId="711617733">
    <w:abstractNumId w:val="3"/>
  </w:num>
  <w:num w:numId="13" w16cid:durableId="1700467310">
    <w:abstractNumId w:val="8"/>
  </w:num>
  <w:num w:numId="14" w16cid:durableId="1732993828">
    <w:abstractNumId w:val="14"/>
  </w:num>
  <w:num w:numId="15" w16cid:durableId="1576359256">
    <w:abstractNumId w:val="9"/>
  </w:num>
  <w:num w:numId="16" w16cid:durableId="1686446043">
    <w:abstractNumId w:val="15"/>
  </w:num>
  <w:num w:numId="17" w16cid:durableId="728236455">
    <w:abstractNumId w:val="12"/>
  </w:num>
  <w:num w:numId="18" w16cid:durableId="59586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63"/>
    <w:rsid w:val="0006178D"/>
    <w:rsid w:val="000A4E45"/>
    <w:rsid w:val="000A6486"/>
    <w:rsid w:val="0012650F"/>
    <w:rsid w:val="00150127"/>
    <w:rsid w:val="00166E56"/>
    <w:rsid w:val="001E6D9F"/>
    <w:rsid w:val="001F5411"/>
    <w:rsid w:val="00237BA6"/>
    <w:rsid w:val="00255D33"/>
    <w:rsid w:val="00293CED"/>
    <w:rsid w:val="002B2FF5"/>
    <w:rsid w:val="002E6F59"/>
    <w:rsid w:val="002F2FE8"/>
    <w:rsid w:val="00366CDB"/>
    <w:rsid w:val="003E30F5"/>
    <w:rsid w:val="00471C63"/>
    <w:rsid w:val="004846F1"/>
    <w:rsid w:val="004931F2"/>
    <w:rsid w:val="004E1D30"/>
    <w:rsid w:val="00546921"/>
    <w:rsid w:val="00557773"/>
    <w:rsid w:val="005D1789"/>
    <w:rsid w:val="00636B69"/>
    <w:rsid w:val="00643D6C"/>
    <w:rsid w:val="00646E3E"/>
    <w:rsid w:val="006C6A02"/>
    <w:rsid w:val="006D4701"/>
    <w:rsid w:val="00712D87"/>
    <w:rsid w:val="00751C79"/>
    <w:rsid w:val="007C3C15"/>
    <w:rsid w:val="008040B0"/>
    <w:rsid w:val="00827580"/>
    <w:rsid w:val="00886AB7"/>
    <w:rsid w:val="008F1915"/>
    <w:rsid w:val="009317FC"/>
    <w:rsid w:val="009721BF"/>
    <w:rsid w:val="009B11CA"/>
    <w:rsid w:val="009F5798"/>
    <w:rsid w:val="00A43806"/>
    <w:rsid w:val="00AE4B50"/>
    <w:rsid w:val="00BB733A"/>
    <w:rsid w:val="00BC7653"/>
    <w:rsid w:val="00C22337"/>
    <w:rsid w:val="00CA0E33"/>
    <w:rsid w:val="00CD34D2"/>
    <w:rsid w:val="00CF0279"/>
    <w:rsid w:val="00CF3A75"/>
    <w:rsid w:val="00D87E88"/>
    <w:rsid w:val="00DA08F8"/>
    <w:rsid w:val="00EB456B"/>
    <w:rsid w:val="00ED3758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B4EC9"/>
  <w15:docId w15:val="{10D43939-214C-401C-9CA6-15101C31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3" w:hanging="2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CorpodetextoChar">
    <w:name w:val="Corpo de texto Char"/>
    <w:basedOn w:val="Fontepargpadro"/>
    <w:link w:val="Corpodetexto"/>
    <w:uiPriority w:val="1"/>
    <w:rsid w:val="007C3C15"/>
    <w:rPr>
      <w:rFonts w:ascii="Arial MT" w:eastAsia="Arial MT" w:hAnsi="Arial MT" w:cs="Arial MT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12D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2D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2D87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D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D87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D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D8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3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60614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5279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6568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482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7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8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735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12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9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151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7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24566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28010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3767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703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99468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12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305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29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2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625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CB97-6AE9-4D9A-BBBF-A03B723B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1979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5581999524903</dc:creator>
  <cp:lastModifiedBy>AESGA</cp:lastModifiedBy>
  <cp:revision>2</cp:revision>
  <dcterms:created xsi:type="dcterms:W3CDTF">2023-11-21T19:11:00Z</dcterms:created>
  <dcterms:modified xsi:type="dcterms:W3CDTF">2023-11-21T19:11:00Z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