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86B" w:rsidRDefault="00B550B4"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19" o:spid="_x0000_s1029" type="#_x0000_t202" style="position:absolute;margin-left:3pt;margin-top:35.2pt;width:375.75pt;height:105.7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<v:textbox>
              <w:txbxContent>
                <w:p w:rsidR="00BB621E" w:rsidRPr="00B36A7F" w:rsidRDefault="002F3081" w:rsidP="00AB59A5">
                  <w:pPr>
                    <w:jc w:val="center"/>
                    <w:rPr>
                      <w:rFonts w:ascii="Bookman Old Style" w:hAnsi="Bookman Old Style" w:cs="Liberation Serif"/>
                      <w:color w:val="C5E0B3" w:themeColor="accent6" w:themeTint="66"/>
                      <w:sz w:val="40"/>
                      <w:szCs w:val="40"/>
                    </w:rPr>
                  </w:pPr>
                  <w:r>
                    <w:rPr>
                      <w:rFonts w:ascii="Bookman Old Style" w:hAnsi="Bookman Old Style" w:cs="Liberation Serif"/>
                      <w:color w:val="C5E0B3" w:themeColor="accent6" w:themeTint="66"/>
                      <w:sz w:val="40"/>
                      <w:szCs w:val="40"/>
                    </w:rPr>
                    <w:t>Desenvolvimento De L-asparaginase Recombinante Como Biofármaco Leucê</w:t>
                  </w:r>
                  <w:r w:rsidRPr="00AB59A5">
                    <w:rPr>
                      <w:rFonts w:ascii="Bookman Old Style" w:hAnsi="Bookman Old Style" w:cs="Liberation Serif"/>
                      <w:color w:val="C5E0B3" w:themeColor="accent6" w:themeTint="66"/>
                      <w:sz w:val="40"/>
                      <w:szCs w:val="40"/>
                    </w:rPr>
                    <w:t xml:space="preserve">mico  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Caixa de Texto 24" o:spid="_x0000_s1026" type="#_x0000_t202" style="position:absolute;margin-left:307.5pt;margin-top:812.95pt;width:212.25pt;height:20.25pt;z-index:25166540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<v:textbox>
              <w:txbxContent>
                <w:p w:rsidR="009C2829" w:rsidRPr="009C2829" w:rsidRDefault="009C2829" w:rsidP="009C2829">
                  <w:pPr>
                    <w:spacing w:after="0" w:line="240" w:lineRule="auto"/>
                    <w:rPr>
                      <w:b/>
                      <w:color w:val="FFFFFF" w:themeColor="background1"/>
                      <w:sz w:val="16"/>
                      <w:szCs w:val="16"/>
                    </w:rPr>
                  </w:pPr>
                  <w:r w:rsidRPr="009C2829">
                    <w:rPr>
                      <w:b/>
                      <w:color w:val="FFFFFF" w:themeColor="background1"/>
                      <w:sz w:val="16"/>
                      <w:szCs w:val="16"/>
                    </w:rPr>
                    <w:t>Apoio:</w:t>
                  </w:r>
                  <w:hyperlink r:id="rId6" w:history="1">
                    <w:r w:rsidRPr="009C2829">
                      <w:rPr>
                        <w:rStyle w:val="Hyperlink"/>
                        <w:b/>
                        <w:color w:val="FFFFFF" w:themeColor="background1"/>
                        <w:sz w:val="16"/>
                        <w:szCs w:val="16"/>
                      </w:rPr>
                      <w:t>www.editorapasteur.com.br</w:t>
                    </w:r>
                  </w:hyperlink>
                  <w:r>
                    <w:rPr>
                      <w:b/>
                      <w:color w:val="FFFFFF" w:themeColor="background1"/>
                      <w:sz w:val="16"/>
                      <w:szCs w:val="16"/>
                    </w:rPr>
                    <w:t xml:space="preserve"> - </w:t>
                  </w:r>
                  <w:r w:rsidRPr="009C2829">
                    <w:rPr>
                      <w:b/>
                      <w:color w:val="FFFFFF" w:themeColor="background1"/>
                      <w:sz w:val="16"/>
                      <w:szCs w:val="16"/>
                    </w:rPr>
                    <w:t>@editorapasteur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pt-BR"/>
        </w:rPr>
        <w:pict>
          <v:rect id="Retângulo 23" o:spid="_x0000_s1030" style="position:absolute;margin-left:501pt;margin-top:774.75pt;width:40.5pt;height:55.5pt;z-index:251664384;visibility:visible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<v:fill r:id="rId7" o:title="" recolor="t" rotate="t" type="frame"/>
            <v:imagedata recolortarget="black"/>
          </v:rect>
        </w:pict>
      </w:r>
      <w:r>
        <w:rPr>
          <w:noProof/>
          <w:lang w:eastAsia="pt-BR"/>
        </w:rPr>
        <w:pict>
          <v:shape id="Caixa de Texto 21" o:spid="_x0000_s1027" type="#_x0000_t202" style="position:absolute;margin-left:11.25pt;margin-top:204.75pt;width:526.5pt;height:636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<v:textbox>
              <w:txbxContent>
                <w:p w:rsidR="00B36A7F" w:rsidRPr="00B36A7F" w:rsidRDefault="00AB59A5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 w:cs="Liberation Serif"/>
                      <w:b/>
                      <w:color w:val="C5E0B3" w:themeColor="accent6" w:themeTint="66"/>
                      <w:sz w:val="20"/>
                      <w:szCs w:val="20"/>
                    </w:rPr>
                    <w:t>INTRODUÇÃO:</w:t>
                  </w:r>
                </w:p>
                <w:p w:rsidR="00B36A7F" w:rsidRPr="00B36A7F" w:rsidRDefault="00AB59A5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AB59A5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No Brasil, L-asparaginase é utilizada no tratamento de L</w:t>
                  </w:r>
                  <w:r w:rsidR="005D6747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eucemia </w:t>
                  </w:r>
                  <w:r w:rsidRPr="00AB59A5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L</w:t>
                  </w:r>
                  <w:r w:rsidR="005D6747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infoblática </w:t>
                  </w:r>
                  <w:r w:rsidRPr="00AB59A5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A</w:t>
                  </w:r>
                  <w:r w:rsidR="005D6747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guda</w:t>
                  </w:r>
                  <w:r w:rsidRPr="00AB59A5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, porém a enzima na forma nativa pode causar quadros de hiperensibilidade, deixando sem alternativas os pacientes que utilizam esta droga. Diante dos expostos, é importante a busca de novas fontes de L-asparaginase, que tenham atividade antileucêmica, e sejam menos imunogênicas.</w:t>
                  </w:r>
                </w:p>
                <w:p w:rsidR="00B36A7F" w:rsidRPr="00B36A7F" w:rsidRDefault="00B36A7F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B36A7F">
                    <w:rPr>
                      <w:rFonts w:ascii="Bookman Old Style" w:hAnsi="Bookman Old Style" w:cs="Liberation Serif"/>
                      <w:b/>
                      <w:color w:val="C5E0B3" w:themeColor="accent6" w:themeTint="66"/>
                      <w:sz w:val="20"/>
                      <w:szCs w:val="20"/>
                    </w:rPr>
                    <w:t>OBJETIVO</w:t>
                  </w:r>
                  <w:r w:rsidR="00AB59A5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: </w:t>
                  </w:r>
                </w:p>
                <w:p w:rsidR="00B36A7F" w:rsidRPr="00B36A7F" w:rsidRDefault="00CD13F5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Evidenciar diferentes possibilidades recombinantes de utilização da </w:t>
                  </w:r>
                  <w:r w:rsidRPr="00AB59A5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L-asparaginase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em via de tratamento oncológico de LLA, visando redução de casos de hipersensibilidade.</w:t>
                  </w:r>
                </w:p>
                <w:p w:rsidR="00B36A7F" w:rsidRPr="00B36A7F" w:rsidRDefault="00B36A7F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B36A7F">
                    <w:rPr>
                      <w:rFonts w:ascii="Bookman Old Style" w:hAnsi="Bookman Old Style" w:cs="Liberation Serif"/>
                      <w:b/>
                      <w:color w:val="C5E0B3" w:themeColor="accent6" w:themeTint="66"/>
                      <w:sz w:val="20"/>
                      <w:szCs w:val="20"/>
                    </w:rPr>
                    <w:t>MÉTODO</w:t>
                  </w:r>
                  <w:r w:rsidR="00CD13F5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: </w:t>
                  </w:r>
                </w:p>
                <w:p w:rsidR="00B36A7F" w:rsidRPr="00B36A7F" w:rsidRDefault="00AB59A5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7A4D69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Foi real</w:t>
                  </w:r>
                  <w:r w:rsidR="00CE502B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izada uma revisão bibliográfica do tipo integrativa,</w:t>
                  </w:r>
                  <w:r w:rsidRPr="007A4D69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utilizando as bases de dados: BVS, Sci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elo</w:t>
                  </w:r>
                  <w:r w:rsidR="00802125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e PubMed. </w:t>
                  </w:r>
                  <w:r w:rsidR="00CE502B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Para o processo de seleção e </w:t>
                  </w:r>
                  <w:r w:rsidR="00802125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extração </w:t>
                  </w:r>
                  <w:r w:rsidR="00CE502B" w:rsidRPr="00CE502B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dos artigos</w:t>
                  </w:r>
                  <w:r w:rsidR="00CE502B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, </w:t>
                  </w:r>
                  <w:r w:rsidR="00802125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estes </w:t>
                  </w:r>
                  <w:r w:rsidR="00CE502B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foram selecionados</w:t>
                  </w:r>
                  <w:r w:rsidRPr="007A4D69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preferencialmente na língua portuguesa</w:t>
                  </w:r>
                  <w:r w:rsidR="00CE502B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e inglesa, </w:t>
                  </w:r>
                  <w:r w:rsidR="00802125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onde foi</w:t>
                  </w:r>
                  <w:r w:rsidR="00CE502B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obtido um total de 70 artigos, que após </w:t>
                  </w:r>
                  <w:r w:rsidR="00CE502B" w:rsidRPr="00CE502B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a leitura dos pré-selecionados</w:t>
                  </w:r>
                  <w:r w:rsidR="00CE502B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, foram obtidos 12 para estudo. </w:t>
                  </w:r>
                  <w:r w:rsidR="00802125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O trabalho apresenta como 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critério de inclusão </w:t>
                  </w:r>
                  <w:r w:rsidRPr="007A4D69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artigos 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que foram </w:t>
                  </w:r>
                  <w:r w:rsidRPr="007A4D69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publicados nos últimos 10 anos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, que</w:t>
                  </w:r>
                  <w:r w:rsidR="00CE502B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descrevessem o processo </w:t>
                  </w:r>
                  <w:r w:rsidR="00802125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de</w:t>
                  </w:r>
                  <w:r w:rsidR="00CE502B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formulação da L-asparaginase como biofármaco, bem como sua aplicabilidade no tratamento da</w:t>
                  </w:r>
                  <w:r w:rsidR="00802125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LLA</w:t>
                  </w:r>
                  <w:r w:rsidR="00CE502B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. Foram excluídos os artigos que não apresentavam a idéia </w:t>
                  </w:r>
                  <w:r w:rsidR="00802125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central do estudo, nem </w:t>
                  </w:r>
                  <w:r w:rsidR="00CE502B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como natureza ensaios clínicos originais. </w:t>
                  </w:r>
                </w:p>
                <w:p w:rsidR="00B36A7F" w:rsidRDefault="00B36A7F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B36A7F">
                    <w:rPr>
                      <w:rFonts w:ascii="Bookman Old Style" w:hAnsi="Bookman Old Style" w:cs="Liberation Serif"/>
                      <w:b/>
                      <w:color w:val="C5E0B3" w:themeColor="accent6" w:themeTint="66"/>
                      <w:sz w:val="20"/>
                      <w:szCs w:val="20"/>
                    </w:rPr>
                    <w:t>RESULTADOS</w:t>
                  </w:r>
                  <w:r w:rsidR="00CD13F5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: </w:t>
                  </w:r>
                </w:p>
                <w:p w:rsidR="00AB59A5" w:rsidRPr="00B36A7F" w:rsidRDefault="00962C7C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Foram encontrados </w:t>
                  </w:r>
                  <w:r w:rsidR="00802125" w:rsidRPr="00802125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70 artigos utilizando os descritores: expressão, L- Asparaginase, Leucemia linfoblastica aguda. Durante a triagem de títulos,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foram eliminados 50 registros e a</w:t>
                  </w:r>
                  <w:r w:rsidR="00802125" w:rsidRPr="00802125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pós a leitura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restaram</w:t>
                  </w:r>
                  <w:r w:rsidR="00802125" w:rsidRPr="00802125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apenas 12. </w:t>
                  </w:r>
                  <w:r w:rsidR="00802125" w:rsidRPr="00AB59A5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A L-asparaginase utilizada no tratamento é obtida através da Escherichia coli e Erwinia chrysanthemi, ambas as formas causam hipersensibilidade.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Afim de reduzir</w:t>
                  </w:r>
                  <w:r w:rsidR="00802125" w:rsidRPr="00AB59A5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reação adversa, 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e</w:t>
                  </w:r>
                  <w:r w:rsidR="00802125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studos como o 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de Pastore</w:t>
                  </w:r>
                  <w:r w:rsidR="00802125" w:rsidRPr="00802125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(2017) mostram</w:t>
                  </w:r>
                  <w:r w:rsidR="00802125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que a</w:t>
                  </w:r>
                  <w:r w:rsidR="00802125" w:rsidRPr="00802125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monoPEG-ASNase apresentou-se mais resistente às proteases plasmáticas asparagina endopeptidase e catepsina B, e apresentou ser citotóxica para células leucêmicas. </w:t>
                  </w:r>
                  <w:r w:rsidR="00802125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Entretanto</w:t>
                  </w:r>
                  <w:r w:rsidR="00802125" w:rsidRPr="00802125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, a peguilação N-terminal sítio-específica resultou em uma nova variante da ASNase que reteve grande parte de seu poder catalítico e pode ser considerada promissora para o tratamento da LLA.</w:t>
                  </w:r>
                  <w:r w:rsidR="00AB59A5" w:rsidRPr="00AB59A5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  </w:t>
                  </w:r>
                </w:p>
                <w:p w:rsidR="00B36A7F" w:rsidRPr="00B36A7F" w:rsidRDefault="00B36A7F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B36A7F">
                    <w:rPr>
                      <w:rFonts w:ascii="Bookman Old Style" w:hAnsi="Bookman Old Style" w:cs="Liberation Serif"/>
                      <w:b/>
                      <w:color w:val="C5E0B3" w:themeColor="accent6" w:themeTint="66"/>
                      <w:sz w:val="20"/>
                      <w:szCs w:val="20"/>
                    </w:rPr>
                    <w:t>CONCLUSÃO</w:t>
                  </w:r>
                  <w:r w:rsidR="00AB59A5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: </w:t>
                  </w:r>
                </w:p>
                <w:p w:rsidR="00B36A7F" w:rsidRPr="00B36A7F" w:rsidRDefault="00AB59A5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AB59A5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Diante do potencial da L-asparaginase para o desenvolvimento de um novo biofármaco, notou-se a melhoria na imunogenecidade da enzima, uma vez que essa nova variante apresenta-se menos imunogênica que a ASNase nativa. Além  disso, a peguilação preservou as características para o emprego terapêutico.</w:t>
                  </w:r>
                </w:p>
                <w:p w:rsidR="00B36A7F" w:rsidRPr="002F3081" w:rsidRDefault="00B36A7F" w:rsidP="0040273A">
                  <w:pPr>
                    <w:jc w:val="both"/>
                    <w:rPr>
                      <w:rFonts w:ascii="Bookman Old Style" w:hAnsi="Bookman Old Style" w:cs="Liberation Serif"/>
                      <w:i/>
                      <w:color w:val="FFFFFF" w:themeColor="background1"/>
                      <w:sz w:val="20"/>
                      <w:szCs w:val="20"/>
                    </w:rPr>
                  </w:pPr>
                  <w:r w:rsidRPr="002F3081">
                    <w:rPr>
                      <w:rFonts w:ascii="Bookman Old Style" w:hAnsi="Bookman Old Style" w:cs="Liberation Serif"/>
                      <w:i/>
                      <w:color w:val="FFFFFF" w:themeColor="background1"/>
                      <w:sz w:val="20"/>
                      <w:szCs w:val="20"/>
                    </w:rPr>
                    <w:t>Palavras-chave:</w:t>
                  </w:r>
                  <w:r w:rsidR="0040273A" w:rsidRPr="002F3081">
                    <w:rPr>
                      <w:rFonts w:ascii="Bookman Old Style" w:hAnsi="Bookman Old Style" w:cs="Liberation Serif"/>
                      <w:i/>
                      <w:color w:val="FFFFFF" w:themeColor="background1"/>
                      <w:sz w:val="20"/>
                      <w:szCs w:val="20"/>
                    </w:rPr>
                    <w:t xml:space="preserve"> Enzimas. Expressão. L- Asparaginase. Leucemia linfoblástica aguda.</w:t>
                  </w:r>
                </w:p>
                <w:p w:rsidR="00D86C7A" w:rsidRDefault="00D86C7A" w:rsidP="00B36A7F">
                  <w:pPr>
                    <w:jc w:val="both"/>
                    <w:rPr>
                      <w:rFonts w:ascii="Bookman Old Style" w:hAnsi="Bookman Old Style" w:cs="Liberation Serif"/>
                      <w:i/>
                      <w:color w:val="FFFFFF" w:themeColor="background1"/>
                      <w:sz w:val="20"/>
                      <w:szCs w:val="20"/>
                    </w:rPr>
                  </w:pPr>
                </w:p>
                <w:p w:rsidR="00B36A7F" w:rsidRDefault="00B36A7F" w:rsidP="00B36A7F">
                  <w:pPr>
                    <w:spacing w:after="0" w:line="240" w:lineRule="auto"/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</w:pP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Filiações:</w:t>
                  </w:r>
                </w:p>
                <w:p w:rsidR="00D86C7A" w:rsidRDefault="00D86C7A" w:rsidP="00B36A7F">
                  <w:pPr>
                    <w:spacing w:after="0" w:line="240" w:lineRule="auto"/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</w:pPr>
                </w:p>
                <w:p w:rsidR="00D86C7A" w:rsidRDefault="00D86C7A" w:rsidP="00D86C7A">
                  <w:pPr>
                    <w:spacing w:after="0" w:line="240" w:lineRule="auto"/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</w:pPr>
                  <w:r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  <w:vertAlign w:val="superscript"/>
                    </w:rPr>
                    <w:t>1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Discente de Fármacia, Centro Universitário Vale do Ipojuca- UNIFAVIP/WYDEN- Caruaru, PE</w:t>
                  </w:r>
                </w:p>
                <w:p w:rsidR="00D86C7A" w:rsidRDefault="00D86C7A" w:rsidP="00D86C7A">
                  <w:pPr>
                    <w:spacing w:after="0" w:line="240" w:lineRule="auto"/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</w:pPr>
                  <w:r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  <w:vertAlign w:val="superscript"/>
                    </w:rPr>
                    <w:t>2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Biomédica, Centro Universitário Vale do Ipojuca- UNIFAVIP/WYDEN- Caruaru, PE.</w:t>
                  </w:r>
                </w:p>
                <w:p w:rsidR="00B36A7F" w:rsidRPr="00B36A7F" w:rsidRDefault="00B36A7F" w:rsidP="00D86C7A">
                  <w:pPr>
                    <w:spacing w:after="0" w:line="240" w:lineRule="auto"/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Caixa de Texto 20" o:spid="_x0000_s1028" type="#_x0000_t202" style="position:absolute;margin-left:3pt;margin-top:129pt;width:394.5pt;height:44.2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<v:textbox>
              <w:txbxContent>
                <w:p w:rsidR="00B36A7F" w:rsidRPr="0012334B" w:rsidRDefault="0012334B" w:rsidP="009B3403">
                  <w:pPr>
                    <w:spacing w:line="240" w:lineRule="auto"/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12334B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Autores</w:t>
                  </w:r>
                  <w:r w:rsidR="009B3403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: </w:t>
                  </w:r>
                  <w:r w:rsidR="00D86C7A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Miquiele Maria Francisco¹, Lorena Karla da Silva².</w:t>
                  </w:r>
                </w:p>
              </w:txbxContent>
            </v:textbox>
          </v:shape>
        </w:pict>
      </w:r>
      <w:r w:rsidR="00BB621E" w:rsidRPr="00BB621E">
        <w:rPr>
          <w:noProof/>
          <w:lang w:eastAsia="pt-BR"/>
        </w:rPr>
        <w:drawing>
          <wp:inline distT="0" distB="0" distL="0" distR="0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6EF8" w:rsidRDefault="007F6EF8" w:rsidP="000B32CF">
      <w:pPr>
        <w:spacing w:after="0" w:line="240" w:lineRule="auto"/>
      </w:pPr>
      <w:r>
        <w:separator/>
      </w:r>
    </w:p>
  </w:endnote>
  <w:endnote w:type="continuationSeparator" w:id="1">
    <w:p w:rsidR="007F6EF8" w:rsidRDefault="007F6EF8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6EF8" w:rsidRDefault="007F6EF8" w:rsidP="000B32CF">
      <w:pPr>
        <w:spacing w:after="0" w:line="240" w:lineRule="auto"/>
      </w:pPr>
      <w:r>
        <w:separator/>
      </w:r>
    </w:p>
  </w:footnote>
  <w:footnote w:type="continuationSeparator" w:id="1">
    <w:p w:rsidR="007F6EF8" w:rsidRDefault="007F6EF8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hyphenationZone w:val="425"/>
  <w:characterSpacingControl w:val="doNotCompress"/>
  <w:hdrShapeDefaults>
    <o:shapedefaults v:ext="edit" spidmax="22530"/>
  </w:hdrShapeDefaults>
  <w:footnotePr>
    <w:footnote w:id="0"/>
    <w:footnote w:id="1"/>
  </w:footnotePr>
  <w:endnotePr>
    <w:endnote w:id="0"/>
    <w:endnote w:id="1"/>
  </w:endnotePr>
  <w:compat/>
  <w:rsids>
    <w:rsidRoot w:val="000B32CF"/>
    <w:rsid w:val="000231A0"/>
    <w:rsid w:val="000B32CF"/>
    <w:rsid w:val="0012334B"/>
    <w:rsid w:val="001D236E"/>
    <w:rsid w:val="001F660C"/>
    <w:rsid w:val="00271969"/>
    <w:rsid w:val="002F3081"/>
    <w:rsid w:val="0040273A"/>
    <w:rsid w:val="005D6747"/>
    <w:rsid w:val="006635A4"/>
    <w:rsid w:val="00687A90"/>
    <w:rsid w:val="007F296A"/>
    <w:rsid w:val="007F6EF8"/>
    <w:rsid w:val="00802125"/>
    <w:rsid w:val="00811FE2"/>
    <w:rsid w:val="008678B8"/>
    <w:rsid w:val="00910A25"/>
    <w:rsid w:val="00936F67"/>
    <w:rsid w:val="00962C7C"/>
    <w:rsid w:val="009B3403"/>
    <w:rsid w:val="009C2829"/>
    <w:rsid w:val="009C55E6"/>
    <w:rsid w:val="00A37A28"/>
    <w:rsid w:val="00AB59A5"/>
    <w:rsid w:val="00B36A7F"/>
    <w:rsid w:val="00B550B4"/>
    <w:rsid w:val="00BB621E"/>
    <w:rsid w:val="00BF7B8E"/>
    <w:rsid w:val="00CC787E"/>
    <w:rsid w:val="00CD13F5"/>
    <w:rsid w:val="00CE502B"/>
    <w:rsid w:val="00D86C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196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5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59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439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Samsung</cp:lastModifiedBy>
  <cp:revision>9</cp:revision>
  <dcterms:created xsi:type="dcterms:W3CDTF">2021-04-12T20:27:00Z</dcterms:created>
  <dcterms:modified xsi:type="dcterms:W3CDTF">2021-06-15T00:22:00Z</dcterms:modified>
</cp:coreProperties>
</file>