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EC9D" w14:textId="52E0A735" w:rsidR="00320743" w:rsidRDefault="00BF670C">
      <w:pPr>
        <w:pBdr>
          <w:top w:val="nil"/>
          <w:left w:val="nil"/>
          <w:bottom w:val="nil"/>
          <w:right w:val="nil"/>
          <w:between w:val="nil"/>
        </w:pBdr>
        <w:spacing w:before="47"/>
        <w:ind w:right="33"/>
        <w:jc w:val="center"/>
        <w:rPr>
          <w:b/>
          <w:bCs/>
          <w:color w:val="000000"/>
          <w:sz w:val="24"/>
          <w:szCs w:val="24"/>
        </w:rPr>
      </w:pPr>
      <w:r>
        <w:rPr>
          <w:b/>
          <w:bCs/>
          <w:color w:val="000000"/>
          <w:sz w:val="24"/>
          <w:szCs w:val="24"/>
        </w:rPr>
        <w:t>MANEJO DE ÁREAS PROTEGIDAS E CONSERVAÇÃO NA PAISAGEM: O</w:t>
      </w:r>
      <w:r>
        <w:rPr>
          <w:b/>
          <w:bCs/>
          <w:sz w:val="24"/>
          <w:szCs w:val="24"/>
        </w:rPr>
        <w:t xml:space="preserve"> </w:t>
      </w:r>
      <w:r>
        <w:rPr>
          <w:b/>
          <w:bCs/>
          <w:color w:val="000000"/>
          <w:sz w:val="24"/>
          <w:szCs w:val="24"/>
        </w:rPr>
        <w:t xml:space="preserve">PARQUE NATURAL MUNICIPAL ARARA AZUL COMO NÚCLEO DE </w:t>
      </w:r>
      <w:r w:rsidR="00B33E6D">
        <w:rPr>
          <w:b/>
          <w:bCs/>
          <w:color w:val="000000"/>
          <w:sz w:val="24"/>
          <w:szCs w:val="24"/>
        </w:rPr>
        <w:t xml:space="preserve">ESTRATÉGIA INTEGRADA </w:t>
      </w:r>
      <w:r>
        <w:rPr>
          <w:b/>
          <w:bCs/>
          <w:color w:val="000000"/>
          <w:sz w:val="24"/>
          <w:szCs w:val="24"/>
        </w:rPr>
        <w:t>EM IMPERATRIZ-MA</w:t>
      </w:r>
    </w:p>
    <w:p w14:paraId="2604FEC1" w14:textId="77777777" w:rsidR="00320743" w:rsidRDefault="00320743">
      <w:pPr>
        <w:pBdr>
          <w:top w:val="nil"/>
          <w:left w:val="nil"/>
          <w:bottom w:val="nil"/>
          <w:right w:val="nil"/>
          <w:between w:val="nil"/>
        </w:pBdr>
        <w:rPr>
          <w:color w:val="000000"/>
          <w:sz w:val="24"/>
          <w:szCs w:val="24"/>
        </w:rPr>
      </w:pPr>
    </w:p>
    <w:p w14:paraId="28AE030A" w14:textId="77777777" w:rsidR="00320743" w:rsidRDefault="00BF670C">
      <w:pPr>
        <w:pBdr>
          <w:top w:val="nil"/>
          <w:left w:val="nil"/>
          <w:bottom w:val="nil"/>
          <w:right w:val="nil"/>
          <w:between w:val="nil"/>
        </w:pBdr>
        <w:ind w:left="162" w:right="34"/>
        <w:jc w:val="center"/>
        <w:rPr>
          <w:sz w:val="24"/>
          <w:szCs w:val="24"/>
          <w:vertAlign w:val="superscript"/>
        </w:rPr>
      </w:pPr>
      <w:r>
        <w:rPr>
          <w:color w:val="000000"/>
          <w:sz w:val="24"/>
          <w:szCs w:val="24"/>
        </w:rPr>
        <w:t xml:space="preserve">SANTOS, João Bruno Sena dos </w:t>
      </w:r>
      <w:r>
        <w:rPr>
          <w:color w:val="000000"/>
          <w:sz w:val="24"/>
          <w:szCs w:val="24"/>
          <w:vertAlign w:val="superscript"/>
        </w:rPr>
        <w:t>1</w:t>
      </w:r>
      <w:r>
        <w:rPr>
          <w:color w:val="000000"/>
          <w:sz w:val="24"/>
          <w:szCs w:val="24"/>
        </w:rPr>
        <w:t xml:space="preserve"> ; LIMA, Khymberlly Sharay Galvão Silva </w:t>
      </w:r>
      <w:r>
        <w:rPr>
          <w:color w:val="000000"/>
          <w:sz w:val="24"/>
          <w:szCs w:val="24"/>
          <w:vertAlign w:val="superscript"/>
        </w:rPr>
        <w:t>2</w:t>
      </w:r>
      <w:r>
        <w:rPr>
          <w:color w:val="000000"/>
          <w:sz w:val="24"/>
          <w:szCs w:val="24"/>
        </w:rPr>
        <w:t xml:space="preserve">; </w:t>
      </w:r>
      <w:r>
        <w:rPr>
          <w:color w:val="000000"/>
          <w:sz w:val="24"/>
          <w:szCs w:val="24"/>
          <w:u w:val="single"/>
        </w:rPr>
        <w:t>ANGELO Dalton Henrique</w:t>
      </w:r>
      <w:r>
        <w:rPr>
          <w:color w:val="000000"/>
          <w:sz w:val="24"/>
          <w:szCs w:val="24"/>
          <w:u w:val="single"/>
          <w:vertAlign w:val="superscript"/>
        </w:rPr>
        <w:t>3</w:t>
      </w:r>
      <w:r>
        <w:rPr>
          <w:color w:val="000000"/>
          <w:sz w:val="24"/>
          <w:szCs w:val="24"/>
        </w:rPr>
        <w:t xml:space="preserve">; SCHNEIDER, Chaiane Rodrigues </w:t>
      </w:r>
      <w:r>
        <w:rPr>
          <w:color w:val="000000"/>
          <w:sz w:val="24"/>
          <w:szCs w:val="24"/>
          <w:vertAlign w:val="superscript"/>
        </w:rPr>
        <w:t>4</w:t>
      </w:r>
      <w:r>
        <w:rPr>
          <w:color w:val="000000"/>
          <w:sz w:val="24"/>
          <w:szCs w:val="24"/>
        </w:rPr>
        <w:t>;</w:t>
      </w:r>
      <w:r>
        <w:rPr>
          <w:sz w:val="24"/>
          <w:szCs w:val="24"/>
        </w:rPr>
        <w:t xml:space="preserve"> LIMA, Samuel Estevam</w:t>
      </w:r>
      <w:r>
        <w:rPr>
          <w:sz w:val="24"/>
          <w:szCs w:val="24"/>
          <w:vertAlign w:val="superscript"/>
        </w:rPr>
        <w:t>5</w:t>
      </w:r>
      <w:r>
        <w:rPr>
          <w:sz w:val="24"/>
          <w:szCs w:val="24"/>
        </w:rPr>
        <w:t>; SILVA, Gustavo Santana</w:t>
      </w:r>
      <w:r>
        <w:rPr>
          <w:sz w:val="24"/>
          <w:szCs w:val="24"/>
          <w:vertAlign w:val="superscript"/>
        </w:rPr>
        <w:t xml:space="preserve"> 6</w:t>
      </w:r>
    </w:p>
    <w:p w14:paraId="36B750B4" w14:textId="77777777" w:rsidR="00320743" w:rsidRDefault="00BF670C">
      <w:pPr>
        <w:pBdr>
          <w:top w:val="nil"/>
          <w:left w:val="nil"/>
          <w:bottom w:val="nil"/>
          <w:right w:val="nil"/>
          <w:between w:val="nil"/>
        </w:pBdr>
        <w:ind w:left="162" w:right="36"/>
        <w:jc w:val="center"/>
        <w:rPr>
          <w:color w:val="000000"/>
          <w:sz w:val="24"/>
          <w:szCs w:val="24"/>
        </w:rPr>
      </w:pPr>
      <w:r>
        <w:rPr>
          <w:color w:val="000000"/>
          <w:sz w:val="24"/>
          <w:szCs w:val="24"/>
          <w:vertAlign w:val="superscript"/>
        </w:rPr>
        <w:t>1</w:t>
      </w:r>
      <w:r>
        <w:rPr>
          <w:color w:val="000000"/>
          <w:sz w:val="24"/>
          <w:szCs w:val="24"/>
        </w:rPr>
        <w:t xml:space="preserve"> </w:t>
      </w:r>
      <w:r>
        <w:rPr>
          <w:sz w:val="24"/>
          <w:szCs w:val="24"/>
        </w:rPr>
        <w:t>Graduando</w:t>
      </w:r>
      <w:r>
        <w:rPr>
          <w:color w:val="000000"/>
          <w:sz w:val="24"/>
          <w:szCs w:val="24"/>
        </w:rPr>
        <w:t xml:space="preserve"> em Engenharia Florestal, UEMASUL</w:t>
      </w:r>
      <w:r>
        <w:rPr>
          <w:sz w:val="24"/>
          <w:szCs w:val="24"/>
        </w:rPr>
        <w:t xml:space="preserve"> - Universidade Estadual Da Região Tocantina do Maranhão. </w:t>
      </w:r>
      <w:hyperlink r:id="rId7">
        <w:r>
          <w:rPr>
            <w:color w:val="000000"/>
            <w:sz w:val="24"/>
            <w:szCs w:val="24"/>
          </w:rPr>
          <w:t>joao</w:t>
        </w:r>
      </w:hyperlink>
      <w:hyperlink r:id="rId8">
        <w:r>
          <w:rPr>
            <w:sz w:val="24"/>
            <w:szCs w:val="24"/>
          </w:rPr>
          <w:t>.</w:t>
        </w:r>
      </w:hyperlink>
      <w:hyperlink r:id="rId9">
        <w:r>
          <w:rPr>
            <w:color w:val="000000"/>
            <w:sz w:val="24"/>
            <w:szCs w:val="24"/>
          </w:rPr>
          <w:t>santos@uemasul.edu.br.</w:t>
        </w:r>
      </w:hyperlink>
    </w:p>
    <w:p w14:paraId="319FDA77" w14:textId="77777777" w:rsidR="00320743" w:rsidRDefault="00BF670C">
      <w:pPr>
        <w:pBdr>
          <w:top w:val="nil"/>
          <w:left w:val="nil"/>
          <w:bottom w:val="nil"/>
          <w:right w:val="nil"/>
          <w:between w:val="nil"/>
        </w:pBdr>
        <w:spacing w:before="138"/>
        <w:ind w:left="368"/>
        <w:jc w:val="center"/>
        <w:rPr>
          <w:sz w:val="24"/>
          <w:szCs w:val="24"/>
        </w:rPr>
      </w:pPr>
      <w:r>
        <w:rPr>
          <w:color w:val="000000"/>
          <w:sz w:val="24"/>
          <w:szCs w:val="24"/>
          <w:vertAlign w:val="superscript"/>
        </w:rPr>
        <w:t>2</w:t>
      </w:r>
      <w:r>
        <w:rPr>
          <w:color w:val="000000"/>
          <w:sz w:val="24"/>
          <w:szCs w:val="24"/>
        </w:rPr>
        <w:t xml:space="preserve"> </w:t>
      </w:r>
      <w:r>
        <w:rPr>
          <w:sz w:val="24"/>
          <w:szCs w:val="24"/>
        </w:rPr>
        <w:t>Graduando em Engenharia Florestal, UEMASUL - Universidade Estadual Da Região Tocantina do Maranhão. khymberlly.lima@uemasul.edu.br</w:t>
      </w:r>
    </w:p>
    <w:p w14:paraId="5C8CCF3C" w14:textId="77777777" w:rsidR="00320743" w:rsidRDefault="00BF670C">
      <w:pPr>
        <w:spacing w:before="138"/>
        <w:ind w:left="368"/>
        <w:jc w:val="center"/>
        <w:rPr>
          <w:sz w:val="24"/>
          <w:szCs w:val="24"/>
        </w:rPr>
      </w:pPr>
      <w:r>
        <w:rPr>
          <w:sz w:val="24"/>
          <w:szCs w:val="24"/>
          <w:vertAlign w:val="superscript"/>
        </w:rPr>
        <w:t xml:space="preserve">3 </w:t>
      </w:r>
      <w:r>
        <w:rPr>
          <w:sz w:val="24"/>
          <w:szCs w:val="24"/>
        </w:rPr>
        <w:t>Professor mestre em Engenharia Florestal. UEMASUL – Universidade Estadual da Região Tocantina do Maranhão.</w:t>
      </w:r>
    </w:p>
    <w:p w14:paraId="20F71FFE" w14:textId="77777777" w:rsidR="00320743" w:rsidRDefault="00BF670C">
      <w:pPr>
        <w:pBdr>
          <w:top w:val="nil"/>
          <w:left w:val="nil"/>
          <w:bottom w:val="nil"/>
          <w:right w:val="nil"/>
          <w:between w:val="nil"/>
        </w:pBdr>
        <w:spacing w:before="138"/>
        <w:ind w:left="162"/>
        <w:jc w:val="center"/>
        <w:rPr>
          <w:sz w:val="24"/>
          <w:szCs w:val="24"/>
        </w:rPr>
      </w:pPr>
      <w:r>
        <w:rPr>
          <w:color w:val="000000"/>
          <w:sz w:val="24"/>
          <w:szCs w:val="24"/>
          <w:vertAlign w:val="superscript"/>
        </w:rPr>
        <w:t>4</w:t>
      </w:r>
      <w:r>
        <w:rPr>
          <w:color w:val="000000"/>
          <w:sz w:val="24"/>
          <w:szCs w:val="24"/>
        </w:rPr>
        <w:t xml:space="preserve"> Professora Dra. em Engenharia Florestal</w:t>
      </w:r>
      <w:r>
        <w:rPr>
          <w:sz w:val="24"/>
          <w:szCs w:val="24"/>
        </w:rPr>
        <w:t>.</w:t>
      </w:r>
      <w:r>
        <w:rPr>
          <w:color w:val="000000"/>
          <w:sz w:val="24"/>
          <w:szCs w:val="24"/>
        </w:rPr>
        <w:t xml:space="preserve"> UEPA</w:t>
      </w:r>
      <w:r>
        <w:rPr>
          <w:sz w:val="24"/>
          <w:szCs w:val="24"/>
        </w:rPr>
        <w:t xml:space="preserve"> - Universidade Estadual do Pará.</w:t>
      </w:r>
    </w:p>
    <w:p w14:paraId="43931C07" w14:textId="77777777" w:rsidR="00320743" w:rsidRDefault="00BF670C">
      <w:pPr>
        <w:ind w:left="162" w:right="36"/>
        <w:jc w:val="center"/>
        <w:rPr>
          <w:sz w:val="24"/>
          <w:szCs w:val="24"/>
        </w:rPr>
      </w:pPr>
      <w:r>
        <w:rPr>
          <w:sz w:val="24"/>
          <w:szCs w:val="24"/>
          <w:vertAlign w:val="superscript"/>
        </w:rPr>
        <w:t xml:space="preserve">5 </w:t>
      </w:r>
      <w:r>
        <w:rPr>
          <w:sz w:val="24"/>
          <w:szCs w:val="24"/>
        </w:rPr>
        <w:t>Graduando em Engenharia Florestal, UEMASUL - Universidade Estadual Da Região Tocantina do Maranhão.</w:t>
      </w:r>
    </w:p>
    <w:p w14:paraId="7DA720B1" w14:textId="77777777" w:rsidR="00320743" w:rsidRDefault="00BF670C">
      <w:pPr>
        <w:ind w:left="162" w:right="36"/>
        <w:jc w:val="center"/>
        <w:rPr>
          <w:sz w:val="24"/>
          <w:szCs w:val="24"/>
        </w:rPr>
      </w:pPr>
      <w:r>
        <w:rPr>
          <w:sz w:val="24"/>
          <w:szCs w:val="24"/>
          <w:vertAlign w:val="superscript"/>
        </w:rPr>
        <w:t xml:space="preserve">6 </w:t>
      </w:r>
      <w:r>
        <w:rPr>
          <w:sz w:val="24"/>
          <w:szCs w:val="24"/>
        </w:rPr>
        <w:t>Graduando em Engenharia Florestal, UEMASUL - Universidade Estadual Da Região Tocantina do Maranhão.</w:t>
      </w:r>
    </w:p>
    <w:p w14:paraId="0F9E1293" w14:textId="77777777" w:rsidR="00320743" w:rsidRDefault="00320743">
      <w:pPr>
        <w:pBdr>
          <w:top w:val="nil"/>
          <w:left w:val="nil"/>
          <w:bottom w:val="nil"/>
          <w:right w:val="nil"/>
          <w:between w:val="nil"/>
        </w:pBdr>
        <w:rPr>
          <w:color w:val="000000"/>
          <w:sz w:val="24"/>
          <w:szCs w:val="24"/>
        </w:rPr>
      </w:pPr>
    </w:p>
    <w:p w14:paraId="3E3B5703" w14:textId="77777777" w:rsidR="00320743" w:rsidRDefault="00320743">
      <w:pPr>
        <w:pBdr>
          <w:top w:val="nil"/>
          <w:left w:val="nil"/>
          <w:bottom w:val="nil"/>
          <w:right w:val="nil"/>
          <w:between w:val="nil"/>
        </w:pBdr>
        <w:rPr>
          <w:color w:val="000000"/>
          <w:sz w:val="24"/>
          <w:szCs w:val="24"/>
        </w:rPr>
      </w:pPr>
    </w:p>
    <w:p w14:paraId="0585DE1E" w14:textId="77777777" w:rsidR="00320743" w:rsidRDefault="00BF670C">
      <w:pPr>
        <w:ind w:left="142"/>
        <w:jc w:val="center"/>
        <w:rPr>
          <w:b/>
          <w:bCs/>
          <w:sz w:val="24"/>
          <w:szCs w:val="24"/>
        </w:rPr>
      </w:pPr>
      <w:r>
        <w:rPr>
          <w:b/>
          <w:bCs/>
          <w:sz w:val="24"/>
          <w:szCs w:val="24"/>
          <w:u w:val="single"/>
        </w:rPr>
        <w:t>RESUMO</w:t>
      </w:r>
    </w:p>
    <w:p w14:paraId="7BA6D812" w14:textId="77777777" w:rsidR="00320743" w:rsidRDefault="00320743">
      <w:pPr>
        <w:pBdr>
          <w:top w:val="nil"/>
          <w:left w:val="nil"/>
          <w:bottom w:val="nil"/>
          <w:right w:val="nil"/>
          <w:between w:val="nil"/>
        </w:pBdr>
        <w:spacing w:before="27"/>
        <w:rPr>
          <w:b/>
          <w:bCs/>
          <w:color w:val="000000"/>
          <w:sz w:val="24"/>
          <w:szCs w:val="24"/>
        </w:rPr>
      </w:pPr>
    </w:p>
    <w:p w14:paraId="4ABC2D10" w14:textId="77777777" w:rsidR="00320743" w:rsidRDefault="00BF670C">
      <w:pPr>
        <w:pBdr>
          <w:top w:val="nil"/>
          <w:left w:val="nil"/>
          <w:bottom w:val="nil"/>
          <w:right w:val="nil"/>
          <w:between w:val="nil"/>
        </w:pBdr>
        <w:ind w:left="142" w:right="14"/>
        <w:jc w:val="both"/>
        <w:rPr>
          <w:color w:val="000000"/>
          <w:sz w:val="24"/>
          <w:szCs w:val="24"/>
        </w:rPr>
      </w:pPr>
      <w:r>
        <w:rPr>
          <w:color w:val="000000"/>
          <w:sz w:val="24"/>
          <w:szCs w:val="24"/>
        </w:rPr>
        <w:t xml:space="preserve">A efetividade das Unidades de Conservação (UCs) transcende sua mera criação legal, exigindo a implementação de estratégias de manejo que integrem a área protegida à paisagem circundante. Este trabalho analisa os desafios e as oportunidades para a consolidação do Parque Natural Municipal de Proteção Integral Arara Azul (PNMPIAA), localizado em Imperatriz–MA, considerando sua inserção no ecótono Amazônia–Cerrado e a recente redescoberta de </w:t>
      </w:r>
      <w:r>
        <w:rPr>
          <w:i/>
          <w:iCs/>
          <w:color w:val="000000"/>
          <w:sz w:val="24"/>
          <w:szCs w:val="24"/>
        </w:rPr>
        <w:t>Erythroxylum ayrtonianum</w:t>
      </w:r>
      <w:r>
        <w:rPr>
          <w:color w:val="000000"/>
          <w:sz w:val="24"/>
          <w:szCs w:val="24"/>
        </w:rPr>
        <w:t>, espécie criticamente ameaçada. A metodologia consistiu em estudo de caso com revisão bibliográfica narrativa e análise documental de legislações, relatórios técnicos e estudos regionais. Os resultados demonstram que a ausência do Plano de Manejo, a pressão urbana e a falta de integração com o planejamento territorial comprometem a efetividade do parque, caracterizando-o como um ´´parque de papel``. Conclui-se que a elaboração urgente do Plano de Manejo, a gestão da zona de amorteci</w:t>
      </w:r>
      <w:r>
        <w:rPr>
          <w:color w:val="000000"/>
          <w:sz w:val="24"/>
          <w:szCs w:val="24"/>
        </w:rPr>
        <w:t>mento e a implementação de corredores ecológicos são medidas essenciais para transformar o PNMPIAA em um núcleo funcional de conservação, pesquisa e educação ambiental.</w:t>
      </w:r>
    </w:p>
    <w:p w14:paraId="3019A8B0" w14:textId="77777777" w:rsidR="00320743" w:rsidRDefault="00320743">
      <w:pPr>
        <w:pBdr>
          <w:top w:val="nil"/>
          <w:left w:val="nil"/>
          <w:bottom w:val="nil"/>
          <w:right w:val="nil"/>
          <w:between w:val="nil"/>
        </w:pBdr>
        <w:ind w:left="142" w:right="14"/>
        <w:jc w:val="both"/>
        <w:rPr>
          <w:sz w:val="24"/>
          <w:szCs w:val="24"/>
        </w:rPr>
      </w:pPr>
    </w:p>
    <w:p w14:paraId="636934AA" w14:textId="77777777" w:rsidR="00320743" w:rsidRDefault="00BF670C">
      <w:pPr>
        <w:pBdr>
          <w:top w:val="nil"/>
          <w:left w:val="nil"/>
          <w:bottom w:val="nil"/>
          <w:right w:val="nil"/>
          <w:between w:val="nil"/>
        </w:pBdr>
        <w:spacing w:line="360" w:lineRule="auto"/>
        <w:ind w:left="142" w:right="19"/>
        <w:jc w:val="both"/>
        <w:rPr>
          <w:color w:val="000000"/>
          <w:sz w:val="24"/>
          <w:szCs w:val="24"/>
        </w:rPr>
      </w:pPr>
      <w:r>
        <w:rPr>
          <w:b/>
          <w:bCs/>
          <w:color w:val="000000"/>
          <w:sz w:val="24"/>
          <w:szCs w:val="24"/>
        </w:rPr>
        <w:t xml:space="preserve">Palavras-chave: </w:t>
      </w:r>
      <w:r>
        <w:rPr>
          <w:color w:val="000000"/>
          <w:sz w:val="24"/>
          <w:szCs w:val="24"/>
        </w:rPr>
        <w:t>Unidades de Conservação; Planejamento da Paisagem; Conectividade Ecológica; Gestão Ambiental Urbana.</w:t>
      </w:r>
    </w:p>
    <w:p w14:paraId="56163799" w14:textId="77777777" w:rsidR="00320743" w:rsidRDefault="00320743">
      <w:pPr>
        <w:pBdr>
          <w:top w:val="nil"/>
          <w:left w:val="nil"/>
          <w:bottom w:val="nil"/>
          <w:right w:val="nil"/>
          <w:between w:val="nil"/>
        </w:pBdr>
        <w:spacing w:line="360" w:lineRule="auto"/>
        <w:ind w:left="142" w:right="19"/>
        <w:jc w:val="both"/>
        <w:rPr>
          <w:sz w:val="24"/>
          <w:szCs w:val="24"/>
        </w:rPr>
      </w:pPr>
    </w:p>
    <w:p w14:paraId="2D5FBA41" w14:textId="77777777" w:rsidR="00320743" w:rsidRDefault="00BF670C">
      <w:pPr>
        <w:ind w:left="142"/>
        <w:jc w:val="both"/>
        <w:rPr>
          <w:sz w:val="24"/>
          <w:szCs w:val="24"/>
        </w:rPr>
        <w:sectPr w:rsidR="00320743">
          <w:headerReference w:type="default" r:id="rId10"/>
          <w:footerReference w:type="default" r:id="rId11"/>
          <w:pgSz w:w="11920" w:h="16840"/>
          <w:pgMar w:top="3280" w:right="1133" w:bottom="960" w:left="1559" w:header="750" w:footer="768" w:gutter="0"/>
          <w:pgNumType w:start="1"/>
          <w:cols w:space="720"/>
        </w:sectPr>
      </w:pPr>
      <w:r>
        <w:rPr>
          <w:b/>
          <w:bCs/>
          <w:sz w:val="24"/>
          <w:szCs w:val="24"/>
        </w:rPr>
        <w:t>Área de Interesse do Simpósio</w:t>
      </w:r>
      <w:r>
        <w:rPr>
          <w:sz w:val="24"/>
          <w:szCs w:val="24"/>
        </w:rPr>
        <w:t>: Ciências Agrárias.</w:t>
      </w:r>
    </w:p>
    <w:p w14:paraId="4C792901" w14:textId="77777777" w:rsidR="00320743" w:rsidRDefault="00320743">
      <w:pPr>
        <w:pBdr>
          <w:top w:val="nil"/>
          <w:left w:val="nil"/>
          <w:bottom w:val="nil"/>
          <w:right w:val="nil"/>
          <w:between w:val="nil"/>
        </w:pBdr>
        <w:spacing w:before="74"/>
        <w:rPr>
          <w:color w:val="000000"/>
          <w:sz w:val="24"/>
          <w:szCs w:val="24"/>
        </w:rPr>
      </w:pPr>
    </w:p>
    <w:p w14:paraId="5F26D996" w14:textId="77777777" w:rsidR="00320743" w:rsidRDefault="00BF670C">
      <w:pPr>
        <w:pStyle w:val="Ttulo1"/>
        <w:numPr>
          <w:ilvl w:val="0"/>
          <w:numId w:val="1"/>
        </w:numPr>
        <w:tabs>
          <w:tab w:val="left" w:pos="382"/>
        </w:tabs>
        <w:ind w:hanging="240"/>
      </w:pPr>
      <w:r>
        <w:t>INTRODUÇÃO</w:t>
      </w:r>
    </w:p>
    <w:p w14:paraId="7076419B" w14:textId="77777777" w:rsidR="00320743" w:rsidRDefault="00320743">
      <w:pPr>
        <w:tabs>
          <w:tab w:val="left" w:pos="382"/>
        </w:tabs>
        <w:ind w:left="382"/>
      </w:pPr>
    </w:p>
    <w:p w14:paraId="03BFC9A7" w14:textId="77777777" w:rsidR="00320743" w:rsidRDefault="00BF670C">
      <w:pPr>
        <w:pBdr>
          <w:top w:val="nil"/>
          <w:left w:val="nil"/>
          <w:bottom w:val="nil"/>
          <w:right w:val="nil"/>
          <w:between w:val="nil"/>
        </w:pBdr>
        <w:spacing w:line="360" w:lineRule="auto"/>
        <w:ind w:left="142" w:right="13" w:firstLine="578"/>
        <w:jc w:val="both"/>
        <w:rPr>
          <w:sz w:val="24"/>
          <w:szCs w:val="24"/>
        </w:rPr>
      </w:pPr>
      <w:r>
        <w:rPr>
          <w:color w:val="000000"/>
          <w:sz w:val="24"/>
          <w:szCs w:val="24"/>
        </w:rPr>
        <w:t xml:space="preserve">A crise global da biodiversidade, intensificada pela fragmentação de habitats e pela perda acelerada de ecossistemas naturais, reforça a urgência de instrumentos de conservação capazes de garantir a manutenção da diversidade biológica. As Áreas Protegidas (APs) figuram como o principal instrumento de conservação </w:t>
      </w:r>
      <w:r>
        <w:rPr>
          <w:i/>
          <w:iCs/>
          <w:color w:val="000000"/>
          <w:sz w:val="24"/>
          <w:szCs w:val="24"/>
        </w:rPr>
        <w:t xml:space="preserve">in situ </w:t>
      </w:r>
      <w:r>
        <w:rPr>
          <w:color w:val="000000"/>
          <w:sz w:val="24"/>
          <w:szCs w:val="24"/>
        </w:rPr>
        <w:t>(</w:t>
      </w:r>
      <w:r>
        <w:rPr>
          <w:sz w:val="24"/>
          <w:szCs w:val="24"/>
        </w:rPr>
        <w:t>Primack</w:t>
      </w:r>
      <w:r>
        <w:rPr>
          <w:color w:val="000000"/>
          <w:sz w:val="24"/>
          <w:szCs w:val="24"/>
        </w:rPr>
        <w:t>, 2014), sendo amplamente utilizadas no Brasil como estratégia para reduzir o desmatamento e minimizar pressões antrópicas (Gonçalves-</w:t>
      </w:r>
      <w:r>
        <w:rPr>
          <w:sz w:val="24"/>
          <w:szCs w:val="24"/>
        </w:rPr>
        <w:t xml:space="preserve">Souza </w:t>
      </w:r>
      <w:r>
        <w:rPr>
          <w:i/>
          <w:iCs/>
          <w:color w:val="000000"/>
          <w:sz w:val="24"/>
          <w:szCs w:val="24"/>
        </w:rPr>
        <w:t>et al</w:t>
      </w:r>
      <w:r>
        <w:rPr>
          <w:color w:val="000000"/>
          <w:sz w:val="24"/>
          <w:szCs w:val="24"/>
        </w:rPr>
        <w:t>., 2021).</w:t>
      </w:r>
    </w:p>
    <w:p w14:paraId="6FA7C62F" w14:textId="77777777" w:rsidR="00320743" w:rsidRDefault="00BF670C">
      <w:pPr>
        <w:pBdr>
          <w:top w:val="nil"/>
          <w:left w:val="nil"/>
          <w:bottom w:val="nil"/>
          <w:right w:val="nil"/>
          <w:between w:val="nil"/>
        </w:pBdr>
        <w:spacing w:line="360" w:lineRule="auto"/>
        <w:ind w:left="142" w:right="13" w:firstLine="578"/>
        <w:jc w:val="both"/>
        <w:rPr>
          <w:sz w:val="24"/>
          <w:szCs w:val="24"/>
        </w:rPr>
      </w:pPr>
      <w:r>
        <w:rPr>
          <w:color w:val="000000"/>
          <w:sz w:val="24"/>
          <w:szCs w:val="24"/>
        </w:rPr>
        <w:t xml:space="preserve">No contexto brasileiro, o arcabouço legal que regulamenta a criação e gestão das Unidades de Conservação (UCs) é o Sistema Nacional de Unidades de Conservação da Natureza (SNUC), instituído pela Lei nº 9.985/2000. Não obstante, a mera instituição legal de uma UC não assegura sua efetividade, resultando em inúmeros casos classificados como </w:t>
      </w:r>
      <w:r>
        <w:rPr>
          <w:sz w:val="24"/>
          <w:szCs w:val="24"/>
        </w:rPr>
        <w:t>“</w:t>
      </w:r>
      <w:r>
        <w:rPr>
          <w:color w:val="000000"/>
          <w:sz w:val="24"/>
          <w:szCs w:val="24"/>
        </w:rPr>
        <w:t>parques de papel”, caracterizados pela ausência de gestão, fiscalização, infraestrutura e Plano de Manejo (</w:t>
      </w:r>
      <w:r>
        <w:rPr>
          <w:sz w:val="24"/>
          <w:szCs w:val="24"/>
        </w:rPr>
        <w:t>Pimentel</w:t>
      </w:r>
      <w:r>
        <w:rPr>
          <w:color w:val="000000"/>
          <w:sz w:val="24"/>
          <w:szCs w:val="24"/>
        </w:rPr>
        <w:t>, 2008).</w:t>
      </w:r>
    </w:p>
    <w:p w14:paraId="126AF3F6" w14:textId="77777777" w:rsidR="00320743" w:rsidRDefault="00BF670C">
      <w:pPr>
        <w:pBdr>
          <w:top w:val="nil"/>
          <w:left w:val="nil"/>
          <w:bottom w:val="nil"/>
          <w:right w:val="nil"/>
          <w:between w:val="nil"/>
        </w:pBdr>
        <w:spacing w:line="360" w:lineRule="auto"/>
        <w:ind w:left="142" w:right="13" w:firstLine="578"/>
        <w:jc w:val="both"/>
        <w:rPr>
          <w:sz w:val="24"/>
          <w:szCs w:val="24"/>
        </w:rPr>
      </w:pPr>
      <w:r>
        <w:rPr>
          <w:color w:val="000000"/>
          <w:sz w:val="24"/>
          <w:szCs w:val="24"/>
        </w:rPr>
        <w:t>Essa problemática é se acentua em regiões sob intensa pressão urbana e situadas em ecótonos, como o Maranhão, onde estudos apontam fragilidades significativas na gestão das UCs, especialmente relacionadas à falta de recursos humanos, ausência de planejamento e pouca integração com políticas territoriais (Masullo</w:t>
      </w:r>
      <w:r>
        <w:rPr>
          <w:sz w:val="24"/>
          <w:szCs w:val="24"/>
        </w:rPr>
        <w:t xml:space="preserve"> </w:t>
      </w:r>
      <w:r>
        <w:rPr>
          <w:i/>
          <w:iCs/>
          <w:color w:val="000000"/>
          <w:sz w:val="24"/>
          <w:szCs w:val="24"/>
        </w:rPr>
        <w:t>et al</w:t>
      </w:r>
      <w:r>
        <w:rPr>
          <w:color w:val="000000"/>
          <w:sz w:val="24"/>
          <w:szCs w:val="24"/>
        </w:rPr>
        <w:t xml:space="preserve">., 2020; </w:t>
      </w:r>
      <w:r>
        <w:rPr>
          <w:sz w:val="24"/>
          <w:szCs w:val="24"/>
        </w:rPr>
        <w:t>Costa</w:t>
      </w:r>
      <w:r>
        <w:rPr>
          <w:color w:val="000000"/>
          <w:sz w:val="24"/>
          <w:szCs w:val="24"/>
        </w:rPr>
        <w:t>, 2016).</w:t>
      </w:r>
    </w:p>
    <w:p w14:paraId="2C1DD3A6" w14:textId="77777777" w:rsidR="00320743" w:rsidRDefault="00BF670C">
      <w:pPr>
        <w:pBdr>
          <w:top w:val="nil"/>
          <w:left w:val="nil"/>
          <w:bottom w:val="nil"/>
          <w:right w:val="nil"/>
          <w:between w:val="nil"/>
        </w:pBdr>
        <w:spacing w:line="360" w:lineRule="auto"/>
        <w:ind w:left="142" w:right="13" w:firstLine="578"/>
        <w:jc w:val="both"/>
        <w:rPr>
          <w:sz w:val="24"/>
          <w:szCs w:val="24"/>
        </w:rPr>
      </w:pPr>
      <w:r>
        <w:rPr>
          <w:color w:val="000000"/>
          <w:sz w:val="24"/>
          <w:szCs w:val="24"/>
        </w:rPr>
        <w:t xml:space="preserve">Nesse cenário de fragilidades regionais, torna-se imperativo analisar o Parque Natural Municipal de Proteção Integral Arara Azul (PNMPIAA), criado em 2021 em Imperatriz–MA. Com cerca de </w:t>
      </w:r>
      <w:r>
        <w:rPr>
          <w:sz w:val="24"/>
          <w:szCs w:val="24"/>
        </w:rPr>
        <w:t>31.844</w:t>
      </w:r>
      <w:r>
        <w:rPr>
          <w:color w:val="000000"/>
          <w:sz w:val="24"/>
          <w:szCs w:val="24"/>
        </w:rPr>
        <w:t xml:space="preserve"> hectares, o parque representa um remanescente florestal de grande relevância ecológica, especialmente após a redescoberta de </w:t>
      </w:r>
      <w:r>
        <w:rPr>
          <w:i/>
          <w:iCs/>
          <w:color w:val="000000"/>
          <w:sz w:val="24"/>
          <w:szCs w:val="24"/>
        </w:rPr>
        <w:t xml:space="preserve">Erythroxylum ayrtonianum </w:t>
      </w:r>
      <w:r>
        <w:rPr>
          <w:color w:val="000000"/>
          <w:sz w:val="24"/>
          <w:szCs w:val="24"/>
        </w:rPr>
        <w:t>em 2023 (MARINHO et al., 2023). Essas características conferem ao PNMPIAA elevado potencial para conservação e pesquisa, demandando, contudo, estratégias robustas de manejo</w:t>
      </w:r>
      <w:r>
        <w:rPr>
          <w:sz w:val="24"/>
          <w:szCs w:val="24"/>
        </w:rPr>
        <w:t xml:space="preserve">. </w:t>
      </w:r>
    </w:p>
    <w:p w14:paraId="0F4D5263" w14:textId="77777777" w:rsidR="00320743" w:rsidRDefault="00BF670C">
      <w:pPr>
        <w:pBdr>
          <w:top w:val="nil"/>
          <w:left w:val="nil"/>
          <w:bottom w:val="nil"/>
          <w:right w:val="nil"/>
          <w:between w:val="nil"/>
        </w:pBdr>
        <w:spacing w:line="360" w:lineRule="auto"/>
        <w:ind w:left="142" w:right="13" w:firstLine="578"/>
        <w:jc w:val="both"/>
        <w:rPr>
          <w:sz w:val="24"/>
          <w:szCs w:val="24"/>
        </w:rPr>
      </w:pPr>
      <w:r>
        <w:rPr>
          <w:sz w:val="24"/>
          <w:szCs w:val="24"/>
        </w:rPr>
        <w:t>Diante do exposto, o presente trabalho visa analisar criticamente os desafios e as oportunidades para a gestão integrada do PNMPIAA, abordando tanto suas fragilidades internas quanto as necessidades de integração com o planejamento da paisagem circundante.</w:t>
      </w:r>
    </w:p>
    <w:p w14:paraId="245E5398" w14:textId="77777777" w:rsidR="00320743" w:rsidRDefault="00320743">
      <w:pPr>
        <w:pBdr>
          <w:top w:val="nil"/>
          <w:left w:val="nil"/>
          <w:bottom w:val="nil"/>
          <w:right w:val="nil"/>
          <w:between w:val="nil"/>
        </w:pBdr>
        <w:spacing w:line="360" w:lineRule="auto"/>
        <w:ind w:left="142" w:right="13" w:firstLine="578"/>
        <w:jc w:val="both"/>
        <w:rPr>
          <w:sz w:val="24"/>
          <w:szCs w:val="24"/>
        </w:rPr>
        <w:sectPr w:rsidR="00320743">
          <w:pgSz w:w="11920" w:h="16840"/>
          <w:pgMar w:top="3280" w:right="1133" w:bottom="960" w:left="1559" w:header="750" w:footer="768" w:gutter="0"/>
          <w:cols w:space="720"/>
        </w:sectPr>
      </w:pPr>
    </w:p>
    <w:p w14:paraId="51B9A777" w14:textId="77777777" w:rsidR="00320743" w:rsidRDefault="00320743">
      <w:pPr>
        <w:pBdr>
          <w:top w:val="nil"/>
          <w:left w:val="nil"/>
          <w:bottom w:val="nil"/>
          <w:right w:val="nil"/>
          <w:between w:val="nil"/>
        </w:pBdr>
        <w:spacing w:before="4"/>
        <w:rPr>
          <w:color w:val="000000"/>
          <w:sz w:val="24"/>
          <w:szCs w:val="24"/>
        </w:rPr>
      </w:pPr>
    </w:p>
    <w:p w14:paraId="5A5A5160" w14:textId="77777777" w:rsidR="00320743" w:rsidRDefault="00BF670C">
      <w:pPr>
        <w:pStyle w:val="Ttulo1"/>
        <w:numPr>
          <w:ilvl w:val="0"/>
          <w:numId w:val="1"/>
        </w:numPr>
        <w:tabs>
          <w:tab w:val="left" w:pos="382"/>
        </w:tabs>
        <w:ind w:hanging="240"/>
      </w:pPr>
      <w:r>
        <w:t>METODOLOGIA</w:t>
      </w:r>
    </w:p>
    <w:p w14:paraId="55F0C536" w14:textId="77777777" w:rsidR="00320743" w:rsidRDefault="00320743">
      <w:pPr>
        <w:tabs>
          <w:tab w:val="left" w:pos="382"/>
        </w:tabs>
        <w:ind w:left="382"/>
      </w:pPr>
    </w:p>
    <w:p w14:paraId="10CA93B1" w14:textId="77777777" w:rsidR="00320743" w:rsidRDefault="00BF670C">
      <w:pPr>
        <w:pBdr>
          <w:top w:val="nil"/>
          <w:left w:val="nil"/>
          <w:bottom w:val="nil"/>
          <w:right w:val="nil"/>
          <w:between w:val="nil"/>
        </w:pBdr>
        <w:spacing w:before="138" w:line="360" w:lineRule="auto"/>
        <w:ind w:right="14" w:firstLine="720"/>
        <w:jc w:val="both"/>
        <w:rPr>
          <w:sz w:val="24"/>
          <w:szCs w:val="24"/>
        </w:rPr>
      </w:pPr>
      <w:r>
        <w:rPr>
          <w:sz w:val="24"/>
          <w:szCs w:val="24"/>
        </w:rPr>
        <w:t xml:space="preserve">O </w:t>
      </w:r>
      <w:r>
        <w:rPr>
          <w:color w:val="000000"/>
          <w:sz w:val="24"/>
          <w:szCs w:val="24"/>
        </w:rPr>
        <w:t>estudo constitui uma pesquisa exploratória-descritiva, de abordagem qualitativa, utilizando o Parque Natural Municipal Arara Azul como estudo de caso</w:t>
      </w:r>
      <w:r>
        <w:rPr>
          <w:sz w:val="24"/>
          <w:szCs w:val="24"/>
        </w:rPr>
        <w:t>.</w:t>
      </w:r>
      <w:r>
        <w:rPr>
          <w:color w:val="000000"/>
          <w:sz w:val="24"/>
          <w:szCs w:val="24"/>
        </w:rPr>
        <w:t xml:space="preserve"> </w:t>
      </w:r>
      <w:r>
        <w:rPr>
          <w:sz w:val="24"/>
          <w:szCs w:val="24"/>
        </w:rPr>
        <w:t xml:space="preserve">Utilizou-se os indexadores </w:t>
      </w:r>
      <w:r>
        <w:rPr>
          <w:color w:val="000000"/>
          <w:sz w:val="24"/>
          <w:szCs w:val="24"/>
        </w:rPr>
        <w:t xml:space="preserve">de dados Google Acadêmico e Scielo, </w:t>
      </w:r>
      <w:r>
        <w:rPr>
          <w:sz w:val="24"/>
          <w:szCs w:val="24"/>
        </w:rPr>
        <w:t>no período de 15 anos (2010-2025</w:t>
      </w:r>
      <w:r>
        <w:rPr>
          <w:color w:val="000000"/>
          <w:sz w:val="24"/>
          <w:szCs w:val="24"/>
        </w:rPr>
        <w:t>). Foram utilizados os seguintes descritores de busca, em português e inglês: "manejo de áreas protegidas", "unidades de conservação urbanas", "Sistema Nacional de Unidades de Conservação", "plano de manejo", "conservação fora de áreas protegidas", "corredores ecoló</w:t>
      </w:r>
      <w:r>
        <w:rPr>
          <w:color w:val="000000"/>
          <w:sz w:val="24"/>
          <w:szCs w:val="24"/>
        </w:rPr>
        <w:t>gicos", "conectividade da paisagem" e "fragmentação de habitat".</w:t>
      </w:r>
      <w:r>
        <w:rPr>
          <w:sz w:val="24"/>
          <w:szCs w:val="24"/>
        </w:rPr>
        <w:t>A metodologia seguiu os  princípios da Biologia da Conservação apresentados por Primack (2014).</w:t>
      </w:r>
    </w:p>
    <w:p w14:paraId="4690B66E" w14:textId="77777777" w:rsidR="00320743" w:rsidRDefault="00320743">
      <w:pPr>
        <w:pBdr>
          <w:top w:val="nil"/>
          <w:left w:val="nil"/>
          <w:bottom w:val="nil"/>
          <w:right w:val="nil"/>
          <w:between w:val="nil"/>
        </w:pBdr>
        <w:spacing w:before="138" w:line="360" w:lineRule="auto"/>
        <w:ind w:right="14" w:firstLine="720"/>
        <w:jc w:val="both"/>
        <w:rPr>
          <w:sz w:val="24"/>
          <w:szCs w:val="24"/>
        </w:rPr>
      </w:pPr>
    </w:p>
    <w:p w14:paraId="38B37E97" w14:textId="77777777" w:rsidR="00320743" w:rsidRDefault="00BF670C">
      <w:pPr>
        <w:spacing w:before="47"/>
        <w:ind w:firstLine="720"/>
      </w:pPr>
      <w:r>
        <w:rPr>
          <w:b/>
          <w:bCs/>
        </w:rPr>
        <w:t>Figura 1</w:t>
      </w:r>
      <w:r>
        <w:t>: Metodologia Detalhada.</w:t>
      </w:r>
    </w:p>
    <w:p w14:paraId="590C3E85" w14:textId="77777777" w:rsidR="00320743" w:rsidRDefault="00BF670C">
      <w:pPr>
        <w:rPr>
          <w:sz w:val="24"/>
          <w:szCs w:val="24"/>
        </w:rPr>
      </w:pPr>
      <w:r>
        <w:rPr>
          <w:noProof/>
        </w:rPr>
        <w:drawing>
          <wp:anchor distT="0" distB="0" distL="0" distR="0" simplePos="0" relativeHeight="251658240" behindDoc="0" locked="0" layoutInCell="1" hidden="0" allowOverlap="1" wp14:anchorId="72DFAFD0" wp14:editId="0A68A84A">
            <wp:simplePos x="0" y="0"/>
            <wp:positionH relativeFrom="column">
              <wp:posOffset>504825</wp:posOffset>
            </wp:positionH>
            <wp:positionV relativeFrom="paragraph">
              <wp:posOffset>133350</wp:posOffset>
            </wp:positionV>
            <wp:extent cx="3453447" cy="2710507"/>
            <wp:effectExtent l="0" t="0" r="0" b="0"/>
            <wp:wrapTopAndBottom distT="0" dist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453447" cy="2710507"/>
                    </a:xfrm>
                    <a:prstGeom prst="rect">
                      <a:avLst/>
                    </a:prstGeom>
                    <a:ln/>
                  </pic:spPr>
                </pic:pic>
              </a:graphicData>
            </a:graphic>
          </wp:anchor>
        </w:drawing>
      </w:r>
    </w:p>
    <w:p w14:paraId="45C76216" w14:textId="77777777" w:rsidR="00320743" w:rsidRDefault="00BF670C">
      <w:pPr>
        <w:ind w:firstLine="720"/>
        <w:jc w:val="both"/>
        <w:rPr>
          <w:sz w:val="24"/>
          <w:szCs w:val="24"/>
        </w:rPr>
        <w:sectPr w:rsidR="00320743">
          <w:pgSz w:w="11920" w:h="16840"/>
          <w:pgMar w:top="3280" w:right="1133" w:bottom="960" w:left="1559" w:header="750" w:footer="768" w:gutter="0"/>
          <w:cols w:space="720"/>
        </w:sectPr>
      </w:pPr>
      <w:r>
        <w:rPr>
          <w:b/>
          <w:bCs/>
        </w:rPr>
        <w:t>Fonte</w:t>
      </w:r>
      <w:r>
        <w:t>: Autores (2025</w:t>
      </w:r>
    </w:p>
    <w:p w14:paraId="0D0AC3CE" w14:textId="77777777" w:rsidR="00320743" w:rsidRDefault="00320743">
      <w:pPr>
        <w:pBdr>
          <w:top w:val="nil"/>
          <w:left w:val="nil"/>
          <w:bottom w:val="nil"/>
          <w:right w:val="nil"/>
          <w:between w:val="nil"/>
        </w:pBdr>
        <w:spacing w:before="222"/>
        <w:rPr>
          <w:sz w:val="24"/>
          <w:szCs w:val="24"/>
        </w:rPr>
      </w:pPr>
    </w:p>
    <w:p w14:paraId="71067932" w14:textId="77777777" w:rsidR="00320743" w:rsidRDefault="00BF670C">
      <w:pPr>
        <w:pStyle w:val="Ttulo1"/>
        <w:numPr>
          <w:ilvl w:val="0"/>
          <w:numId w:val="1"/>
        </w:numPr>
        <w:tabs>
          <w:tab w:val="left" w:pos="382"/>
        </w:tabs>
        <w:ind w:hanging="240"/>
      </w:pPr>
      <w:r>
        <w:t>RESULTADOS E DISCUSSÃO</w:t>
      </w:r>
    </w:p>
    <w:p w14:paraId="20645852" w14:textId="77777777" w:rsidR="00320743" w:rsidRDefault="00320743">
      <w:pPr>
        <w:pBdr>
          <w:top w:val="nil"/>
          <w:left w:val="nil"/>
          <w:bottom w:val="nil"/>
          <w:right w:val="nil"/>
          <w:between w:val="nil"/>
        </w:pBdr>
        <w:spacing w:before="147"/>
        <w:rPr>
          <w:b/>
          <w:bCs/>
          <w:color w:val="000000"/>
          <w:sz w:val="24"/>
          <w:szCs w:val="24"/>
        </w:rPr>
      </w:pPr>
    </w:p>
    <w:p w14:paraId="449CFD82" w14:textId="77777777" w:rsidR="00320743" w:rsidRDefault="00BF670C">
      <w:pPr>
        <w:pBdr>
          <w:top w:val="nil"/>
          <w:left w:val="nil"/>
          <w:bottom w:val="nil"/>
          <w:right w:val="nil"/>
          <w:between w:val="nil"/>
        </w:pBdr>
        <w:spacing w:line="360" w:lineRule="auto"/>
        <w:ind w:right="14" w:firstLine="720"/>
        <w:jc w:val="both"/>
        <w:rPr>
          <w:color w:val="000000"/>
          <w:sz w:val="24"/>
          <w:szCs w:val="24"/>
        </w:rPr>
      </w:pPr>
      <w:r>
        <w:rPr>
          <w:color w:val="000000"/>
          <w:sz w:val="24"/>
          <w:szCs w:val="24"/>
        </w:rPr>
        <w:t xml:space="preserve">A criação de uma UC constitui apenas o marco inicial do processo de conservação. A efetividade, isto é, a capacidade da unidade de cumprir seus objetivos de conservação, vincula-se intrinsecamente à sua capacidade de gestão (Masullo </w:t>
      </w:r>
      <w:r>
        <w:rPr>
          <w:i/>
          <w:iCs/>
          <w:color w:val="000000"/>
          <w:sz w:val="24"/>
          <w:szCs w:val="24"/>
        </w:rPr>
        <w:t>et al</w:t>
      </w:r>
      <w:r>
        <w:rPr>
          <w:color w:val="000000"/>
          <w:sz w:val="24"/>
          <w:szCs w:val="24"/>
        </w:rPr>
        <w:t>., 2020). O principal instrumento legal para a gestão de uma UC é o Plano de Manejo, cuja elaboração é obrigatória no prazo de cinco anos a partir da criação da unidade (Brasil, 2000).</w:t>
      </w:r>
    </w:p>
    <w:p w14:paraId="55B63526" w14:textId="77777777" w:rsidR="00320743" w:rsidRDefault="00BF670C">
      <w:pPr>
        <w:spacing w:before="47" w:line="360" w:lineRule="auto"/>
        <w:ind w:right="15" w:firstLine="720"/>
        <w:jc w:val="both"/>
        <w:rPr>
          <w:sz w:val="24"/>
          <w:szCs w:val="24"/>
        </w:rPr>
      </w:pPr>
      <w:r>
        <w:rPr>
          <w:sz w:val="24"/>
          <w:szCs w:val="24"/>
        </w:rPr>
        <w:t>No contexto do Maranhão, estudos como o de Masullo</w:t>
      </w:r>
      <w:r>
        <w:rPr>
          <w:i/>
          <w:iCs/>
          <w:sz w:val="24"/>
          <w:szCs w:val="24"/>
        </w:rPr>
        <w:t xml:space="preserve"> et al.</w:t>
      </w:r>
      <w:r>
        <w:rPr>
          <w:sz w:val="24"/>
          <w:szCs w:val="24"/>
        </w:rPr>
        <w:t xml:space="preserve"> (2020) e outros trabalhos regionais (Costa, 2016; Seguro-Ba, 2020) demonstram que a maioria das UCs enfrenta desafios crônicos, como a ausência ou desatualização de Planos de Manejo, infraestrutura precária e insuficiência de recursos humanos e financeiros. Essa realidade reforça a crítica ao modelo de criação de UCs que se tornam meros "parques de papel", existindo apenas no marco legal, sem a devida implementação prática (Pimentel, 2008).</w:t>
      </w:r>
    </w:p>
    <w:p w14:paraId="4A21D33D" w14:textId="77777777" w:rsidR="00320743" w:rsidRDefault="00BF670C">
      <w:pPr>
        <w:spacing w:before="120" w:line="360" w:lineRule="auto"/>
        <w:jc w:val="both"/>
        <w:rPr>
          <w:sz w:val="24"/>
          <w:szCs w:val="24"/>
        </w:rPr>
      </w:pPr>
      <w:r>
        <w:rPr>
          <w:b/>
          <w:bCs/>
        </w:rPr>
        <w:t>Quadro 1</w:t>
      </w:r>
      <w:r>
        <w:t xml:space="preserve"> – Desafios de Gestão de UCs no Maranhão e Implicações para o PNMPIAA</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3375"/>
        <w:gridCol w:w="3285"/>
      </w:tblGrid>
      <w:tr w:rsidR="00320743" w14:paraId="65ACCCE0" w14:textId="77777777">
        <w:trPr>
          <w:trHeight w:val="1035"/>
        </w:trPr>
        <w:tc>
          <w:tcPr>
            <w:tcW w:w="223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19C3C" w14:textId="77777777" w:rsidR="00320743" w:rsidRDefault="00BF670C">
            <w:pPr>
              <w:spacing w:before="180"/>
              <w:ind w:left="100" w:right="100"/>
              <w:jc w:val="center"/>
              <w:rPr>
                <w:b/>
                <w:bCs/>
              </w:rPr>
            </w:pPr>
            <w:r>
              <w:rPr>
                <w:b/>
                <w:bCs/>
              </w:rPr>
              <w:t>Desafio de Gestão (Masullo et al., 2020; Costa, 2016)</w:t>
            </w:r>
          </w:p>
        </w:tc>
        <w:tc>
          <w:tcPr>
            <w:tcW w:w="337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4EC371CD" w14:textId="77777777" w:rsidR="00320743" w:rsidRDefault="00BF670C">
            <w:pPr>
              <w:spacing w:before="240"/>
              <w:jc w:val="center"/>
              <w:rPr>
                <w:b/>
                <w:bCs/>
              </w:rPr>
            </w:pPr>
            <w:r>
              <w:t xml:space="preserve"> </w:t>
            </w:r>
            <w:r>
              <w:rPr>
                <w:b/>
                <w:bCs/>
              </w:rPr>
              <w:t>Implicação</w:t>
            </w:r>
            <w:r>
              <w:rPr>
                <w:b/>
                <w:bCs/>
              </w:rPr>
              <w:tab/>
              <w:t>para</w:t>
            </w:r>
            <w:r>
              <w:rPr>
                <w:b/>
                <w:bCs/>
              </w:rPr>
              <w:tab/>
              <w:t>o PNMPIAA</w:t>
            </w:r>
          </w:p>
        </w:tc>
        <w:tc>
          <w:tcPr>
            <w:tcW w:w="3285"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3AF1B4AB" w14:textId="77777777" w:rsidR="00320743" w:rsidRDefault="00BF670C">
            <w:pPr>
              <w:spacing w:before="240" w:after="240"/>
              <w:jc w:val="center"/>
              <w:rPr>
                <w:b/>
                <w:bCs/>
              </w:rPr>
            </w:pPr>
            <w:r>
              <w:t xml:space="preserve"> </w:t>
            </w:r>
            <w:r>
              <w:rPr>
                <w:b/>
                <w:bCs/>
              </w:rPr>
              <w:t>Estratégia de Mitigação</w:t>
            </w:r>
          </w:p>
        </w:tc>
      </w:tr>
      <w:tr w:rsidR="00320743" w14:paraId="1243AE68" w14:textId="77777777">
        <w:trPr>
          <w:trHeight w:val="1245"/>
        </w:trPr>
        <w:tc>
          <w:tcPr>
            <w:tcW w:w="223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13C9587" w14:textId="77777777" w:rsidR="00320743" w:rsidRDefault="00BF670C">
            <w:pPr>
              <w:spacing w:before="240"/>
              <w:jc w:val="center"/>
            </w:pPr>
            <w:r>
              <w:t xml:space="preserve"> Ausência de Plano de Manejo</w:t>
            </w:r>
          </w:p>
        </w:tc>
        <w:tc>
          <w:tcPr>
            <w:tcW w:w="3375" w:type="dxa"/>
            <w:tcBorders>
              <w:top w:val="nil"/>
              <w:left w:val="nil"/>
              <w:bottom w:val="single" w:sz="8" w:space="0" w:color="000000"/>
              <w:right w:val="single" w:sz="8" w:space="0" w:color="000000"/>
            </w:tcBorders>
            <w:tcMar>
              <w:top w:w="20" w:type="dxa"/>
              <w:left w:w="20" w:type="dxa"/>
              <w:bottom w:w="20" w:type="dxa"/>
              <w:right w:w="20" w:type="dxa"/>
            </w:tcMar>
          </w:tcPr>
          <w:p w14:paraId="7C4121F3" w14:textId="77777777" w:rsidR="00320743" w:rsidRDefault="00BF670C">
            <w:pPr>
              <w:spacing w:before="120"/>
              <w:ind w:left="120" w:right="100"/>
              <w:jc w:val="center"/>
            </w:pPr>
            <w:r>
              <w:t>Risco de inefetividade e falta de diretrizes claras de zoneamento e uso.</w:t>
            </w:r>
          </w:p>
        </w:tc>
        <w:tc>
          <w:tcPr>
            <w:tcW w:w="3285" w:type="dxa"/>
            <w:tcBorders>
              <w:top w:val="nil"/>
              <w:left w:val="nil"/>
              <w:bottom w:val="single" w:sz="8" w:space="0" w:color="000000"/>
              <w:right w:val="single" w:sz="8" w:space="0" w:color="000000"/>
            </w:tcBorders>
            <w:tcMar>
              <w:top w:w="20" w:type="dxa"/>
              <w:left w:w="20" w:type="dxa"/>
              <w:bottom w:w="20" w:type="dxa"/>
              <w:right w:w="20" w:type="dxa"/>
            </w:tcMar>
          </w:tcPr>
          <w:p w14:paraId="69C0532C" w14:textId="77777777" w:rsidR="00320743" w:rsidRDefault="00BF670C">
            <w:pPr>
              <w:spacing w:before="120"/>
              <w:ind w:left="120" w:right="100"/>
              <w:jc w:val="center"/>
            </w:pPr>
            <w:r>
              <w:t>Elaboração e aprovação imediata do Plano de Manejo, com foco na proteção da E. ayrtonianum.</w:t>
            </w:r>
          </w:p>
        </w:tc>
      </w:tr>
      <w:tr w:rsidR="00320743" w14:paraId="4FA0A966" w14:textId="77777777">
        <w:trPr>
          <w:trHeight w:val="1515"/>
        </w:trPr>
        <w:tc>
          <w:tcPr>
            <w:tcW w:w="223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49868314" w14:textId="77777777" w:rsidR="00320743" w:rsidRDefault="00BF670C">
            <w:pPr>
              <w:spacing w:before="240"/>
              <w:jc w:val="center"/>
            </w:pPr>
            <w:r>
              <w:t xml:space="preserve"> </w:t>
            </w:r>
          </w:p>
          <w:p w14:paraId="485F720D" w14:textId="77777777" w:rsidR="00320743" w:rsidRDefault="00BF670C">
            <w:pPr>
              <w:ind w:left="100" w:right="100"/>
              <w:jc w:val="center"/>
            </w:pPr>
            <w:r>
              <w:t>Infraestrutura Inadequada</w:t>
            </w:r>
          </w:p>
        </w:tc>
        <w:tc>
          <w:tcPr>
            <w:tcW w:w="3375" w:type="dxa"/>
            <w:tcBorders>
              <w:top w:val="nil"/>
              <w:left w:val="nil"/>
              <w:bottom w:val="single" w:sz="8" w:space="0" w:color="000000"/>
              <w:right w:val="single" w:sz="8" w:space="0" w:color="000000"/>
            </w:tcBorders>
            <w:tcMar>
              <w:top w:w="20" w:type="dxa"/>
              <w:left w:w="20" w:type="dxa"/>
              <w:bottom w:w="20" w:type="dxa"/>
              <w:right w:w="20" w:type="dxa"/>
            </w:tcMar>
          </w:tcPr>
          <w:p w14:paraId="10A74A1F" w14:textId="77777777" w:rsidR="00320743" w:rsidRDefault="00BF670C">
            <w:pPr>
              <w:spacing w:before="240"/>
              <w:jc w:val="center"/>
            </w:pPr>
            <w:r>
              <w:t xml:space="preserve"> Dificuldade na fiscalização, pesquisa e visitação pública.</w:t>
            </w:r>
          </w:p>
        </w:tc>
        <w:tc>
          <w:tcPr>
            <w:tcW w:w="3285" w:type="dxa"/>
            <w:tcBorders>
              <w:top w:val="nil"/>
              <w:left w:val="nil"/>
              <w:bottom w:val="single" w:sz="8" w:space="0" w:color="000000"/>
              <w:right w:val="single" w:sz="8" w:space="0" w:color="000000"/>
            </w:tcBorders>
            <w:tcMar>
              <w:top w:w="20" w:type="dxa"/>
              <w:left w:w="20" w:type="dxa"/>
              <w:bottom w:w="20" w:type="dxa"/>
              <w:right w:w="20" w:type="dxa"/>
            </w:tcMar>
          </w:tcPr>
          <w:p w14:paraId="7CD3423A" w14:textId="77777777" w:rsidR="00320743" w:rsidRDefault="00BF670C">
            <w:pPr>
              <w:spacing w:before="120"/>
              <w:ind w:left="120" w:right="120"/>
              <w:jc w:val="center"/>
            </w:pPr>
            <w:r>
              <w:t>Busca por fontes de financiamento (ex: compensação ambiental) para estruturação do viveiro e centro de visitantes.</w:t>
            </w:r>
          </w:p>
        </w:tc>
      </w:tr>
      <w:tr w:rsidR="00320743" w14:paraId="30796426" w14:textId="77777777">
        <w:trPr>
          <w:trHeight w:val="1530"/>
        </w:trPr>
        <w:tc>
          <w:tcPr>
            <w:tcW w:w="223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618F9155" w14:textId="77777777" w:rsidR="00320743" w:rsidRDefault="00BF670C">
            <w:pPr>
              <w:spacing w:before="240"/>
              <w:jc w:val="center"/>
            </w:pPr>
            <w:r>
              <w:t xml:space="preserve"> </w:t>
            </w:r>
          </w:p>
          <w:p w14:paraId="5BC75D91" w14:textId="77777777" w:rsidR="00320743" w:rsidRDefault="00BF670C">
            <w:pPr>
              <w:ind w:left="100" w:right="100"/>
              <w:jc w:val="center"/>
            </w:pPr>
            <w:r>
              <w:t xml:space="preserve">Pressão      </w:t>
            </w:r>
            <w:r>
              <w:tab/>
              <w:t>Antrópica Externa</w:t>
            </w:r>
          </w:p>
        </w:tc>
        <w:tc>
          <w:tcPr>
            <w:tcW w:w="3375" w:type="dxa"/>
            <w:tcBorders>
              <w:top w:val="nil"/>
              <w:left w:val="nil"/>
              <w:bottom w:val="single" w:sz="8" w:space="0" w:color="000000"/>
              <w:right w:val="single" w:sz="8" w:space="0" w:color="000000"/>
            </w:tcBorders>
            <w:tcMar>
              <w:top w:w="20" w:type="dxa"/>
              <w:left w:w="20" w:type="dxa"/>
              <w:bottom w:w="20" w:type="dxa"/>
              <w:right w:w="20" w:type="dxa"/>
            </w:tcMar>
          </w:tcPr>
          <w:p w14:paraId="0A5D6EE7" w14:textId="77777777" w:rsidR="00320743" w:rsidRDefault="00BF670C">
            <w:pPr>
              <w:spacing w:before="240"/>
              <w:jc w:val="center"/>
            </w:pPr>
            <w:r>
              <w:t xml:space="preserve"> Ameaça de ocupação irregular, descarte de resíduos e incêndios no entorno.</w:t>
            </w:r>
          </w:p>
        </w:tc>
        <w:tc>
          <w:tcPr>
            <w:tcW w:w="3285" w:type="dxa"/>
            <w:tcBorders>
              <w:top w:val="nil"/>
              <w:left w:val="nil"/>
              <w:bottom w:val="single" w:sz="8" w:space="0" w:color="000000"/>
              <w:right w:val="single" w:sz="8" w:space="0" w:color="000000"/>
            </w:tcBorders>
            <w:tcMar>
              <w:top w:w="20" w:type="dxa"/>
              <w:left w:w="20" w:type="dxa"/>
              <w:bottom w:w="20" w:type="dxa"/>
              <w:right w:w="20" w:type="dxa"/>
            </w:tcMar>
          </w:tcPr>
          <w:p w14:paraId="3D74449F" w14:textId="77777777" w:rsidR="00320743" w:rsidRDefault="00BF670C">
            <w:pPr>
              <w:spacing w:before="120"/>
              <w:ind w:left="120" w:right="120"/>
              <w:jc w:val="center"/>
            </w:pPr>
            <w:r>
              <w:t>Gestão da Zona de Amortecimento em colaboração com o planejamento urbano municipal.</w:t>
            </w:r>
          </w:p>
        </w:tc>
      </w:tr>
      <w:tr w:rsidR="00320743" w14:paraId="6FA94B64" w14:textId="77777777">
        <w:trPr>
          <w:trHeight w:val="1260"/>
        </w:trPr>
        <w:tc>
          <w:tcPr>
            <w:tcW w:w="2235"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14:paraId="3C03DE38" w14:textId="77777777" w:rsidR="00320743" w:rsidRDefault="00BF670C">
            <w:pPr>
              <w:spacing w:before="240"/>
              <w:jc w:val="center"/>
            </w:pPr>
            <w:r>
              <w:lastRenderedPageBreak/>
              <w:t xml:space="preserve"> </w:t>
            </w:r>
          </w:p>
          <w:p w14:paraId="7B70F111" w14:textId="77777777" w:rsidR="00320743" w:rsidRDefault="00BF670C">
            <w:pPr>
              <w:ind w:left="100" w:right="100"/>
              <w:jc w:val="center"/>
            </w:pPr>
            <w:r>
              <w:t>Insuficiência   de Recursos Humanos</w:t>
            </w:r>
          </w:p>
        </w:tc>
        <w:tc>
          <w:tcPr>
            <w:tcW w:w="3375" w:type="dxa"/>
            <w:tcBorders>
              <w:top w:val="nil"/>
              <w:left w:val="nil"/>
              <w:bottom w:val="single" w:sz="8" w:space="0" w:color="000000"/>
              <w:right w:val="single" w:sz="8" w:space="0" w:color="000000"/>
            </w:tcBorders>
            <w:tcMar>
              <w:top w:w="20" w:type="dxa"/>
              <w:left w:w="20" w:type="dxa"/>
              <w:bottom w:w="20" w:type="dxa"/>
              <w:right w:w="20" w:type="dxa"/>
            </w:tcMar>
          </w:tcPr>
          <w:p w14:paraId="36DD1A81" w14:textId="77777777" w:rsidR="00320743" w:rsidRDefault="00BF670C">
            <w:pPr>
              <w:spacing w:before="120"/>
              <w:ind w:left="120" w:right="100"/>
              <w:jc w:val="center"/>
            </w:pPr>
            <w:r>
              <w:t xml:space="preserve">Comprometimento  </w:t>
            </w:r>
            <w:r>
              <w:tab/>
            </w:r>
            <w:r>
              <w:t xml:space="preserve"> da capacidade de gestão e monitoramento      </w:t>
            </w:r>
            <w:r>
              <w:tab/>
              <w:t>da biodiversidade.</w:t>
            </w:r>
          </w:p>
        </w:tc>
        <w:tc>
          <w:tcPr>
            <w:tcW w:w="3285" w:type="dxa"/>
            <w:tcBorders>
              <w:top w:val="nil"/>
              <w:left w:val="nil"/>
              <w:bottom w:val="single" w:sz="8" w:space="0" w:color="000000"/>
              <w:right w:val="single" w:sz="8" w:space="0" w:color="000000"/>
            </w:tcBorders>
            <w:tcMar>
              <w:top w:w="20" w:type="dxa"/>
              <w:left w:w="20" w:type="dxa"/>
              <w:bottom w:w="20" w:type="dxa"/>
              <w:right w:w="20" w:type="dxa"/>
            </w:tcMar>
          </w:tcPr>
          <w:p w14:paraId="5B4E8DF8" w14:textId="77777777" w:rsidR="00320743" w:rsidRDefault="00BF670C">
            <w:pPr>
              <w:spacing w:before="240"/>
              <w:jc w:val="center"/>
            </w:pPr>
            <w:r>
              <w:t xml:space="preserve"> Parcerias com universidades (UEMASUL) para programas de estágio e pesquisa.</w:t>
            </w:r>
          </w:p>
        </w:tc>
      </w:tr>
    </w:tbl>
    <w:p w14:paraId="4CBE3589" w14:textId="77777777" w:rsidR="00320743" w:rsidRDefault="00BF670C">
      <w:pPr>
        <w:jc w:val="both"/>
      </w:pPr>
      <w:r>
        <w:rPr>
          <w:b/>
          <w:bCs/>
        </w:rPr>
        <w:t>Fonte:</w:t>
      </w:r>
      <w:r>
        <w:t xml:space="preserve"> Autores (2025). </w:t>
      </w:r>
    </w:p>
    <w:p w14:paraId="3818AC80" w14:textId="77777777" w:rsidR="00320743" w:rsidRDefault="00320743">
      <w:pPr>
        <w:pBdr>
          <w:top w:val="nil"/>
          <w:left w:val="nil"/>
          <w:bottom w:val="nil"/>
          <w:right w:val="nil"/>
          <w:between w:val="nil"/>
        </w:pBdr>
        <w:spacing w:before="1" w:line="360" w:lineRule="auto"/>
        <w:ind w:right="17" w:firstLine="720"/>
        <w:jc w:val="both"/>
        <w:rPr>
          <w:sz w:val="24"/>
          <w:szCs w:val="24"/>
        </w:rPr>
      </w:pPr>
    </w:p>
    <w:p w14:paraId="259E7B46" w14:textId="77777777" w:rsidR="00320743" w:rsidRDefault="00BF670C">
      <w:pPr>
        <w:pBdr>
          <w:top w:val="nil"/>
          <w:left w:val="nil"/>
          <w:bottom w:val="nil"/>
          <w:right w:val="nil"/>
          <w:between w:val="nil"/>
        </w:pBdr>
        <w:spacing w:before="1" w:line="360" w:lineRule="auto"/>
        <w:ind w:right="17" w:firstLine="720"/>
        <w:jc w:val="both"/>
        <w:rPr>
          <w:color w:val="000000"/>
          <w:sz w:val="24"/>
          <w:szCs w:val="24"/>
        </w:rPr>
      </w:pPr>
      <w:r>
        <w:rPr>
          <w:sz w:val="24"/>
          <w:szCs w:val="24"/>
        </w:rPr>
        <w:t>A sintetização dos principais desafios de gestão no contexto do Maranhão e suas implicações diretas para a consolidação do PNMPIAA (Quadro 1), revela a necessidade da</w:t>
      </w:r>
      <w:r>
        <w:rPr>
          <w:color w:val="000000"/>
          <w:sz w:val="24"/>
          <w:szCs w:val="24"/>
        </w:rPr>
        <w:t xml:space="preserve"> elaboração e implementação do Plano de Manejo para o PNMPIAA, criado em 2021,</w:t>
      </w:r>
      <w:r>
        <w:rPr>
          <w:sz w:val="24"/>
          <w:szCs w:val="24"/>
        </w:rPr>
        <w:t xml:space="preserve"> </w:t>
      </w:r>
      <w:r>
        <w:rPr>
          <w:color w:val="000000"/>
          <w:sz w:val="24"/>
          <w:szCs w:val="24"/>
        </w:rPr>
        <w:t xml:space="preserve">constitui o próximo passo crítico e urgente. Por ser uma UC de Proteção Integral, o zoneamento deve prever áreas de preservação estrita e áreas de uso público controlado. A presença da </w:t>
      </w:r>
      <w:r>
        <w:rPr>
          <w:i/>
          <w:iCs/>
          <w:color w:val="000000"/>
          <w:sz w:val="24"/>
          <w:szCs w:val="24"/>
        </w:rPr>
        <w:t>E. ayrtonianum</w:t>
      </w:r>
      <w:r>
        <w:rPr>
          <w:color w:val="000000"/>
          <w:sz w:val="24"/>
          <w:szCs w:val="24"/>
        </w:rPr>
        <w:t>, espécie criticamente ameaçada, impõe a necessidade de um programa de monitoramento e proteção específico, que deve ser detalhado no Plano de Manejo, possivelmente com a delimitação de uma zona de proteção rigorosa para a espécie (Ma</w:t>
      </w:r>
      <w:r>
        <w:rPr>
          <w:color w:val="000000"/>
          <w:sz w:val="24"/>
          <w:szCs w:val="24"/>
        </w:rPr>
        <w:t xml:space="preserve">rinho </w:t>
      </w:r>
      <w:r>
        <w:rPr>
          <w:i/>
          <w:iCs/>
          <w:color w:val="000000"/>
          <w:sz w:val="24"/>
          <w:szCs w:val="24"/>
        </w:rPr>
        <w:t>et al.</w:t>
      </w:r>
      <w:r>
        <w:rPr>
          <w:color w:val="000000"/>
          <w:sz w:val="24"/>
          <w:szCs w:val="24"/>
        </w:rPr>
        <w:t>, 2023).</w:t>
      </w:r>
    </w:p>
    <w:p w14:paraId="4BEBFEED" w14:textId="77777777" w:rsidR="00320743" w:rsidRDefault="00BF670C">
      <w:pPr>
        <w:pBdr>
          <w:top w:val="nil"/>
          <w:left w:val="nil"/>
          <w:bottom w:val="nil"/>
          <w:right w:val="nil"/>
          <w:between w:val="nil"/>
        </w:pBdr>
        <w:spacing w:before="120" w:line="360" w:lineRule="auto"/>
        <w:ind w:right="15" w:firstLine="720"/>
        <w:jc w:val="both"/>
        <w:rPr>
          <w:sz w:val="24"/>
          <w:szCs w:val="24"/>
        </w:rPr>
      </w:pPr>
      <w:r>
        <w:rPr>
          <w:color w:val="000000"/>
          <w:sz w:val="24"/>
          <w:szCs w:val="24"/>
        </w:rPr>
        <w:t xml:space="preserve">Além disso, a inserção do parque em uma matriz urbana exige que o Plano de Manejo </w:t>
      </w:r>
      <w:r>
        <w:rPr>
          <w:sz w:val="24"/>
          <w:szCs w:val="24"/>
        </w:rPr>
        <w:t>aborda</w:t>
      </w:r>
      <w:r>
        <w:rPr>
          <w:color w:val="000000"/>
          <w:sz w:val="24"/>
          <w:szCs w:val="24"/>
        </w:rPr>
        <w:t xml:space="preserve"> de forma robusta os conflitos de interface, como a disposição irregular de resíduos, o risco de incêndios e a pressão por ocupação (Santos, 2010). A gestão de parques urbanos deve equilibrar a proteção da biodiversidade com a promoção de serviços ecossistêmicos para a população, funcionando como infraestrutura verde essencial para a sustentabilidade urbana (Gomes, 2014).</w:t>
      </w:r>
      <w:r>
        <w:rPr>
          <w:sz w:val="24"/>
          <w:szCs w:val="24"/>
        </w:rPr>
        <w:t xml:space="preserve"> </w:t>
      </w:r>
      <w:r>
        <w:rPr>
          <w:color w:val="000000"/>
          <w:sz w:val="24"/>
          <w:szCs w:val="24"/>
        </w:rPr>
        <w:t xml:space="preserve">Portanto, a elaboração do Plano de Manejo é o pilar fundamental para a gestão </w:t>
      </w:r>
      <w:r>
        <w:rPr>
          <w:i/>
          <w:iCs/>
          <w:color w:val="000000"/>
          <w:sz w:val="24"/>
          <w:szCs w:val="24"/>
        </w:rPr>
        <w:t xml:space="preserve">intra-muros </w:t>
      </w:r>
      <w:r>
        <w:rPr>
          <w:color w:val="000000"/>
          <w:sz w:val="24"/>
          <w:szCs w:val="24"/>
        </w:rPr>
        <w:t>do PNMPIAA. Contudo, para que a conservaç</w:t>
      </w:r>
      <w:r>
        <w:rPr>
          <w:color w:val="000000"/>
          <w:sz w:val="24"/>
          <w:szCs w:val="24"/>
        </w:rPr>
        <w:t>ão seja efetiva a longo prazo, é imperativo que a gestão transcenda os limites físicos da unidade</w:t>
      </w:r>
      <w:r>
        <w:rPr>
          <w:sz w:val="24"/>
          <w:szCs w:val="24"/>
        </w:rPr>
        <w:t>.</w:t>
      </w:r>
    </w:p>
    <w:p w14:paraId="379FA36A" w14:textId="77777777" w:rsidR="00320743" w:rsidRDefault="00BF670C">
      <w:pPr>
        <w:spacing w:line="360" w:lineRule="auto"/>
        <w:ind w:right="13" w:firstLine="720"/>
        <w:jc w:val="both"/>
        <w:rPr>
          <w:sz w:val="24"/>
          <w:szCs w:val="24"/>
        </w:rPr>
      </w:pPr>
      <w:r>
        <w:rPr>
          <w:sz w:val="24"/>
          <w:szCs w:val="24"/>
        </w:rPr>
        <w:t>Ainda que o Plano de Manejo seja crucial, a conservação a longo prazo da biodiversidade do PNMPIAA, especialmente em um fragmento de 31.844 hectares, não pode ser garantida isoladamente. A Teoria da Biogeografia de Ilhas demonstra que fragmentos pequenos e isolados tendem a perder espécies ao longo do tempo, devido à redução da área de habitat e ao isolamento genético (Primack, 2014).</w:t>
      </w:r>
    </w:p>
    <w:p w14:paraId="024CE0C5" w14:textId="77777777" w:rsidR="00320743" w:rsidRDefault="00BF670C">
      <w:pPr>
        <w:spacing w:before="120" w:line="360" w:lineRule="auto"/>
        <w:ind w:right="16" w:firstLine="720"/>
        <w:jc w:val="both"/>
        <w:rPr>
          <w:sz w:val="24"/>
          <w:szCs w:val="24"/>
        </w:rPr>
      </w:pPr>
      <w:r>
        <w:rPr>
          <w:sz w:val="24"/>
          <w:szCs w:val="24"/>
        </w:rPr>
        <w:t xml:space="preserve">Portanto, a estratégia mais eficaz é a integração do parque em uma rede de conservação na paisagem. A implementação de corredores ecológicos é fundamental para manter a conectividade funcional, permitindo o fluxo gênico e a dispersão de sementes e fauna entre o parque e outros remanescentes florestais na região (Junior, 2010; Maciel, 2016). Em um contexto </w:t>
      </w:r>
      <w:r>
        <w:rPr>
          <w:sz w:val="24"/>
          <w:szCs w:val="24"/>
        </w:rPr>
        <w:lastRenderedPageBreak/>
        <w:t>urbano, esses corredores podem ser estabelecidos por meio da recuperação de matas ciliares ao longo de riachos e do planejamento de arborização urbana com espécies nativas (Gomes, 2014).</w:t>
      </w:r>
    </w:p>
    <w:p w14:paraId="5A578F13" w14:textId="77777777" w:rsidR="00320743" w:rsidRDefault="00BF670C">
      <w:pPr>
        <w:spacing w:before="120" w:line="360" w:lineRule="auto"/>
        <w:ind w:right="16" w:firstLine="720"/>
        <w:jc w:val="both"/>
        <w:rPr>
          <w:sz w:val="24"/>
          <w:szCs w:val="24"/>
        </w:rPr>
      </w:pPr>
      <w:r>
        <w:rPr>
          <w:sz w:val="24"/>
          <w:szCs w:val="24"/>
        </w:rPr>
        <w:t>Outro elemento crucial é a gestão da Zona de Amortecimento (ZA). Embora a legislação do SNUC não exija formalmente a ZA para parques municipais, a aplicação do conceito é vital para mitigar os impactos negativos da ocupação humana no entorno (Brentano, 2022). O planejamento do uso e ocupação do solo na ZA deve ser orientado para atividades de baixo impacto, evitando o aumento do efeito de borda e o isolamento da UC (Santos Júnior, 2024). A colaboração intersetorial entre a Secretaria de Meio Ambiente e a Se</w:t>
      </w:r>
      <w:r>
        <w:rPr>
          <w:sz w:val="24"/>
          <w:szCs w:val="24"/>
        </w:rPr>
        <w:t>cretaria de Planejamento Urbano é indispensável para a eficácia dessa gestão (Gomes, 2014).</w:t>
      </w:r>
    </w:p>
    <w:p w14:paraId="6C18BDDE" w14:textId="77777777" w:rsidR="00320743" w:rsidRDefault="00BF670C">
      <w:pPr>
        <w:pStyle w:val="Ttulo2"/>
        <w:tabs>
          <w:tab w:val="left" w:pos="562"/>
        </w:tabs>
        <w:spacing w:line="360" w:lineRule="auto"/>
        <w:ind w:left="0" w:firstLine="0"/>
        <w:jc w:val="both"/>
        <w:rPr>
          <w:b w:val="0"/>
          <w:bCs w:val="0"/>
        </w:rPr>
      </w:pPr>
      <w:bookmarkStart w:id="0" w:name="_ymyq2uzi6aui" w:colFirst="0" w:colLast="0"/>
      <w:bookmarkEnd w:id="0"/>
      <w:r>
        <w:rPr>
          <w:b w:val="0"/>
          <w:bCs w:val="0"/>
        </w:rPr>
        <w:tab/>
        <w:t>A transição do PNMPIAA para um núcleo funcional de conservação demanda uma governança adaptativa e o engajamento multissetorial. A colaboração interinstitucional e engajamento comunitário, mencionados como pilares para a transição, são corroborados pela literatura científica como fatores críticos para o sucesso de áreas protegidas.</w:t>
      </w:r>
    </w:p>
    <w:p w14:paraId="0C38E90F" w14:textId="77777777" w:rsidR="00320743" w:rsidRDefault="00BF670C">
      <w:pPr>
        <w:spacing w:line="360" w:lineRule="auto"/>
        <w:ind w:right="13" w:firstLine="720"/>
        <w:jc w:val="both"/>
        <w:rPr>
          <w:sz w:val="24"/>
          <w:szCs w:val="24"/>
        </w:rPr>
      </w:pPr>
      <w:r>
        <w:rPr>
          <w:sz w:val="24"/>
          <w:szCs w:val="24"/>
        </w:rPr>
        <w:t>Estudos como o de Fidler et al. (2022) demonstram que a participação comunitária, em vez de penalidades, é mais eficaz para atingir os objetivos de conservação sem comprometer os direitos locais. No Brasil, Mendonça (2014) destaca que mecanismos como os conselhos gestores são essenciais para institucionalizar essa participação, transformando a comunidade de mera espectadora em ator central da governança da unidade. A implementação de um conselho gestor ativo para o PNMPIAA com representação da comunidade lo</w:t>
      </w:r>
      <w:r>
        <w:rPr>
          <w:sz w:val="24"/>
          <w:szCs w:val="24"/>
        </w:rPr>
        <w:t>cal, universidades (UEMASUL), poder público e setor privado, seria, portanto, um passo estratégico.</w:t>
      </w:r>
    </w:p>
    <w:p w14:paraId="7E519E37" w14:textId="77777777" w:rsidR="00320743" w:rsidRDefault="00BF670C">
      <w:pPr>
        <w:spacing w:line="360" w:lineRule="auto"/>
        <w:ind w:right="13" w:firstLine="720"/>
        <w:jc w:val="both"/>
        <w:rPr>
          <w:sz w:val="24"/>
          <w:szCs w:val="24"/>
        </w:rPr>
      </w:pPr>
      <w:r>
        <w:rPr>
          <w:sz w:val="24"/>
          <w:szCs w:val="24"/>
        </w:rPr>
        <w:t xml:space="preserve">A viabilidade de implementação dessas estratégias depende, contudo, de modelos de gestão eficazes e de fontes de financiamento sustentáveis. A análise de diferentes modelos de gestão de parques no Brasil pode oferecer caminhos para o PNMPIAA, seja através de gestão pública direta, parcerias ou concessões. Adicionalmente, a exploração de mecanismos como o ICMS Ecológico, já utilizado em diversos estados, poderia constituir uma fonte de receita para a gestão do parque, garantindo os recursos necessários para </w:t>
      </w:r>
      <w:r>
        <w:rPr>
          <w:sz w:val="24"/>
          <w:szCs w:val="24"/>
        </w:rPr>
        <w:t>transformar o plano em ação.</w:t>
      </w:r>
    </w:p>
    <w:p w14:paraId="1C2FA5E9" w14:textId="77777777" w:rsidR="00320743" w:rsidRDefault="00BF670C">
      <w:pPr>
        <w:spacing w:line="360" w:lineRule="auto"/>
        <w:ind w:right="13" w:firstLine="720"/>
        <w:jc w:val="both"/>
        <w:rPr>
          <w:sz w:val="24"/>
          <w:szCs w:val="24"/>
        </w:rPr>
      </w:pPr>
      <w:r>
        <w:rPr>
          <w:sz w:val="24"/>
          <w:szCs w:val="24"/>
        </w:rPr>
        <w:t xml:space="preserve">A redescoberta da </w:t>
      </w:r>
      <w:r>
        <w:rPr>
          <w:i/>
          <w:iCs/>
          <w:sz w:val="24"/>
          <w:szCs w:val="24"/>
        </w:rPr>
        <w:t xml:space="preserve">Erythroxylum ayrtonianum </w:t>
      </w:r>
      <w:r>
        <w:rPr>
          <w:sz w:val="24"/>
          <w:szCs w:val="24"/>
        </w:rPr>
        <w:t xml:space="preserve">(Marinho et al., 2023) eleva o PNMPIAA a um status de refúgio de importância estratégica para a flora do ecótono Amazônia-Cerrado. Essa descoberta deve ser utilizada como um poderoso argumento para catalisar investimentos e ações de conservação, posicionando o parque como um núcleo de conservação, pesquisa e </w:t>
      </w:r>
      <w:r>
        <w:rPr>
          <w:sz w:val="24"/>
          <w:szCs w:val="24"/>
        </w:rPr>
        <w:lastRenderedPageBreak/>
        <w:t>educação ambiental na região.</w:t>
      </w:r>
    </w:p>
    <w:p w14:paraId="6AFC8DC5" w14:textId="77777777" w:rsidR="00320743" w:rsidRDefault="00BF670C">
      <w:pPr>
        <w:spacing w:line="360" w:lineRule="auto"/>
        <w:ind w:right="15" w:firstLine="720"/>
        <w:jc w:val="both"/>
        <w:rPr>
          <w:sz w:val="24"/>
          <w:szCs w:val="24"/>
        </w:rPr>
      </w:pPr>
      <w:r>
        <w:rPr>
          <w:sz w:val="24"/>
          <w:szCs w:val="24"/>
        </w:rPr>
        <w:t xml:space="preserve">Uma estratégia integrada deve utilizar a infraestrutura planejada do parque, como o viveiro com capacidade para 68 mil mudas anuais (Prefeitura de Imperatriz, 2024), para programas de reforço populacional da </w:t>
      </w:r>
      <w:r>
        <w:rPr>
          <w:i/>
          <w:iCs/>
          <w:sz w:val="24"/>
          <w:szCs w:val="24"/>
        </w:rPr>
        <w:t xml:space="preserve">E. ayrtonianum </w:t>
      </w:r>
      <w:r>
        <w:rPr>
          <w:sz w:val="24"/>
          <w:szCs w:val="24"/>
        </w:rPr>
        <w:t>e para a produção de mudas nativas destinadas à criação dos corredores ecológicos e à arborização urbana.</w:t>
      </w:r>
    </w:p>
    <w:p w14:paraId="75D7AC42" w14:textId="77777777" w:rsidR="00320743" w:rsidRDefault="00BF670C">
      <w:pPr>
        <w:spacing w:before="47" w:line="360" w:lineRule="auto"/>
        <w:ind w:right="14" w:firstLine="720"/>
        <w:jc w:val="both"/>
        <w:rPr>
          <w:sz w:val="24"/>
          <w:szCs w:val="24"/>
        </w:rPr>
      </w:pPr>
      <w:r>
        <w:rPr>
          <w:sz w:val="24"/>
          <w:szCs w:val="24"/>
        </w:rPr>
        <w:t>Adicionalmente, o parque tem um papel fundamental na educação ambiental. A integração com instituições de ensino superior, como a UEMASUL, pode transformar o parque em um "laboratório vivo" para estudantes e pesquisadores, promovendo a conscientização sobre a biodiversidade local e o papel da conservação.</w:t>
      </w:r>
    </w:p>
    <w:p w14:paraId="6DF85D2E" w14:textId="77777777" w:rsidR="00320743" w:rsidRDefault="00BF670C">
      <w:pPr>
        <w:pStyle w:val="Ttulo2"/>
        <w:spacing w:before="120" w:line="360" w:lineRule="auto"/>
        <w:ind w:left="0" w:right="15" w:firstLine="720"/>
        <w:jc w:val="both"/>
      </w:pPr>
      <w:bookmarkStart w:id="1" w:name="_i1q77afy7b9b" w:colFirst="0" w:colLast="0"/>
      <w:bookmarkEnd w:id="1"/>
      <w:r>
        <w:rPr>
          <w:b w:val="0"/>
          <w:bCs w:val="0"/>
        </w:rPr>
        <w:t>A eficácia das Áreas Protegidas (APs) como ferramenta de conservação é corroborada por estudos como o de Gonçalves-Souza et al. (2021), que demonstram a importância da manutenção e expansão dessas áreas. Os dados analisados pelos autores indicam que a probabilidade de destruição da vegetação nativa é significativamente menor dentro dos limites das Áreas Protegidas em comparação com as áreas desprotegidas. Essa disparidade estatística reforça o papel crucial das UCs como barreiras efetivas contra o desmatame</w:t>
      </w:r>
      <w:r>
        <w:rPr>
          <w:b w:val="0"/>
          <w:bCs w:val="0"/>
        </w:rPr>
        <w:t>nto e a degradação ambiental, sublinhando a necessidade de fortalecer a gestão e a fiscalização para garantir que as UCs não se tornem meros "parques de papel". A manutenção da integridade dessas áreas é, portanto, uma estratégia fundamental para a conservação da biodiversidade e a mitigação das mudanças climáticas.</w:t>
      </w:r>
    </w:p>
    <w:p w14:paraId="6C1B9BA1" w14:textId="77777777" w:rsidR="00320743" w:rsidRDefault="00BF670C">
      <w:pPr>
        <w:spacing w:line="360" w:lineRule="auto"/>
        <w:ind w:firstLine="720"/>
        <w:rPr>
          <w:sz w:val="24"/>
          <w:szCs w:val="24"/>
        </w:rPr>
      </w:pPr>
      <w:r>
        <w:rPr>
          <w:sz w:val="24"/>
          <w:szCs w:val="24"/>
        </w:rPr>
        <w:t>O Quadro 2, a seguir, sintetiza os elementos-chave para a transição do PNMPIAA de um "parque de papel" para um núcleo de conservação funcional.</w:t>
      </w:r>
    </w:p>
    <w:p w14:paraId="7A2E5B4F" w14:textId="77777777" w:rsidR="00320743" w:rsidRDefault="00320743">
      <w:pPr>
        <w:spacing w:line="360" w:lineRule="auto"/>
        <w:ind w:left="142"/>
        <w:rPr>
          <w:sz w:val="24"/>
          <w:szCs w:val="24"/>
        </w:rPr>
      </w:pPr>
    </w:p>
    <w:p w14:paraId="5F71CE39" w14:textId="77777777" w:rsidR="00320743" w:rsidRDefault="00BF670C">
      <w:pPr>
        <w:spacing w:line="360" w:lineRule="auto"/>
        <w:jc w:val="both"/>
      </w:pPr>
      <w:r>
        <w:rPr>
          <w:b/>
          <w:bCs/>
        </w:rPr>
        <w:t>Quadro 2:</w:t>
      </w:r>
      <w:r>
        <w:t xml:space="preserve"> Elementos-Chave para a Transição do PNMPIAA para um Núcleo de Conservação Funcional.</w:t>
      </w:r>
    </w:p>
    <w:tbl>
      <w:tblPr>
        <w:tblStyle w:val="a0"/>
        <w:tblW w:w="8910"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1920"/>
        <w:gridCol w:w="2505"/>
        <w:gridCol w:w="2550"/>
        <w:gridCol w:w="1935"/>
      </w:tblGrid>
      <w:tr w:rsidR="00320743" w14:paraId="1A759ED0" w14:textId="77777777">
        <w:trPr>
          <w:trHeight w:val="900"/>
        </w:trPr>
        <w:tc>
          <w:tcPr>
            <w:tcW w:w="1920" w:type="dxa"/>
            <w:tcBorders>
              <w:top w:val="single" w:sz="7" w:space="0" w:color="000000"/>
              <w:left w:val="single" w:sz="7" w:space="0" w:color="000000"/>
              <w:bottom w:val="single" w:sz="7" w:space="0" w:color="000000"/>
              <w:right w:val="single" w:sz="7" w:space="0" w:color="000000"/>
            </w:tcBorders>
            <w:tcMar>
              <w:top w:w="20" w:type="dxa"/>
              <w:left w:w="20" w:type="dxa"/>
              <w:bottom w:w="20" w:type="dxa"/>
              <w:right w:w="20" w:type="dxa"/>
            </w:tcMar>
          </w:tcPr>
          <w:p w14:paraId="2C014989" w14:textId="77777777" w:rsidR="00320743" w:rsidRDefault="00BF670C">
            <w:pPr>
              <w:spacing w:before="160"/>
              <w:ind w:left="100" w:right="100"/>
              <w:jc w:val="both"/>
              <w:rPr>
                <w:b/>
                <w:bCs/>
              </w:rPr>
            </w:pPr>
            <w:r>
              <w:rPr>
                <w:b/>
                <w:bCs/>
              </w:rPr>
              <w:t xml:space="preserve">Elemento      </w:t>
            </w:r>
            <w:r>
              <w:rPr>
                <w:b/>
                <w:bCs/>
              </w:rPr>
              <w:tab/>
              <w:t>de Transição</w:t>
            </w:r>
          </w:p>
        </w:tc>
        <w:tc>
          <w:tcPr>
            <w:tcW w:w="2505" w:type="dxa"/>
            <w:tcBorders>
              <w:top w:val="single" w:sz="7" w:space="0" w:color="000000"/>
              <w:left w:val="nil"/>
              <w:bottom w:val="single" w:sz="7" w:space="0" w:color="000000"/>
              <w:right w:val="single" w:sz="7" w:space="0" w:color="000000"/>
            </w:tcBorders>
            <w:tcMar>
              <w:top w:w="20" w:type="dxa"/>
              <w:left w:w="20" w:type="dxa"/>
              <w:bottom w:w="20" w:type="dxa"/>
              <w:right w:w="20" w:type="dxa"/>
            </w:tcMar>
          </w:tcPr>
          <w:p w14:paraId="486EC4AA" w14:textId="77777777" w:rsidR="00320743" w:rsidRDefault="00BF670C">
            <w:pPr>
              <w:spacing w:before="240"/>
              <w:jc w:val="both"/>
            </w:pPr>
            <w:r>
              <w:t xml:space="preserve"> </w:t>
            </w:r>
          </w:p>
          <w:p w14:paraId="5C7B9AED" w14:textId="77777777" w:rsidR="00320743" w:rsidRDefault="00BF670C">
            <w:pPr>
              <w:ind w:left="100"/>
              <w:jc w:val="both"/>
              <w:rPr>
                <w:b/>
                <w:bCs/>
              </w:rPr>
            </w:pPr>
            <w:r>
              <w:rPr>
                <w:b/>
                <w:bCs/>
              </w:rPr>
              <w:t>Ação Necessária</w:t>
            </w:r>
          </w:p>
        </w:tc>
        <w:tc>
          <w:tcPr>
            <w:tcW w:w="2550" w:type="dxa"/>
            <w:tcBorders>
              <w:top w:val="single" w:sz="7" w:space="0" w:color="000000"/>
              <w:left w:val="nil"/>
              <w:bottom w:val="single" w:sz="7" w:space="0" w:color="000000"/>
              <w:right w:val="single" w:sz="7" w:space="0" w:color="000000"/>
            </w:tcBorders>
            <w:tcMar>
              <w:top w:w="20" w:type="dxa"/>
              <w:left w:w="20" w:type="dxa"/>
              <w:bottom w:w="20" w:type="dxa"/>
              <w:right w:w="20" w:type="dxa"/>
            </w:tcMar>
          </w:tcPr>
          <w:p w14:paraId="0CF368E4" w14:textId="77777777" w:rsidR="00320743" w:rsidRDefault="00BF670C">
            <w:pPr>
              <w:spacing w:before="240"/>
              <w:jc w:val="both"/>
            </w:pPr>
            <w:r>
              <w:t xml:space="preserve"> </w:t>
            </w:r>
          </w:p>
          <w:p w14:paraId="710BB0CB" w14:textId="77777777" w:rsidR="00320743" w:rsidRDefault="00BF670C">
            <w:pPr>
              <w:ind w:left="120"/>
              <w:jc w:val="both"/>
              <w:rPr>
                <w:b/>
                <w:bCs/>
              </w:rPr>
            </w:pPr>
            <w:r>
              <w:rPr>
                <w:b/>
                <w:bCs/>
              </w:rPr>
              <w:t>Fundamentação Teórica</w:t>
            </w:r>
          </w:p>
        </w:tc>
        <w:tc>
          <w:tcPr>
            <w:tcW w:w="1935" w:type="dxa"/>
            <w:tcBorders>
              <w:top w:val="single" w:sz="7" w:space="0" w:color="000000"/>
              <w:left w:val="nil"/>
              <w:bottom w:val="single" w:sz="7" w:space="0" w:color="000000"/>
              <w:right w:val="single" w:sz="7" w:space="0" w:color="000000"/>
            </w:tcBorders>
            <w:tcMar>
              <w:top w:w="20" w:type="dxa"/>
              <w:left w:w="20" w:type="dxa"/>
              <w:bottom w:w="20" w:type="dxa"/>
              <w:right w:w="20" w:type="dxa"/>
            </w:tcMar>
          </w:tcPr>
          <w:p w14:paraId="688A3DE6" w14:textId="77777777" w:rsidR="00320743" w:rsidRDefault="00BF670C">
            <w:pPr>
              <w:spacing w:before="160"/>
              <w:ind w:left="120"/>
              <w:jc w:val="both"/>
              <w:rPr>
                <w:b/>
                <w:bCs/>
              </w:rPr>
            </w:pPr>
            <w:r>
              <w:rPr>
                <w:b/>
                <w:bCs/>
              </w:rPr>
              <w:t>Referência Chave</w:t>
            </w:r>
          </w:p>
        </w:tc>
      </w:tr>
      <w:tr w:rsidR="00320743" w14:paraId="709BEE2A" w14:textId="77777777">
        <w:trPr>
          <w:trHeight w:val="1290"/>
        </w:trPr>
        <w:tc>
          <w:tcPr>
            <w:tcW w:w="1920" w:type="dxa"/>
            <w:tcBorders>
              <w:top w:val="nil"/>
              <w:left w:val="single" w:sz="7" w:space="0" w:color="000000"/>
              <w:bottom w:val="single" w:sz="7" w:space="0" w:color="000000"/>
              <w:right w:val="single" w:sz="7" w:space="0" w:color="000000"/>
            </w:tcBorders>
            <w:tcMar>
              <w:top w:w="20" w:type="dxa"/>
              <w:left w:w="20" w:type="dxa"/>
              <w:bottom w:w="20" w:type="dxa"/>
              <w:right w:w="20" w:type="dxa"/>
            </w:tcMar>
          </w:tcPr>
          <w:p w14:paraId="2D5A4783" w14:textId="77777777" w:rsidR="00320743" w:rsidRDefault="00BF670C">
            <w:pPr>
              <w:ind w:right="800"/>
              <w:jc w:val="both"/>
            </w:pPr>
            <w:r>
              <w:t>Manejo Interno</w:t>
            </w:r>
          </w:p>
        </w:tc>
        <w:tc>
          <w:tcPr>
            <w:tcW w:w="2505" w:type="dxa"/>
            <w:tcBorders>
              <w:top w:val="nil"/>
              <w:left w:val="nil"/>
              <w:bottom w:val="single" w:sz="7" w:space="0" w:color="000000"/>
              <w:right w:val="single" w:sz="7" w:space="0" w:color="000000"/>
            </w:tcBorders>
            <w:tcMar>
              <w:top w:w="20" w:type="dxa"/>
              <w:left w:w="20" w:type="dxa"/>
              <w:bottom w:w="20" w:type="dxa"/>
              <w:right w:w="20" w:type="dxa"/>
            </w:tcMar>
          </w:tcPr>
          <w:p w14:paraId="7B763E09" w14:textId="77777777" w:rsidR="00320743" w:rsidRDefault="00BF670C">
            <w:pPr>
              <w:spacing w:before="120"/>
              <w:ind w:left="100"/>
              <w:jc w:val="both"/>
            </w:pPr>
            <w:r>
              <w:t>Elaboração</w:t>
            </w:r>
            <w:r>
              <w:tab/>
              <w:t>e</w:t>
            </w:r>
          </w:p>
          <w:p w14:paraId="0236CA1F" w14:textId="77777777" w:rsidR="00320743" w:rsidRDefault="00BF670C">
            <w:pPr>
              <w:spacing w:before="140"/>
              <w:ind w:left="100"/>
              <w:jc w:val="both"/>
            </w:pPr>
            <w:r>
              <w:t>implementação urgente do Plano de Manejo.</w:t>
            </w:r>
          </w:p>
        </w:tc>
        <w:tc>
          <w:tcPr>
            <w:tcW w:w="2550" w:type="dxa"/>
            <w:tcBorders>
              <w:top w:val="nil"/>
              <w:left w:val="nil"/>
              <w:bottom w:val="single" w:sz="7" w:space="0" w:color="000000"/>
              <w:right w:val="single" w:sz="7" w:space="0" w:color="000000"/>
            </w:tcBorders>
            <w:tcMar>
              <w:top w:w="20" w:type="dxa"/>
              <w:left w:w="20" w:type="dxa"/>
              <w:bottom w:w="20" w:type="dxa"/>
              <w:right w:w="20" w:type="dxa"/>
            </w:tcMar>
          </w:tcPr>
          <w:p w14:paraId="0AF4BB7E" w14:textId="77777777" w:rsidR="00320743" w:rsidRDefault="00BF670C">
            <w:pPr>
              <w:spacing w:before="120"/>
              <w:ind w:left="120" w:right="100"/>
              <w:jc w:val="both"/>
            </w:pPr>
            <w:r>
              <w:t>Requisito legal e instrumento de gestão para a efetividade da UC.</w:t>
            </w:r>
          </w:p>
        </w:tc>
        <w:tc>
          <w:tcPr>
            <w:tcW w:w="1935" w:type="dxa"/>
            <w:tcBorders>
              <w:top w:val="nil"/>
              <w:left w:val="nil"/>
              <w:bottom w:val="single" w:sz="7" w:space="0" w:color="000000"/>
              <w:right w:val="single" w:sz="7" w:space="0" w:color="000000"/>
            </w:tcBorders>
            <w:tcMar>
              <w:top w:w="20" w:type="dxa"/>
              <w:left w:w="20" w:type="dxa"/>
              <w:bottom w:w="20" w:type="dxa"/>
              <w:right w:w="20" w:type="dxa"/>
            </w:tcMar>
          </w:tcPr>
          <w:p w14:paraId="69C9750A" w14:textId="77777777" w:rsidR="00320743" w:rsidRDefault="00BF670C">
            <w:pPr>
              <w:spacing w:before="120"/>
              <w:ind w:left="120" w:right="100"/>
              <w:jc w:val="both"/>
            </w:pPr>
            <w:r>
              <w:t>Brasil (2000); Masullo et al. (2020)</w:t>
            </w:r>
          </w:p>
        </w:tc>
      </w:tr>
      <w:tr w:rsidR="00320743" w14:paraId="38E2063B" w14:textId="77777777">
        <w:trPr>
          <w:trHeight w:val="1575"/>
        </w:trPr>
        <w:tc>
          <w:tcPr>
            <w:tcW w:w="1920" w:type="dxa"/>
            <w:tcBorders>
              <w:top w:val="nil"/>
              <w:left w:val="single" w:sz="7" w:space="0" w:color="000000"/>
              <w:bottom w:val="single" w:sz="7" w:space="0" w:color="000000"/>
              <w:right w:val="single" w:sz="7" w:space="0" w:color="000000"/>
            </w:tcBorders>
            <w:tcMar>
              <w:top w:w="20" w:type="dxa"/>
              <w:left w:w="20" w:type="dxa"/>
              <w:bottom w:w="20" w:type="dxa"/>
              <w:right w:w="20" w:type="dxa"/>
            </w:tcMar>
          </w:tcPr>
          <w:p w14:paraId="290CC79B" w14:textId="77777777" w:rsidR="00320743" w:rsidRDefault="00BF670C">
            <w:pPr>
              <w:spacing w:before="240"/>
              <w:jc w:val="both"/>
            </w:pPr>
            <w:r>
              <w:lastRenderedPageBreak/>
              <w:t xml:space="preserve"> </w:t>
            </w:r>
          </w:p>
          <w:p w14:paraId="6A525302" w14:textId="77777777" w:rsidR="00320743" w:rsidRDefault="00BF670C">
            <w:pPr>
              <w:ind w:left="100"/>
              <w:jc w:val="both"/>
            </w:pPr>
            <w:r>
              <w:t>Conservação Externa</w:t>
            </w:r>
          </w:p>
        </w:tc>
        <w:tc>
          <w:tcPr>
            <w:tcW w:w="2505" w:type="dxa"/>
            <w:tcBorders>
              <w:top w:val="nil"/>
              <w:left w:val="nil"/>
              <w:bottom w:val="single" w:sz="7" w:space="0" w:color="000000"/>
              <w:right w:val="single" w:sz="7" w:space="0" w:color="000000"/>
            </w:tcBorders>
            <w:tcMar>
              <w:top w:w="20" w:type="dxa"/>
              <w:left w:w="20" w:type="dxa"/>
              <w:bottom w:w="20" w:type="dxa"/>
              <w:right w:w="20" w:type="dxa"/>
            </w:tcMar>
          </w:tcPr>
          <w:p w14:paraId="73475B6D" w14:textId="77777777" w:rsidR="00320743" w:rsidRDefault="00BF670C">
            <w:pPr>
              <w:spacing w:before="120"/>
              <w:ind w:left="100" w:right="100"/>
              <w:jc w:val="both"/>
            </w:pPr>
            <w:r>
              <w:t>Delimitação e gestão da Zona de Amortecimento e criação de Corredores Ecológicos.</w:t>
            </w:r>
          </w:p>
        </w:tc>
        <w:tc>
          <w:tcPr>
            <w:tcW w:w="2550" w:type="dxa"/>
            <w:tcBorders>
              <w:top w:val="nil"/>
              <w:left w:val="nil"/>
              <w:bottom w:val="single" w:sz="7" w:space="0" w:color="000000"/>
              <w:right w:val="single" w:sz="7" w:space="0" w:color="000000"/>
            </w:tcBorders>
            <w:tcMar>
              <w:top w:w="20" w:type="dxa"/>
              <w:left w:w="20" w:type="dxa"/>
              <w:bottom w:w="20" w:type="dxa"/>
              <w:right w:w="20" w:type="dxa"/>
            </w:tcMar>
          </w:tcPr>
          <w:p w14:paraId="138B4D6D" w14:textId="77777777" w:rsidR="00320743" w:rsidRDefault="00BF670C">
            <w:pPr>
              <w:spacing w:before="120"/>
              <w:ind w:left="120" w:right="100"/>
              <w:jc w:val="both"/>
            </w:pPr>
            <w:r>
              <w:t>Mitigação do efeito de borda e aumento da resiliência e conectividade da paisagem.</w:t>
            </w:r>
          </w:p>
        </w:tc>
        <w:tc>
          <w:tcPr>
            <w:tcW w:w="1935" w:type="dxa"/>
            <w:tcBorders>
              <w:top w:val="nil"/>
              <w:left w:val="nil"/>
              <w:bottom w:val="single" w:sz="7" w:space="0" w:color="000000"/>
              <w:right w:val="single" w:sz="7" w:space="0" w:color="000000"/>
            </w:tcBorders>
            <w:tcMar>
              <w:top w:w="20" w:type="dxa"/>
              <w:left w:w="20" w:type="dxa"/>
              <w:bottom w:w="20" w:type="dxa"/>
              <w:right w:w="20" w:type="dxa"/>
            </w:tcMar>
          </w:tcPr>
          <w:p w14:paraId="62260691" w14:textId="77777777" w:rsidR="00320743" w:rsidRDefault="00BF670C">
            <w:pPr>
              <w:spacing w:before="120"/>
              <w:ind w:left="120" w:right="760"/>
              <w:jc w:val="both"/>
            </w:pPr>
            <w:r>
              <w:t>Primack (2014);</w:t>
            </w:r>
          </w:p>
          <w:p w14:paraId="67D6DCD0" w14:textId="77777777" w:rsidR="00320743" w:rsidRDefault="00BF670C">
            <w:pPr>
              <w:ind w:left="120" w:right="680"/>
              <w:jc w:val="both"/>
            </w:pPr>
            <w:r>
              <w:t>Brentano (2022)</w:t>
            </w:r>
          </w:p>
        </w:tc>
      </w:tr>
      <w:tr w:rsidR="00320743" w14:paraId="737D8C7A" w14:textId="77777777">
        <w:trPr>
          <w:trHeight w:val="1575"/>
        </w:trPr>
        <w:tc>
          <w:tcPr>
            <w:tcW w:w="1920" w:type="dxa"/>
            <w:tcBorders>
              <w:top w:val="nil"/>
              <w:left w:val="single" w:sz="7" w:space="0" w:color="000000"/>
              <w:bottom w:val="single" w:sz="7" w:space="0" w:color="000000"/>
              <w:right w:val="single" w:sz="7" w:space="0" w:color="000000"/>
            </w:tcBorders>
            <w:tcMar>
              <w:top w:w="20" w:type="dxa"/>
              <w:left w:w="20" w:type="dxa"/>
              <w:bottom w:w="20" w:type="dxa"/>
              <w:right w:w="20" w:type="dxa"/>
            </w:tcMar>
          </w:tcPr>
          <w:p w14:paraId="5215EA23" w14:textId="77777777" w:rsidR="00320743" w:rsidRDefault="00BF670C">
            <w:pPr>
              <w:spacing w:before="240"/>
              <w:jc w:val="both"/>
            </w:pPr>
            <w:r>
              <w:t xml:space="preserve"> </w:t>
            </w:r>
          </w:p>
          <w:p w14:paraId="2DC41F5A" w14:textId="77777777" w:rsidR="00320743" w:rsidRDefault="00BF670C">
            <w:pPr>
              <w:ind w:left="100"/>
              <w:jc w:val="both"/>
            </w:pPr>
            <w:r>
              <w:t>Estratégia Específica</w:t>
            </w:r>
          </w:p>
        </w:tc>
        <w:tc>
          <w:tcPr>
            <w:tcW w:w="2505" w:type="dxa"/>
            <w:tcBorders>
              <w:top w:val="nil"/>
              <w:left w:val="nil"/>
              <w:bottom w:val="single" w:sz="7" w:space="0" w:color="000000"/>
              <w:right w:val="single" w:sz="7" w:space="0" w:color="000000"/>
            </w:tcBorders>
            <w:tcMar>
              <w:top w:w="20" w:type="dxa"/>
              <w:left w:w="20" w:type="dxa"/>
              <w:bottom w:w="20" w:type="dxa"/>
              <w:right w:w="20" w:type="dxa"/>
            </w:tcMar>
          </w:tcPr>
          <w:p w14:paraId="57F382FB" w14:textId="77777777" w:rsidR="00320743" w:rsidRDefault="00BF670C">
            <w:pPr>
              <w:spacing w:before="120"/>
              <w:ind w:left="100"/>
              <w:jc w:val="both"/>
            </w:pPr>
            <w:r>
              <w:t xml:space="preserve">Programa  </w:t>
            </w:r>
            <w:r>
              <w:tab/>
            </w:r>
            <w:r>
              <w:t xml:space="preserve">de monitoramento e proteção in situ da </w:t>
            </w:r>
            <w:r>
              <w:rPr>
                <w:i/>
                <w:iCs/>
              </w:rPr>
              <w:t>Erythroxylum ayrtonianum</w:t>
            </w:r>
            <w:r>
              <w:t>.</w:t>
            </w:r>
          </w:p>
        </w:tc>
        <w:tc>
          <w:tcPr>
            <w:tcW w:w="2550" w:type="dxa"/>
            <w:tcBorders>
              <w:top w:val="nil"/>
              <w:left w:val="nil"/>
              <w:bottom w:val="single" w:sz="7" w:space="0" w:color="000000"/>
              <w:right w:val="single" w:sz="7" w:space="0" w:color="000000"/>
            </w:tcBorders>
            <w:tcMar>
              <w:top w:w="20" w:type="dxa"/>
              <w:left w:w="20" w:type="dxa"/>
              <w:bottom w:w="20" w:type="dxa"/>
              <w:right w:w="20" w:type="dxa"/>
            </w:tcMar>
          </w:tcPr>
          <w:p w14:paraId="33F4B55F" w14:textId="77777777" w:rsidR="00320743" w:rsidRDefault="00BF670C">
            <w:pPr>
              <w:spacing w:before="120"/>
              <w:ind w:left="120" w:right="100"/>
              <w:jc w:val="both"/>
            </w:pPr>
            <w:r>
              <w:t>Conservação de espécies-alvo e reforço do status de importância do parque.</w:t>
            </w:r>
          </w:p>
        </w:tc>
        <w:tc>
          <w:tcPr>
            <w:tcW w:w="1935" w:type="dxa"/>
            <w:tcBorders>
              <w:top w:val="nil"/>
              <w:left w:val="nil"/>
              <w:bottom w:val="single" w:sz="7" w:space="0" w:color="000000"/>
              <w:right w:val="single" w:sz="7" w:space="0" w:color="000000"/>
            </w:tcBorders>
            <w:tcMar>
              <w:top w:w="20" w:type="dxa"/>
              <w:left w:w="20" w:type="dxa"/>
              <w:bottom w:w="20" w:type="dxa"/>
              <w:right w:w="20" w:type="dxa"/>
            </w:tcMar>
          </w:tcPr>
          <w:p w14:paraId="4DDEBD5A" w14:textId="77777777" w:rsidR="00320743" w:rsidRDefault="00BF670C">
            <w:pPr>
              <w:spacing w:before="240"/>
              <w:jc w:val="both"/>
            </w:pPr>
            <w:r>
              <w:t xml:space="preserve"> </w:t>
            </w:r>
          </w:p>
          <w:p w14:paraId="7512F63E" w14:textId="77777777" w:rsidR="00320743" w:rsidRDefault="00BF670C">
            <w:pPr>
              <w:ind w:left="120"/>
              <w:jc w:val="both"/>
            </w:pPr>
            <w:r>
              <w:t>Marinho et al. (2023)</w:t>
            </w:r>
          </w:p>
        </w:tc>
      </w:tr>
      <w:tr w:rsidR="00320743" w14:paraId="7FA1058E" w14:textId="77777777">
        <w:trPr>
          <w:trHeight w:val="1575"/>
        </w:trPr>
        <w:tc>
          <w:tcPr>
            <w:tcW w:w="1920" w:type="dxa"/>
            <w:tcBorders>
              <w:top w:val="nil"/>
              <w:left w:val="single" w:sz="7" w:space="0" w:color="000000"/>
              <w:bottom w:val="single" w:sz="7" w:space="0" w:color="000000"/>
              <w:right w:val="single" w:sz="7" w:space="0" w:color="000000"/>
            </w:tcBorders>
            <w:tcMar>
              <w:top w:w="20" w:type="dxa"/>
              <w:left w:w="20" w:type="dxa"/>
              <w:bottom w:w="20" w:type="dxa"/>
              <w:right w:w="20" w:type="dxa"/>
            </w:tcMar>
          </w:tcPr>
          <w:p w14:paraId="32830A00" w14:textId="77777777" w:rsidR="00320743" w:rsidRDefault="00BF670C">
            <w:pPr>
              <w:spacing w:before="240"/>
              <w:jc w:val="both"/>
            </w:pPr>
            <w:r>
              <w:t xml:space="preserve"> </w:t>
            </w:r>
          </w:p>
          <w:p w14:paraId="68236835" w14:textId="77777777" w:rsidR="00320743" w:rsidRDefault="00BF670C">
            <w:pPr>
              <w:ind w:left="100"/>
              <w:jc w:val="both"/>
            </w:pPr>
            <w:r>
              <w:t>Engajamento Social</w:t>
            </w:r>
          </w:p>
        </w:tc>
        <w:tc>
          <w:tcPr>
            <w:tcW w:w="2505" w:type="dxa"/>
            <w:tcBorders>
              <w:top w:val="nil"/>
              <w:left w:val="nil"/>
              <w:bottom w:val="single" w:sz="7" w:space="0" w:color="000000"/>
              <w:right w:val="single" w:sz="7" w:space="0" w:color="000000"/>
            </w:tcBorders>
            <w:tcMar>
              <w:top w:w="20" w:type="dxa"/>
              <w:left w:w="20" w:type="dxa"/>
              <w:bottom w:w="20" w:type="dxa"/>
              <w:right w:w="20" w:type="dxa"/>
            </w:tcMar>
          </w:tcPr>
          <w:p w14:paraId="31619AA9" w14:textId="77777777" w:rsidR="00320743" w:rsidRDefault="00BF670C">
            <w:pPr>
              <w:spacing w:before="120"/>
              <w:ind w:left="100" w:right="100"/>
              <w:jc w:val="both"/>
            </w:pPr>
            <w:r>
              <w:t>Integração com a comunidade, instituições de ensino e órgãos de planejamento urbano.</w:t>
            </w:r>
          </w:p>
        </w:tc>
        <w:tc>
          <w:tcPr>
            <w:tcW w:w="2550" w:type="dxa"/>
            <w:tcBorders>
              <w:top w:val="nil"/>
              <w:left w:val="nil"/>
              <w:bottom w:val="single" w:sz="7" w:space="0" w:color="000000"/>
              <w:right w:val="single" w:sz="7" w:space="0" w:color="000000"/>
            </w:tcBorders>
            <w:tcMar>
              <w:top w:w="20" w:type="dxa"/>
              <w:left w:w="20" w:type="dxa"/>
              <w:bottom w:w="20" w:type="dxa"/>
              <w:right w:w="20" w:type="dxa"/>
            </w:tcMar>
          </w:tcPr>
          <w:p w14:paraId="08772455" w14:textId="77777777" w:rsidR="00320743" w:rsidRDefault="00BF670C">
            <w:pPr>
              <w:ind w:right="100"/>
              <w:jc w:val="both"/>
            </w:pPr>
            <w:r>
              <w:t>Sustentabilidade da gestão e promoção de serviços ecossistêmicos urbanos.</w:t>
            </w:r>
          </w:p>
        </w:tc>
        <w:tc>
          <w:tcPr>
            <w:tcW w:w="1935" w:type="dxa"/>
            <w:tcBorders>
              <w:top w:val="nil"/>
              <w:left w:val="nil"/>
              <w:bottom w:val="single" w:sz="7" w:space="0" w:color="000000"/>
              <w:right w:val="single" w:sz="7" w:space="0" w:color="000000"/>
            </w:tcBorders>
            <w:tcMar>
              <w:top w:w="20" w:type="dxa"/>
              <w:left w:w="20" w:type="dxa"/>
              <w:bottom w:w="20" w:type="dxa"/>
              <w:right w:w="20" w:type="dxa"/>
            </w:tcMar>
          </w:tcPr>
          <w:p w14:paraId="5DB989AC" w14:textId="77777777" w:rsidR="00320743" w:rsidRDefault="00BF670C">
            <w:pPr>
              <w:spacing w:before="240" w:after="240"/>
              <w:jc w:val="both"/>
            </w:pPr>
            <w:r>
              <w:t xml:space="preserve"> </w:t>
            </w:r>
          </w:p>
          <w:p w14:paraId="31E37F8D" w14:textId="77777777" w:rsidR="00320743" w:rsidRDefault="00BF670C">
            <w:pPr>
              <w:ind w:left="120"/>
              <w:jc w:val="both"/>
            </w:pPr>
            <w:r>
              <w:t>Gomes (2014);</w:t>
            </w:r>
          </w:p>
        </w:tc>
      </w:tr>
    </w:tbl>
    <w:p w14:paraId="5F5F27C6" w14:textId="77777777" w:rsidR="00320743" w:rsidRDefault="00BF670C">
      <w:pPr>
        <w:jc w:val="both"/>
      </w:pPr>
      <w:r>
        <w:rPr>
          <w:b/>
          <w:bCs/>
        </w:rPr>
        <w:t xml:space="preserve">Fonte: </w:t>
      </w:r>
      <w:r>
        <w:t>Autores (2025).</w:t>
      </w:r>
    </w:p>
    <w:p w14:paraId="6085B543" w14:textId="77777777" w:rsidR="00320743" w:rsidRDefault="00320743">
      <w:pPr>
        <w:jc w:val="both"/>
      </w:pPr>
    </w:p>
    <w:p w14:paraId="0487BF7C" w14:textId="77777777" w:rsidR="00320743" w:rsidRDefault="00BF670C">
      <w:pPr>
        <w:spacing w:line="360" w:lineRule="auto"/>
        <w:ind w:firstLine="708"/>
        <w:jc w:val="both"/>
        <w:rPr>
          <w:sz w:val="24"/>
          <w:szCs w:val="24"/>
        </w:rPr>
      </w:pPr>
      <w:r>
        <w:rPr>
          <w:sz w:val="24"/>
          <w:szCs w:val="24"/>
        </w:rPr>
        <w:t xml:space="preserve">A análise do Quadro 2 revela uma estratégia de gestão multifacetada e integrada, essencial para a consolidação do PNMPIAA. O primeiro pilar, Manejo Interno, enfatiza a urgência da elaboração e implementação do Plano de Manejo, um requisito legal e o principal instrumento para o zoneamento e a gestão efetiva da UC, conforme a legislação do SNUC (Brasil, 2000) e a literatura sobre desafios de gestão (Masullo et al., 2020). O segundo pilar, Conservação Externa, transcende os limites físicos do parque, focando </w:t>
      </w:r>
      <w:r>
        <w:rPr>
          <w:sz w:val="24"/>
          <w:szCs w:val="24"/>
        </w:rPr>
        <w:t>na delimitação e gestão da Zona de Amortecimento e na criação de Corredores Ecológicos. Esta abordagem é crucial para mitigar o efeito de borda e aumentar a resiliência e a conectividade da paisagem, em linha com os princípios da Biogeografia de Ilhas (Primack, 2014) e as diretrizes de planejamento territorial (Brentano, 2022). O terceiro elemento, Estratégia Específica, destaca a importância da redescoberta da Erythroxylum ayrtonianum, exigindo um programa de monitoramento e proteção in situ que eleva o st</w:t>
      </w:r>
      <w:r>
        <w:rPr>
          <w:sz w:val="24"/>
          <w:szCs w:val="24"/>
        </w:rPr>
        <w:t>atus de importância do parque (Marinho et al., 2023). Por fim, o Engajamento Social é apresentado como um fator de sustentabilidade, promovendo a integração com a comunidade e instituições de ensino, o que é vital para a gestão de parques urbanos e a promoção de serviços ecossistêmicos (Gomes, 2014). Em conjunto, esses elementos formam um roteiro para transformar o PNMPIAA em um núcleo de conservação ativo e funcional.</w:t>
      </w:r>
    </w:p>
    <w:p w14:paraId="66C999FD" w14:textId="77777777" w:rsidR="00320743" w:rsidRDefault="00320743">
      <w:pPr>
        <w:spacing w:line="360" w:lineRule="auto"/>
        <w:ind w:firstLine="708"/>
        <w:jc w:val="both"/>
        <w:rPr>
          <w:sz w:val="24"/>
          <w:szCs w:val="24"/>
        </w:rPr>
      </w:pPr>
    </w:p>
    <w:p w14:paraId="5F25639D" w14:textId="77777777" w:rsidR="00320743" w:rsidRDefault="00BF670C">
      <w:pPr>
        <w:pStyle w:val="Ttulo1"/>
        <w:numPr>
          <w:ilvl w:val="0"/>
          <w:numId w:val="1"/>
        </w:numPr>
        <w:tabs>
          <w:tab w:val="left" w:pos="382"/>
        </w:tabs>
        <w:spacing w:before="47"/>
        <w:ind w:firstLine="143"/>
      </w:pPr>
      <w:bookmarkStart w:id="2" w:name="_2y0qxnwftdlg" w:colFirst="0" w:colLast="0"/>
      <w:bookmarkEnd w:id="2"/>
      <w:r>
        <w:lastRenderedPageBreak/>
        <w:t>CONCLUSÃO</w:t>
      </w:r>
    </w:p>
    <w:p w14:paraId="386B5CAC" w14:textId="77777777" w:rsidR="00320743" w:rsidRDefault="00320743">
      <w:pPr>
        <w:tabs>
          <w:tab w:val="left" w:pos="382"/>
        </w:tabs>
        <w:ind w:left="382"/>
      </w:pPr>
    </w:p>
    <w:p w14:paraId="09CEF5C6" w14:textId="77777777" w:rsidR="00320743" w:rsidRDefault="00BF670C">
      <w:pPr>
        <w:spacing w:line="360" w:lineRule="auto"/>
        <w:ind w:right="18" w:firstLine="720"/>
        <w:jc w:val="both"/>
        <w:rPr>
          <w:sz w:val="24"/>
          <w:szCs w:val="24"/>
        </w:rPr>
      </w:pPr>
      <w:r>
        <w:rPr>
          <w:sz w:val="24"/>
          <w:szCs w:val="24"/>
        </w:rPr>
        <w:t xml:space="preserve">O Parque Natural Municipal de Proteção Integral Arara Azul possui um potencial estratégico inegável para a conservação da biodiversidade no ecótono Amazônia-Cerrado, especialmente após a redescoberta da </w:t>
      </w:r>
      <w:r>
        <w:rPr>
          <w:i/>
          <w:iCs/>
          <w:sz w:val="24"/>
          <w:szCs w:val="24"/>
        </w:rPr>
        <w:t>Erythroxylum ayrtonianum</w:t>
      </w:r>
      <w:r>
        <w:rPr>
          <w:sz w:val="24"/>
          <w:szCs w:val="24"/>
        </w:rPr>
        <w:t>. No entanto, sua consolidação como uma UC efetiva depende da superação de desafios de gestão integrada para estabelecimento de uma entidade funcional ecologicamente, estruturando um núcleo de conservação, pesquisa e educação.</w:t>
      </w:r>
    </w:p>
    <w:p w14:paraId="63B764C0" w14:textId="77777777" w:rsidR="00320743" w:rsidRDefault="00320743">
      <w:pPr>
        <w:spacing w:line="360" w:lineRule="auto"/>
        <w:ind w:left="142" w:right="18" w:firstLine="578"/>
        <w:jc w:val="both"/>
        <w:rPr>
          <w:sz w:val="24"/>
          <w:szCs w:val="24"/>
        </w:rPr>
      </w:pPr>
    </w:p>
    <w:p w14:paraId="0DA0FFF5" w14:textId="77777777" w:rsidR="00320743" w:rsidRDefault="00320743">
      <w:pPr>
        <w:spacing w:line="360" w:lineRule="auto"/>
        <w:jc w:val="both"/>
        <w:rPr>
          <w:sz w:val="24"/>
          <w:szCs w:val="24"/>
        </w:rPr>
      </w:pPr>
    </w:p>
    <w:p w14:paraId="74880430" w14:textId="77777777" w:rsidR="00320743" w:rsidRDefault="00BF670C">
      <w:pPr>
        <w:pStyle w:val="Ttulo1"/>
        <w:ind w:left="0" w:firstLine="0"/>
      </w:pPr>
      <w:bookmarkStart w:id="3" w:name="_hgbipbbcsmq9" w:colFirst="0" w:colLast="0"/>
      <w:bookmarkEnd w:id="3"/>
      <w:r>
        <w:t>REFERÊNCIAS</w:t>
      </w:r>
    </w:p>
    <w:p w14:paraId="21158965" w14:textId="77777777" w:rsidR="00320743" w:rsidRDefault="00320743">
      <w:pPr>
        <w:spacing w:before="22"/>
        <w:rPr>
          <w:b/>
          <w:bCs/>
          <w:sz w:val="24"/>
          <w:szCs w:val="24"/>
        </w:rPr>
      </w:pPr>
    </w:p>
    <w:p w14:paraId="5244A701" w14:textId="77777777" w:rsidR="00320743" w:rsidRDefault="00BF670C">
      <w:pPr>
        <w:ind w:right="27"/>
        <w:jc w:val="both"/>
        <w:rPr>
          <w:sz w:val="24"/>
          <w:szCs w:val="24"/>
        </w:rPr>
      </w:pPr>
      <w:r>
        <w:rPr>
          <w:sz w:val="24"/>
          <w:szCs w:val="24"/>
        </w:rPr>
        <w:t xml:space="preserve">BRASIL. Lei nº 9.985, de 18 de julho de 2000. Institui o Sistema Nacional de Unidades de Conservação da Natureza - SNUC. </w:t>
      </w:r>
      <w:r>
        <w:rPr>
          <w:b/>
          <w:bCs/>
          <w:sz w:val="24"/>
          <w:szCs w:val="24"/>
        </w:rPr>
        <w:t>Diário Oficial da União</w:t>
      </w:r>
      <w:r>
        <w:rPr>
          <w:sz w:val="24"/>
          <w:szCs w:val="24"/>
        </w:rPr>
        <w:t>, Brasília, DF, 2000.</w:t>
      </w:r>
    </w:p>
    <w:p w14:paraId="2EC7BDDC" w14:textId="77777777" w:rsidR="00320743" w:rsidRDefault="00320743">
      <w:pPr>
        <w:ind w:left="142" w:right="27"/>
        <w:jc w:val="both"/>
        <w:rPr>
          <w:sz w:val="24"/>
          <w:szCs w:val="24"/>
        </w:rPr>
      </w:pPr>
    </w:p>
    <w:p w14:paraId="3FCB7B5C" w14:textId="77777777" w:rsidR="00320743" w:rsidRDefault="00BF670C">
      <w:pPr>
        <w:spacing w:before="120"/>
        <w:ind w:right="17"/>
        <w:jc w:val="both"/>
        <w:rPr>
          <w:sz w:val="24"/>
          <w:szCs w:val="24"/>
        </w:rPr>
      </w:pPr>
      <w:r>
        <w:rPr>
          <w:sz w:val="24"/>
          <w:szCs w:val="24"/>
        </w:rPr>
        <w:t xml:space="preserve">BRENTANO, C. </w:t>
      </w:r>
      <w:r>
        <w:rPr>
          <w:b/>
          <w:bCs/>
          <w:sz w:val="24"/>
          <w:szCs w:val="24"/>
        </w:rPr>
        <w:t>Subsídios ecológicos para a delimitação de uma zona de amortecimento</w:t>
      </w:r>
      <w:r>
        <w:rPr>
          <w:sz w:val="24"/>
          <w:szCs w:val="24"/>
        </w:rPr>
        <w:t>. 2022. 156 f. Dissertação (Mestrado Profissional em Ambiente e Sustentabilidade) – Universidade Estadual do Rio Grande do Sul, Unidade Hortênsias</w:t>
      </w:r>
      <w:r>
        <w:rPr>
          <w:b/>
          <w:bCs/>
          <w:sz w:val="24"/>
          <w:szCs w:val="24"/>
        </w:rPr>
        <w:t xml:space="preserve">, </w:t>
      </w:r>
      <w:r>
        <w:rPr>
          <w:sz w:val="24"/>
          <w:szCs w:val="24"/>
        </w:rPr>
        <w:t>São Francisco de Paula, 2022.</w:t>
      </w:r>
    </w:p>
    <w:p w14:paraId="7C485B79" w14:textId="77777777" w:rsidR="00320743" w:rsidRDefault="00320743">
      <w:pPr>
        <w:spacing w:before="120"/>
        <w:ind w:left="142" w:right="17"/>
        <w:jc w:val="both"/>
        <w:rPr>
          <w:sz w:val="24"/>
          <w:szCs w:val="24"/>
        </w:rPr>
      </w:pPr>
    </w:p>
    <w:p w14:paraId="7EEA361A" w14:textId="77777777" w:rsidR="00320743" w:rsidRDefault="00BF670C">
      <w:pPr>
        <w:spacing w:before="60"/>
        <w:ind w:right="25"/>
        <w:jc w:val="both"/>
        <w:rPr>
          <w:sz w:val="24"/>
          <w:szCs w:val="24"/>
        </w:rPr>
      </w:pPr>
      <w:r>
        <w:rPr>
          <w:sz w:val="24"/>
          <w:szCs w:val="24"/>
        </w:rPr>
        <w:t xml:space="preserve">COSTA, F. W. D. Áreas protegidas e legislação ambiental: uma abordagem sobre a gestão de Unidades de Conservação no Maranhão. In: ENCONTRO NACIONAL DE GEÓGRAFOS, 2016, São Luís. </w:t>
      </w:r>
      <w:r>
        <w:rPr>
          <w:b/>
          <w:bCs/>
          <w:sz w:val="24"/>
          <w:szCs w:val="24"/>
        </w:rPr>
        <w:t>Anais</w:t>
      </w:r>
      <w:r>
        <w:rPr>
          <w:i/>
          <w:iCs/>
          <w:sz w:val="24"/>
          <w:szCs w:val="24"/>
        </w:rPr>
        <w:t xml:space="preserve">... </w:t>
      </w:r>
      <w:r>
        <w:rPr>
          <w:sz w:val="24"/>
          <w:szCs w:val="24"/>
        </w:rPr>
        <w:t>[S.l.: s.n.], 2016. p. 1–11.</w:t>
      </w:r>
    </w:p>
    <w:p w14:paraId="7A2A7B1A" w14:textId="77777777" w:rsidR="00320743" w:rsidRDefault="00320743">
      <w:pPr>
        <w:spacing w:before="60"/>
        <w:ind w:left="142" w:right="25"/>
        <w:jc w:val="both"/>
        <w:rPr>
          <w:sz w:val="24"/>
          <w:szCs w:val="24"/>
        </w:rPr>
      </w:pPr>
    </w:p>
    <w:p w14:paraId="4AC197CB" w14:textId="77777777" w:rsidR="00320743" w:rsidRDefault="00BF670C">
      <w:pPr>
        <w:spacing w:before="60"/>
        <w:ind w:right="26"/>
        <w:jc w:val="both"/>
        <w:rPr>
          <w:sz w:val="24"/>
          <w:szCs w:val="24"/>
        </w:rPr>
      </w:pPr>
      <w:r>
        <w:rPr>
          <w:sz w:val="24"/>
          <w:szCs w:val="24"/>
        </w:rPr>
        <w:t xml:space="preserve">GOMES, L. P. Parques urbanos: infraestrutura verde para cidades sustentáveis. </w:t>
      </w:r>
      <w:r>
        <w:rPr>
          <w:b/>
          <w:bCs/>
          <w:sz w:val="24"/>
          <w:szCs w:val="24"/>
        </w:rPr>
        <w:t>Revista Brasileira de Estudos Urbanos e Regionais</w:t>
      </w:r>
      <w:r>
        <w:rPr>
          <w:sz w:val="24"/>
          <w:szCs w:val="24"/>
        </w:rPr>
        <w:t>, v. 16, n. 2, p. 123-140, 2014.</w:t>
      </w:r>
    </w:p>
    <w:p w14:paraId="7FE9309E" w14:textId="77777777" w:rsidR="00320743" w:rsidRDefault="00320743">
      <w:pPr>
        <w:spacing w:before="60"/>
        <w:ind w:right="26"/>
        <w:jc w:val="both"/>
        <w:rPr>
          <w:sz w:val="24"/>
          <w:szCs w:val="24"/>
        </w:rPr>
      </w:pPr>
    </w:p>
    <w:p w14:paraId="2FFB107D" w14:textId="77777777" w:rsidR="00320743" w:rsidRDefault="00BF670C">
      <w:pPr>
        <w:spacing w:before="47"/>
        <w:ind w:right="26"/>
        <w:jc w:val="both"/>
        <w:rPr>
          <w:sz w:val="24"/>
          <w:szCs w:val="24"/>
        </w:rPr>
      </w:pPr>
      <w:r>
        <w:rPr>
          <w:sz w:val="24"/>
          <w:szCs w:val="24"/>
        </w:rPr>
        <w:t xml:space="preserve">GONÇALVES-SOUZA, T. et al. Protected areas reduce deforestation in the Brazilian Amazon. </w:t>
      </w:r>
      <w:r>
        <w:rPr>
          <w:b/>
          <w:bCs/>
          <w:sz w:val="24"/>
          <w:szCs w:val="24"/>
        </w:rPr>
        <w:t>Science Advances</w:t>
      </w:r>
      <w:r>
        <w:rPr>
          <w:sz w:val="24"/>
          <w:szCs w:val="24"/>
        </w:rPr>
        <w:t>, v. 7, n. 4, 2021.</w:t>
      </w:r>
    </w:p>
    <w:p w14:paraId="4DB46540" w14:textId="77777777" w:rsidR="00320743" w:rsidRDefault="00320743">
      <w:pPr>
        <w:spacing w:before="47"/>
        <w:ind w:right="26"/>
        <w:jc w:val="both"/>
        <w:rPr>
          <w:sz w:val="24"/>
          <w:szCs w:val="24"/>
        </w:rPr>
      </w:pPr>
    </w:p>
    <w:p w14:paraId="1C9D19ED" w14:textId="77777777" w:rsidR="00320743" w:rsidRDefault="00BF670C">
      <w:pPr>
        <w:spacing w:before="47"/>
        <w:ind w:right="26"/>
        <w:jc w:val="both"/>
        <w:rPr>
          <w:sz w:val="24"/>
          <w:szCs w:val="24"/>
        </w:rPr>
      </w:pPr>
      <w:r>
        <w:rPr>
          <w:sz w:val="24"/>
          <w:szCs w:val="24"/>
        </w:rPr>
        <w:t xml:space="preserve">JUNIOR, P. C. Corredores ecológicos e a fragmentação de habitats. </w:t>
      </w:r>
      <w:r>
        <w:rPr>
          <w:b/>
          <w:bCs/>
          <w:sz w:val="24"/>
          <w:szCs w:val="24"/>
        </w:rPr>
        <w:t>Revista de Biologia e Ciências da Terra</w:t>
      </w:r>
      <w:r>
        <w:rPr>
          <w:sz w:val="24"/>
          <w:szCs w:val="24"/>
        </w:rPr>
        <w:t>, v. 10, n. 1, 2010.</w:t>
      </w:r>
    </w:p>
    <w:p w14:paraId="51F84C20" w14:textId="77777777" w:rsidR="00320743" w:rsidRDefault="00320743">
      <w:pPr>
        <w:ind w:right="14"/>
        <w:jc w:val="both"/>
        <w:rPr>
          <w:sz w:val="24"/>
          <w:szCs w:val="24"/>
        </w:rPr>
      </w:pPr>
    </w:p>
    <w:p w14:paraId="3D8D35DA" w14:textId="77777777" w:rsidR="00320743" w:rsidRDefault="00BF670C">
      <w:pPr>
        <w:ind w:right="14"/>
        <w:jc w:val="both"/>
        <w:rPr>
          <w:sz w:val="24"/>
          <w:szCs w:val="24"/>
        </w:rPr>
      </w:pPr>
      <w:r>
        <w:rPr>
          <w:sz w:val="24"/>
          <w:szCs w:val="24"/>
        </w:rPr>
        <w:t xml:space="preserve">IMPERATRIZ (Município). Prefeitura. </w:t>
      </w:r>
      <w:r>
        <w:rPr>
          <w:i/>
          <w:iCs/>
          <w:sz w:val="24"/>
          <w:szCs w:val="24"/>
        </w:rPr>
        <w:t>Parque Natural Municipal de Proteção Integral Arara Azul</w:t>
      </w:r>
      <w:r>
        <w:rPr>
          <w:b/>
          <w:bCs/>
          <w:sz w:val="24"/>
          <w:szCs w:val="24"/>
        </w:rPr>
        <w:t xml:space="preserve">. </w:t>
      </w:r>
      <w:r>
        <w:rPr>
          <w:sz w:val="24"/>
          <w:szCs w:val="24"/>
        </w:rPr>
        <w:t>Imperatriz, MA: Prefeitura de Imperatriz, 2024. Disponível em: https://imperatriz.ma.gov.br/noticias/meio-ambiente/prefeitura-destaca-importancia-do-parque</w:t>
      </w:r>
    </w:p>
    <w:p w14:paraId="6D57B7F2" w14:textId="77777777" w:rsidR="00320743" w:rsidRDefault="00BF670C">
      <w:pPr>
        <w:ind w:left="142"/>
        <w:jc w:val="both"/>
        <w:rPr>
          <w:sz w:val="24"/>
          <w:szCs w:val="24"/>
        </w:rPr>
      </w:pPr>
      <w:hyperlink r:id="rId13">
        <w:r>
          <w:rPr>
            <w:sz w:val="24"/>
            <w:szCs w:val="24"/>
            <w:u w:val="single"/>
          </w:rPr>
          <w:t>-natural-municipal-de-protecao-integral-arara-azul.html</w:t>
        </w:r>
      </w:hyperlink>
      <w:r>
        <w:rPr>
          <w:sz w:val="24"/>
          <w:szCs w:val="24"/>
        </w:rPr>
        <w:t>. Acesso em: 24 nov. 2025.</w:t>
      </w:r>
    </w:p>
    <w:p w14:paraId="5938B141" w14:textId="77777777" w:rsidR="00320743" w:rsidRDefault="00320743">
      <w:pPr>
        <w:ind w:left="142"/>
        <w:jc w:val="both"/>
        <w:rPr>
          <w:sz w:val="24"/>
          <w:szCs w:val="24"/>
        </w:rPr>
      </w:pPr>
    </w:p>
    <w:p w14:paraId="6EF4EB7E" w14:textId="77777777" w:rsidR="00320743" w:rsidRDefault="00BF670C">
      <w:pPr>
        <w:spacing w:before="198"/>
        <w:ind w:right="15"/>
        <w:jc w:val="both"/>
        <w:rPr>
          <w:sz w:val="24"/>
          <w:szCs w:val="24"/>
        </w:rPr>
      </w:pPr>
      <w:r>
        <w:rPr>
          <w:b/>
          <w:bCs/>
          <w:sz w:val="24"/>
          <w:szCs w:val="24"/>
        </w:rPr>
        <w:t xml:space="preserve">IRVING, M. A. </w:t>
      </w:r>
      <w:r>
        <w:rPr>
          <w:sz w:val="24"/>
          <w:szCs w:val="24"/>
        </w:rPr>
        <w:t xml:space="preserve">Governança e políticas públicas: desafios para a gestão de parques nacionais no </w:t>
      </w:r>
      <w:r>
        <w:rPr>
          <w:sz w:val="24"/>
          <w:szCs w:val="24"/>
        </w:rPr>
        <w:lastRenderedPageBreak/>
        <w:t xml:space="preserve">Brasil. </w:t>
      </w:r>
      <w:r>
        <w:rPr>
          <w:i/>
          <w:iCs/>
          <w:sz w:val="24"/>
          <w:szCs w:val="24"/>
        </w:rPr>
        <w:t>Revista Floresta e Ambiente</w:t>
      </w:r>
      <w:r>
        <w:rPr>
          <w:sz w:val="24"/>
          <w:szCs w:val="24"/>
        </w:rPr>
        <w:t xml:space="preserve">, v. 13, n. 1, p. 1–10, 2006. JUNIOR, J. A. Corredores de biodiversidade como meios de conservação da natureza. </w:t>
      </w:r>
      <w:r>
        <w:rPr>
          <w:i/>
          <w:iCs/>
          <w:sz w:val="24"/>
          <w:szCs w:val="24"/>
        </w:rPr>
        <w:t>Revista Brasileira de Ciências Ambientais</w:t>
      </w:r>
      <w:r>
        <w:rPr>
          <w:sz w:val="24"/>
          <w:szCs w:val="24"/>
        </w:rPr>
        <w:t>, n. 17, p. 1–10, 2010.</w:t>
      </w:r>
    </w:p>
    <w:p w14:paraId="44FB3BA8" w14:textId="77777777" w:rsidR="00320743" w:rsidRDefault="00320743">
      <w:pPr>
        <w:spacing w:before="198"/>
        <w:ind w:right="15"/>
        <w:jc w:val="both"/>
        <w:rPr>
          <w:sz w:val="24"/>
          <w:szCs w:val="24"/>
        </w:rPr>
      </w:pPr>
    </w:p>
    <w:p w14:paraId="752C71AC" w14:textId="77777777" w:rsidR="00320743" w:rsidRDefault="00BF670C">
      <w:pPr>
        <w:spacing w:before="60"/>
        <w:ind w:right="22"/>
        <w:jc w:val="both"/>
        <w:rPr>
          <w:sz w:val="24"/>
          <w:szCs w:val="24"/>
        </w:rPr>
      </w:pPr>
      <w:r>
        <w:rPr>
          <w:sz w:val="24"/>
          <w:szCs w:val="24"/>
        </w:rPr>
        <w:t>MACIEL, E. A.; OLIVEIRA-FILHO, A. T.; EISENLOHR, P. V. Prioritizing rare tree species of the Cerrado-Amazon ecotone: warnings and insights emerging from a comprehensive transitional zone of South America</w:t>
      </w:r>
      <w:r>
        <w:rPr>
          <w:i/>
          <w:iCs/>
          <w:sz w:val="24"/>
          <w:szCs w:val="24"/>
        </w:rPr>
        <w:t>. Natureza &amp; Conservação</w:t>
      </w:r>
      <w:r>
        <w:rPr>
          <w:sz w:val="24"/>
          <w:szCs w:val="24"/>
        </w:rPr>
        <w:t>, v. 14, n. 2, p. 74–82, 2016. DOI: 10.1016/j.ncon.2016.10.0</w:t>
      </w:r>
    </w:p>
    <w:p w14:paraId="4511C4ED" w14:textId="77777777" w:rsidR="00320743" w:rsidRDefault="00320743">
      <w:pPr>
        <w:spacing w:before="60"/>
        <w:ind w:left="142" w:right="22"/>
        <w:jc w:val="both"/>
        <w:rPr>
          <w:sz w:val="24"/>
          <w:szCs w:val="24"/>
        </w:rPr>
      </w:pPr>
    </w:p>
    <w:p w14:paraId="55BC9216" w14:textId="77777777" w:rsidR="00320743" w:rsidRDefault="00BF670C">
      <w:pPr>
        <w:spacing w:before="60"/>
        <w:ind w:right="23"/>
        <w:jc w:val="both"/>
        <w:rPr>
          <w:sz w:val="24"/>
          <w:szCs w:val="24"/>
        </w:rPr>
      </w:pPr>
      <w:r>
        <w:rPr>
          <w:sz w:val="24"/>
          <w:szCs w:val="24"/>
        </w:rPr>
        <w:t xml:space="preserve">MARINHO, L. C. et al. Rediscovery of </w:t>
      </w:r>
      <w:r>
        <w:rPr>
          <w:i/>
          <w:iCs/>
          <w:sz w:val="24"/>
          <w:szCs w:val="24"/>
        </w:rPr>
        <w:t xml:space="preserve">Erythroxylum ayrtonianum </w:t>
      </w:r>
      <w:r>
        <w:rPr>
          <w:sz w:val="24"/>
          <w:szCs w:val="24"/>
        </w:rPr>
        <w:t xml:space="preserve">(Erythroxylaceae), a critically endangered species, in an urban protected area in the Amazon-Cerrado ecotone. </w:t>
      </w:r>
      <w:r>
        <w:rPr>
          <w:b/>
          <w:bCs/>
          <w:i/>
          <w:iCs/>
          <w:sz w:val="24"/>
          <w:szCs w:val="24"/>
        </w:rPr>
        <w:t>Phytotaxa</w:t>
      </w:r>
      <w:r>
        <w:rPr>
          <w:sz w:val="24"/>
          <w:szCs w:val="24"/>
        </w:rPr>
        <w:t>, v. 600, n. 1, p. 1–10, 2023.</w:t>
      </w:r>
    </w:p>
    <w:p w14:paraId="3E3D359A" w14:textId="77777777" w:rsidR="00320743" w:rsidRDefault="00320743">
      <w:pPr>
        <w:jc w:val="both"/>
        <w:rPr>
          <w:sz w:val="24"/>
          <w:szCs w:val="24"/>
        </w:rPr>
      </w:pPr>
    </w:p>
    <w:p w14:paraId="4D3E2618" w14:textId="77777777" w:rsidR="00320743" w:rsidRDefault="00BF670C">
      <w:pPr>
        <w:spacing w:before="60"/>
        <w:ind w:right="25"/>
        <w:jc w:val="both"/>
        <w:rPr>
          <w:sz w:val="24"/>
          <w:szCs w:val="24"/>
        </w:rPr>
      </w:pPr>
      <w:r>
        <w:rPr>
          <w:sz w:val="24"/>
          <w:szCs w:val="24"/>
        </w:rPr>
        <w:t>MASULLO, Y. et al. Desafios na gestão de unidades de conservação no Maranhão. Revista Brasileira de Gestão Ambiental, v. 14, n. 1, 2020.</w:t>
      </w:r>
    </w:p>
    <w:p w14:paraId="644835B1" w14:textId="77777777" w:rsidR="00320743" w:rsidRDefault="00320743">
      <w:pPr>
        <w:spacing w:before="60"/>
        <w:ind w:left="142" w:right="25"/>
        <w:jc w:val="both"/>
        <w:rPr>
          <w:sz w:val="24"/>
          <w:szCs w:val="24"/>
        </w:rPr>
      </w:pPr>
    </w:p>
    <w:p w14:paraId="4140B260" w14:textId="77777777" w:rsidR="00320743" w:rsidRDefault="00BF670C">
      <w:pPr>
        <w:spacing w:before="60"/>
        <w:ind w:right="24"/>
        <w:jc w:val="both"/>
        <w:rPr>
          <w:sz w:val="24"/>
          <w:szCs w:val="24"/>
        </w:rPr>
      </w:pPr>
      <w:r>
        <w:rPr>
          <w:sz w:val="24"/>
          <w:szCs w:val="24"/>
        </w:rPr>
        <w:t xml:space="preserve">MMA – Ministério do Meio Ambiente. </w:t>
      </w:r>
      <w:r>
        <w:rPr>
          <w:b/>
          <w:bCs/>
          <w:sz w:val="24"/>
          <w:szCs w:val="24"/>
        </w:rPr>
        <w:t>Roteiro para Criação de Unidades de Conservação Municipais</w:t>
      </w:r>
      <w:r>
        <w:rPr>
          <w:sz w:val="24"/>
          <w:szCs w:val="24"/>
        </w:rPr>
        <w:t>. Brasília, DF, 2010.</w:t>
      </w:r>
    </w:p>
    <w:p w14:paraId="6A07D601" w14:textId="77777777" w:rsidR="00320743" w:rsidRDefault="00320743">
      <w:pPr>
        <w:spacing w:before="60"/>
        <w:ind w:left="142" w:right="24"/>
        <w:jc w:val="both"/>
        <w:rPr>
          <w:sz w:val="24"/>
          <w:szCs w:val="24"/>
        </w:rPr>
      </w:pPr>
    </w:p>
    <w:p w14:paraId="49A9C8FE" w14:textId="77777777" w:rsidR="00320743" w:rsidRDefault="00BF670C">
      <w:pPr>
        <w:spacing w:before="60"/>
        <w:ind w:right="16"/>
        <w:jc w:val="both"/>
        <w:rPr>
          <w:sz w:val="24"/>
          <w:szCs w:val="24"/>
        </w:rPr>
      </w:pPr>
      <w:r>
        <w:rPr>
          <w:sz w:val="24"/>
          <w:szCs w:val="24"/>
        </w:rPr>
        <w:t xml:space="preserve">PIMENTEL, M. A. A. </w:t>
      </w:r>
      <w:r>
        <w:rPr>
          <w:b/>
          <w:bCs/>
          <w:sz w:val="24"/>
          <w:szCs w:val="24"/>
        </w:rPr>
        <w:t>Parques de papel</w:t>
      </w:r>
      <w:r>
        <w:rPr>
          <w:sz w:val="24"/>
          <w:szCs w:val="24"/>
        </w:rPr>
        <w:t>: a efetividade das unidades de conservação no Brasil. 2008. Tese (Doutorado em Ecologia) – Universidade de São Paulo, São Paulo, 2008.</w:t>
      </w:r>
    </w:p>
    <w:p w14:paraId="11908FF1" w14:textId="77777777" w:rsidR="00320743" w:rsidRDefault="00320743">
      <w:pPr>
        <w:spacing w:before="60"/>
        <w:ind w:right="16"/>
        <w:jc w:val="both"/>
        <w:rPr>
          <w:sz w:val="24"/>
          <w:szCs w:val="24"/>
        </w:rPr>
      </w:pPr>
    </w:p>
    <w:p w14:paraId="71EED7F4" w14:textId="77777777" w:rsidR="00320743" w:rsidRDefault="00BF670C">
      <w:pPr>
        <w:spacing w:before="60"/>
        <w:ind w:right="16"/>
        <w:jc w:val="both"/>
        <w:rPr>
          <w:color w:val="000000"/>
          <w:sz w:val="24"/>
          <w:szCs w:val="24"/>
        </w:rPr>
      </w:pPr>
      <w:r>
        <w:rPr>
          <w:sz w:val="24"/>
          <w:szCs w:val="24"/>
        </w:rPr>
        <w:t xml:space="preserve">PRIMACK, R. B. </w:t>
      </w:r>
      <w:r>
        <w:rPr>
          <w:b/>
          <w:bCs/>
          <w:sz w:val="24"/>
          <w:szCs w:val="24"/>
        </w:rPr>
        <w:t xml:space="preserve">Essentials of Conservation Biology. </w:t>
      </w:r>
      <w:r>
        <w:rPr>
          <w:sz w:val="24"/>
          <w:szCs w:val="24"/>
        </w:rPr>
        <w:t>6th ed. Oxford University Press, 2014.</w:t>
      </w:r>
    </w:p>
    <w:sectPr w:rsidR="00320743">
      <w:pgSz w:w="11920" w:h="16840"/>
      <w:pgMar w:top="3280" w:right="1133" w:bottom="960" w:left="1559" w:header="75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C6AB5" w14:textId="77777777" w:rsidR="00BF670C" w:rsidRDefault="00BF670C">
      <w:r>
        <w:separator/>
      </w:r>
    </w:p>
  </w:endnote>
  <w:endnote w:type="continuationSeparator" w:id="0">
    <w:p w14:paraId="70BD218D" w14:textId="77777777" w:rsidR="00BF670C" w:rsidRDefault="00BF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CF24" w14:textId="77777777" w:rsidR="00320743" w:rsidRDefault="00BF670C">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34614D7B" wp14:editId="13E648DE">
          <wp:simplePos x="0" y="0"/>
          <wp:positionH relativeFrom="column">
            <wp:posOffset>3233419</wp:posOffset>
          </wp:positionH>
          <wp:positionV relativeFrom="paragraph">
            <wp:posOffset>180975</wp:posOffset>
          </wp:positionV>
          <wp:extent cx="542925" cy="38100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42925" cy="381000"/>
                  </a:xfrm>
                  <a:prstGeom prst="rect">
                    <a:avLst/>
                  </a:prstGeom>
                  <a:ln/>
                </pic:spPr>
              </pic:pic>
            </a:graphicData>
          </a:graphic>
        </wp:anchor>
      </w:drawing>
    </w:r>
    <w:r>
      <w:rPr>
        <w:noProof/>
      </w:rPr>
      <w:drawing>
        <wp:anchor distT="0" distB="0" distL="0" distR="0" simplePos="0" relativeHeight="251660288" behindDoc="1" locked="0" layoutInCell="1" hidden="0" allowOverlap="1" wp14:anchorId="048636AE" wp14:editId="2BEC765F">
          <wp:simplePos x="0" y="0"/>
          <wp:positionH relativeFrom="column">
            <wp:posOffset>937894</wp:posOffset>
          </wp:positionH>
          <wp:positionV relativeFrom="paragraph">
            <wp:posOffset>161925</wp:posOffset>
          </wp:positionV>
          <wp:extent cx="1228725" cy="3810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228725" cy="381000"/>
                  </a:xfrm>
                  <a:prstGeom prst="rect">
                    <a:avLst/>
                  </a:prstGeom>
                  <a:ln/>
                </pic:spPr>
              </pic:pic>
            </a:graphicData>
          </a:graphic>
        </wp:anchor>
      </w:drawing>
    </w:r>
    <w:r>
      <w:rPr>
        <w:noProof/>
      </w:rPr>
      <w:drawing>
        <wp:anchor distT="0" distB="0" distL="0" distR="0" simplePos="0" relativeHeight="251661312" behindDoc="1" locked="0" layoutInCell="1" hidden="0" allowOverlap="1" wp14:anchorId="2985E717" wp14:editId="10FF2943">
          <wp:simplePos x="0" y="0"/>
          <wp:positionH relativeFrom="column">
            <wp:posOffset>4004945</wp:posOffset>
          </wp:positionH>
          <wp:positionV relativeFrom="paragraph">
            <wp:posOffset>190500</wp:posOffset>
          </wp:positionV>
          <wp:extent cx="914400" cy="352425"/>
          <wp:effectExtent l="0" t="0" r="0" b="0"/>
          <wp:wrapNone/>
          <wp:docPr id="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3"/>
                  <a:srcRect/>
                  <a:stretch>
                    <a:fillRect/>
                  </a:stretch>
                </pic:blipFill>
                <pic:spPr>
                  <a:xfrm>
                    <a:off x="0" y="0"/>
                    <a:ext cx="914400" cy="352425"/>
                  </a:xfrm>
                  <a:prstGeom prst="rect">
                    <a:avLst/>
                  </a:prstGeom>
                  <a:ln/>
                </pic:spPr>
              </pic:pic>
            </a:graphicData>
          </a:graphic>
        </wp:anchor>
      </w:drawing>
    </w:r>
    <w:r>
      <w:rPr>
        <w:noProof/>
      </w:rPr>
      <w:drawing>
        <wp:anchor distT="0" distB="0" distL="0" distR="0" simplePos="0" relativeHeight="251662336" behindDoc="1" locked="0" layoutInCell="1" hidden="0" allowOverlap="1" wp14:anchorId="27DEA2E4" wp14:editId="231BDD78">
          <wp:simplePos x="0" y="0"/>
          <wp:positionH relativeFrom="column">
            <wp:posOffset>5100320</wp:posOffset>
          </wp:positionH>
          <wp:positionV relativeFrom="paragraph">
            <wp:posOffset>190500</wp:posOffset>
          </wp:positionV>
          <wp:extent cx="752475" cy="333375"/>
          <wp:effectExtent l="0" t="0" r="0" b="0"/>
          <wp:wrapNone/>
          <wp:docPr id="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4"/>
                  <a:srcRect/>
                  <a:stretch>
                    <a:fillRect/>
                  </a:stretch>
                </pic:blipFill>
                <pic:spPr>
                  <a:xfrm>
                    <a:off x="0" y="0"/>
                    <a:ext cx="752475" cy="333375"/>
                  </a:xfrm>
                  <a:prstGeom prst="rect">
                    <a:avLst/>
                  </a:prstGeom>
                  <a:ln/>
                </pic:spPr>
              </pic:pic>
            </a:graphicData>
          </a:graphic>
        </wp:anchor>
      </w:drawing>
    </w:r>
    <w:r>
      <w:rPr>
        <w:noProof/>
      </w:rPr>
      <w:drawing>
        <wp:anchor distT="0" distB="0" distL="0" distR="0" simplePos="0" relativeHeight="251663360" behindDoc="1" locked="0" layoutInCell="1" hidden="0" allowOverlap="1" wp14:anchorId="7F0C19DC" wp14:editId="0E4901E3">
          <wp:simplePos x="0" y="0"/>
          <wp:positionH relativeFrom="column">
            <wp:posOffset>2738119</wp:posOffset>
          </wp:positionH>
          <wp:positionV relativeFrom="paragraph">
            <wp:posOffset>0</wp:posOffset>
          </wp:positionV>
          <wp:extent cx="419100" cy="23812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419100" cy="238125"/>
                  </a:xfrm>
                  <a:prstGeom prst="rect">
                    <a:avLst/>
                  </a:prstGeom>
                  <a:ln/>
                </pic:spPr>
              </pic:pic>
            </a:graphicData>
          </a:graphic>
        </wp:anchor>
      </w:drawing>
    </w:r>
    <w:r>
      <w:rPr>
        <w:noProof/>
      </w:rPr>
      <w:drawing>
        <wp:anchor distT="0" distB="0" distL="0" distR="0" simplePos="0" relativeHeight="251664384" behindDoc="1" locked="0" layoutInCell="1" hidden="0" allowOverlap="1" wp14:anchorId="21DA29C6" wp14:editId="49814F45">
          <wp:simplePos x="0" y="0"/>
          <wp:positionH relativeFrom="column">
            <wp:posOffset>90169</wp:posOffset>
          </wp:positionH>
          <wp:positionV relativeFrom="paragraph">
            <wp:posOffset>9525</wp:posOffset>
          </wp:positionV>
          <wp:extent cx="600075" cy="1905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00075"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27D" w14:textId="77777777" w:rsidR="00BF670C" w:rsidRDefault="00BF670C">
      <w:r>
        <w:separator/>
      </w:r>
    </w:p>
  </w:footnote>
  <w:footnote w:type="continuationSeparator" w:id="0">
    <w:p w14:paraId="086EEFE6" w14:textId="77777777" w:rsidR="00BF670C" w:rsidRDefault="00BF6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BF81" w14:textId="77777777" w:rsidR="00320743" w:rsidRDefault="00BF670C">
    <w:pPr>
      <w:pBdr>
        <w:top w:val="nil"/>
        <w:left w:val="nil"/>
        <w:bottom w:val="nil"/>
        <w:right w:val="nil"/>
        <w:between w:val="nil"/>
      </w:pBdr>
      <w:spacing w:line="14" w:lineRule="auto"/>
      <w:rPr>
        <w:color w:val="000000"/>
        <w:sz w:val="20"/>
        <w:szCs w:val="20"/>
      </w:rPr>
    </w:pPr>
    <w:r>
      <w:rPr>
        <w:noProof/>
        <w:color w:val="000000"/>
        <w:sz w:val="20"/>
        <w:szCs w:val="20"/>
      </w:rPr>
      <w:drawing>
        <wp:anchor distT="0" distB="0" distL="0" distR="0" simplePos="0" relativeHeight="251658240" behindDoc="1" locked="0" layoutInCell="1" hidden="0" allowOverlap="1" wp14:anchorId="1936BB1D" wp14:editId="63B51130">
          <wp:simplePos x="0" y="0"/>
          <wp:positionH relativeFrom="page">
            <wp:posOffset>2331247</wp:posOffset>
          </wp:positionH>
          <wp:positionV relativeFrom="page">
            <wp:posOffset>476250</wp:posOffset>
          </wp:positionV>
          <wp:extent cx="3186334" cy="160972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86334" cy="16097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A8B"/>
    <w:multiLevelType w:val="multilevel"/>
    <w:tmpl w:val="FFFFFFFF"/>
    <w:lvl w:ilvl="0">
      <w:start w:val="1"/>
      <w:numFmt w:val="decimal"/>
      <w:lvlText w:val="%1."/>
      <w:lvlJc w:val="left"/>
      <w:pPr>
        <w:ind w:left="382" w:hanging="238"/>
      </w:pPr>
      <w:rPr>
        <w:rFonts w:ascii="Times New Roman" w:eastAsia="Times New Roman" w:hAnsi="Times New Roman" w:cs="Times New Roman"/>
        <w:b/>
        <w:bCs/>
        <w:i w:val="0"/>
        <w:iCs w:val="0"/>
        <w:sz w:val="24"/>
        <w:szCs w:val="24"/>
      </w:rPr>
    </w:lvl>
    <w:lvl w:ilvl="1">
      <w:start w:val="2"/>
      <w:numFmt w:val="decimal"/>
      <w:lvlText w:val="%1.%2."/>
      <w:lvlJc w:val="left"/>
      <w:pPr>
        <w:ind w:left="562" w:hanging="420"/>
      </w:pPr>
      <w:rPr>
        <w:rFonts w:ascii="Times New Roman" w:eastAsia="Times New Roman" w:hAnsi="Times New Roman" w:cs="Times New Roman"/>
        <w:b/>
        <w:bCs/>
        <w:i w:val="0"/>
        <w:iCs w:val="0"/>
        <w:sz w:val="24"/>
        <w:szCs w:val="24"/>
      </w:rPr>
    </w:lvl>
    <w:lvl w:ilvl="2">
      <w:numFmt w:val="bullet"/>
      <w:lvlText w:val="•"/>
      <w:lvlJc w:val="left"/>
      <w:pPr>
        <w:ind w:left="1523" w:hanging="420"/>
      </w:pPr>
    </w:lvl>
    <w:lvl w:ilvl="3">
      <w:numFmt w:val="bullet"/>
      <w:lvlText w:val="•"/>
      <w:lvlJc w:val="left"/>
      <w:pPr>
        <w:ind w:left="2486" w:hanging="420"/>
      </w:pPr>
    </w:lvl>
    <w:lvl w:ilvl="4">
      <w:numFmt w:val="bullet"/>
      <w:lvlText w:val="•"/>
      <w:lvlJc w:val="left"/>
      <w:pPr>
        <w:ind w:left="3449" w:hanging="420"/>
      </w:pPr>
    </w:lvl>
    <w:lvl w:ilvl="5">
      <w:numFmt w:val="bullet"/>
      <w:lvlText w:val="•"/>
      <w:lvlJc w:val="left"/>
      <w:pPr>
        <w:ind w:left="4412" w:hanging="420"/>
      </w:pPr>
    </w:lvl>
    <w:lvl w:ilvl="6">
      <w:numFmt w:val="bullet"/>
      <w:lvlText w:val="•"/>
      <w:lvlJc w:val="left"/>
      <w:pPr>
        <w:ind w:left="5375" w:hanging="420"/>
      </w:pPr>
    </w:lvl>
    <w:lvl w:ilvl="7">
      <w:numFmt w:val="bullet"/>
      <w:lvlText w:val="•"/>
      <w:lvlJc w:val="left"/>
      <w:pPr>
        <w:ind w:left="6338" w:hanging="420"/>
      </w:pPr>
    </w:lvl>
    <w:lvl w:ilvl="8">
      <w:numFmt w:val="bullet"/>
      <w:lvlText w:val="•"/>
      <w:lvlJc w:val="left"/>
      <w:pPr>
        <w:ind w:left="7301" w:hanging="420"/>
      </w:pPr>
    </w:lvl>
  </w:abstractNum>
  <w:num w:numId="1" w16cid:durableId="205685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43"/>
    <w:rsid w:val="001A04D1"/>
    <w:rsid w:val="00320743"/>
    <w:rsid w:val="00B33E6D"/>
    <w:rsid w:val="00BF670C"/>
    <w:rsid w:val="00C0040D"/>
    <w:rsid w:val="00D365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77D079B"/>
  <w15:docId w15:val="{857D2896-C1FC-5A4C-8B33-EC72959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382" w:hanging="240"/>
      <w:outlineLvl w:val="0"/>
    </w:pPr>
    <w:rPr>
      <w:b/>
      <w:bCs/>
      <w:sz w:val="24"/>
      <w:szCs w:val="24"/>
    </w:rPr>
  </w:style>
  <w:style w:type="paragraph" w:styleId="Ttulo2">
    <w:name w:val="heading 2"/>
    <w:basedOn w:val="Normal"/>
    <w:next w:val="Normal"/>
    <w:uiPriority w:val="9"/>
    <w:unhideWhenUsed/>
    <w:qFormat/>
    <w:pPr>
      <w:ind w:left="562" w:hanging="420"/>
      <w:outlineLvl w:val="1"/>
    </w:pPr>
    <w:rPr>
      <w:b/>
      <w:bCs/>
      <w:sz w:val="24"/>
      <w:szCs w:val="24"/>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sz w:val="24"/>
      <w:szCs w:val="24"/>
    </w:rPr>
  </w:style>
  <w:style w:type="paragraph" w:styleId="Ttulo5">
    <w:name w:val="heading 5"/>
    <w:basedOn w:val="Normal"/>
    <w:next w:val="Normal"/>
    <w:uiPriority w:val="9"/>
    <w:semiHidden/>
    <w:unhideWhenUsed/>
    <w:qFormat/>
    <w:pPr>
      <w:keepNext/>
      <w:keepLines/>
      <w:spacing w:before="220" w:after="40"/>
      <w:outlineLvl w:val="4"/>
    </w:pPr>
    <w:rPr>
      <w:b/>
      <w:bCs/>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ao%2Csantos@uemasul.edu.br" TargetMode="External"/><Relationship Id="rId13" Type="http://schemas.openxmlformats.org/officeDocument/2006/relationships/hyperlink" Target="https://imperatriz.ma.gov.br/noticias/meio-ambiente/prefeitura-destaca-importancia-do-parque-natural-municipal-de-protecao-integral-arara-azul.html" TargetMode="External"/><Relationship Id="rId3" Type="http://schemas.openxmlformats.org/officeDocument/2006/relationships/settings" Target="settings.xml"/><Relationship Id="rId7" Type="http://schemas.openxmlformats.org/officeDocument/2006/relationships/hyperlink" Target="mailto:joao%2Csantos@uemasul.edu.br" TargetMode="External"/><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ao%2Csantos@uemasul.edu.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3038</Words>
  <Characters>16407</Characters>
  <Application>Microsoft Office Word</Application>
  <DocSecurity>0</DocSecurity>
  <Lines>136</Lines>
  <Paragraphs>38</Paragraphs>
  <ScaleCrop>false</ScaleCrop>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João Bruno</cp:lastModifiedBy>
  <cp:revision>2</cp:revision>
  <dcterms:created xsi:type="dcterms:W3CDTF">2025-12-03T02:02:00Z</dcterms:created>
  <dcterms:modified xsi:type="dcterms:W3CDTF">2025-12-03T02:02:00Z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2025-11-29T00:00:00Z</vt:lpwstr>
  </property>
  <property fmtid="{D5CDD505-2E9C-101B-9397-08002B2CF9AE}" pid="3" name="Producer">
    <vt:lpwstr>Skia/PDF m144 Google Docs Renderer</vt:lpwstr>
  </property>
  <property fmtid="{D5CDD505-2E9C-101B-9397-08002B2CF9AE}" pid="4" name="LastSaved">
    <vt:lpwstr>2025-11-29T00:00:00Z</vt:lpwstr>
  </property>
</Properties>
</file>