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1B" w:rsidRPr="007256D5" w:rsidRDefault="00395732" w:rsidP="006D641B">
      <w:pPr>
        <w:spacing w:line="360" w:lineRule="auto"/>
        <w:jc w:val="center"/>
        <w:rPr>
          <w:rFonts w:eastAsia="Calibri" w:cs="Times New Roman"/>
          <w:b/>
        </w:rPr>
      </w:pPr>
      <w:r w:rsidRPr="006C4835">
        <w:rPr>
          <w:rFonts w:cs="Times New Roman"/>
          <w:noProof/>
          <w:color w:val="000000" w:themeColor="text1"/>
        </w:rPr>
        <w:drawing>
          <wp:anchor distT="0" distB="0" distL="114300" distR="114300" simplePos="0" relativeHeight="251660288" behindDoc="0" locked="0" layoutInCell="1" allowOverlap="1">
            <wp:simplePos x="0" y="0"/>
            <wp:positionH relativeFrom="margin">
              <wp:posOffset>501015</wp:posOffset>
            </wp:positionH>
            <wp:positionV relativeFrom="margin">
              <wp:posOffset>-746760</wp:posOffset>
            </wp:positionV>
            <wp:extent cx="438150" cy="533400"/>
            <wp:effectExtent l="0" t="0" r="0" b="0"/>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8150" cy="533400"/>
                    </a:xfrm>
                    <a:prstGeom prst="rect">
                      <a:avLst/>
                    </a:prstGeom>
                  </pic:spPr>
                </pic:pic>
              </a:graphicData>
            </a:graphic>
          </wp:anchor>
        </w:drawing>
      </w:r>
      <w:r w:rsidRPr="006C4835">
        <w:rPr>
          <w:rFonts w:cs="Times New Roman"/>
          <w:noProof/>
          <w:color w:val="000000" w:themeColor="text1"/>
        </w:rPr>
        <w:drawing>
          <wp:anchor distT="0" distB="0" distL="114300" distR="114300" simplePos="0" relativeHeight="251656192" behindDoc="0" locked="0" layoutInCell="1" allowOverlap="1">
            <wp:simplePos x="0" y="0"/>
            <wp:positionH relativeFrom="margin">
              <wp:posOffset>4968240</wp:posOffset>
            </wp:positionH>
            <wp:positionV relativeFrom="margin">
              <wp:posOffset>-748030</wp:posOffset>
            </wp:positionV>
            <wp:extent cx="363855" cy="466725"/>
            <wp:effectExtent l="0" t="0" r="0" b="9525"/>
            <wp:wrapSquare wrapText="bothSides"/>
            <wp:docPr id="3" name="Imagem 3" descr="C:\Users\Débora\Desktop\UFRPE 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ébora\Desktop\UFRPE simbol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25748"/>
                    <a:stretch>
                      <a:fillRect/>
                    </a:stretch>
                  </pic:blipFill>
                  <pic:spPr bwMode="auto">
                    <a:xfrm>
                      <a:off x="0" y="0"/>
                      <a:ext cx="363855" cy="466725"/>
                    </a:xfrm>
                    <a:prstGeom prst="rect">
                      <a:avLst/>
                    </a:prstGeom>
                    <a:noFill/>
                    <a:ln>
                      <a:noFill/>
                    </a:ln>
                  </pic:spPr>
                </pic:pic>
              </a:graphicData>
            </a:graphic>
          </wp:anchor>
        </w:drawing>
      </w:r>
      <w:r w:rsidR="00DF2E73" w:rsidRPr="00DF2E73">
        <w:rPr>
          <w:rFonts w:eastAsia="Calibri" w:cs="Times New Roman"/>
          <w:b/>
          <w:noProof/>
          <w:color w:val="000000" w:themeColor="text1"/>
        </w:rPr>
        <w:pict>
          <v:line id="Conector reto 1" o:spid="_x0000_s1026" style="position:absolute;left:0;text-align:left;z-index:251658240;visibility:visible;mso-position-horizontal-relative:text;mso-position-vertical-relative:text" from="34.55pt,-11.15pt" to="42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xotwEAAL4DAAAOAAAAZHJzL2Uyb0RvYy54bWysU02P0zAQvSPxHyzfadJqQSVquoeu4IKg&#10;AvYHeJ1xY8n2WGPTtP+esdtmESCthLg4/pj3Zt6byeb+5J04AiWLoZfLRSsFBI2DDYdePn7/8GYt&#10;RcoqDMphgF6eIcn77etXmyl2sMIR3QAkmCSkboq9HHOOXdMkPYJXaYERAj8aJK8yH+nQDKQmZveu&#10;WbXtu2ZCGiKhhpT49uHyKLeV3xjQ+YsxCbJwveTacl2prk9lbbYb1R1IxdHqaxnqH6rwygZOOlM9&#10;qKzED7J/UHmrCROavNDoGzTGaqgaWM2y/U3Nt1FFqFrYnBRnm9L/o9Wfj3sSduDeSRGU5xbtuFE6&#10;IwmCjGJZLJpi6jhyF/Z0PaW4p6L3ZMiXLysRp2rrebYVTllovrxbv1+37Z0U+vbWPAMjpfwR0Iuy&#10;6aWzoShWnTp+SpmTcegthA+lkEvqustnByXYha9gWAUnW1V0nR/YORJHxZ1XWkPIb4sU5qvRBWas&#10;czOwfRl4jS9QqLM1g5cvg2dEzYwhz2BvA9LfCPKpus8lm0v8zYGL7mLBEw7n2pRqDQ9JVXgd6DKF&#10;v54r/Pm32/4EAAD//wMAUEsDBBQABgAIAAAAIQBia1VA3QAAAAoBAAAPAAAAZHJzL2Rvd25yZXYu&#10;eG1sTI/BSsNAEIbvQt9hGaG3dtO0lhqzKUUQPKlN9T7NTpNgdjbsbtPUp3cFQY8z8/HP9+fb0XRi&#10;IOdbywoW8wQEcWV1y7WC98PTbAPCB2SNnWVScCUP22Jyk2Om7YX3NJShFjGEfYYKmhD6TEpfNWTQ&#10;z21PHG8n6wyGOLpaaoeXGG46mSbJWhpsOX5osKfHhqrP8mwUIL1V7mBP1+c7uy9fvBs+vl4Hpaa3&#10;4+4BRKAx/MHwox/VoYhOR3tm7UWnYH2/iKSCWZouQURgs0pWII6/G1nk8n+F4hsAAP//AwBQSwEC&#10;LQAUAAYACAAAACEAtoM4kv4AAADhAQAAEwAAAAAAAAAAAAAAAAAAAAAAW0NvbnRlbnRfVHlwZXNd&#10;LnhtbFBLAQItABQABgAIAAAAIQA4/SH/1gAAAJQBAAALAAAAAAAAAAAAAAAAAC8BAABfcmVscy8u&#10;cmVsc1BLAQItABQABgAIAAAAIQDCWGxotwEAAL4DAAAOAAAAAAAAAAAAAAAAAC4CAABkcnMvZTJv&#10;RG9jLnhtbFBLAQItABQABgAIAAAAIQBia1VA3QAAAAoBAAAPAAAAAAAAAAAAAAAAABEEAABkcnMv&#10;ZG93bnJldi54bWxQSwUGAAAAAAQABADzAAAAGwUAAAAA&#10;" strokecolor="#4bacc6 [3208]" strokeweight="2pt">
            <v:shadow on="t" color="black" opacity="24903f" origin=",.5" offset="0,.55556mm"/>
          </v:line>
        </w:pict>
      </w:r>
      <w:r w:rsidR="006C4835" w:rsidRPr="006C4835">
        <w:rPr>
          <w:rFonts w:eastAsia="Calibri" w:cs="Times New Roman"/>
          <w:b/>
          <w:bCs/>
          <w:color w:val="000000" w:themeColor="text1"/>
        </w:rPr>
        <w:t xml:space="preserve">PESO DAS </w:t>
      </w:r>
      <w:r w:rsidR="00150D98" w:rsidRPr="006C4835">
        <w:rPr>
          <w:rFonts w:eastAsia="Calibri" w:cs="Times New Roman"/>
          <w:b/>
          <w:bCs/>
          <w:color w:val="000000" w:themeColor="text1"/>
        </w:rPr>
        <w:t xml:space="preserve">VÍSCERAS E DEPÓSITOS DE GORDURA </w:t>
      </w:r>
      <w:r w:rsidR="006D641B" w:rsidRPr="006C4835">
        <w:rPr>
          <w:rFonts w:eastAsia="Calibri" w:cs="Times New Roman"/>
          <w:b/>
          <w:bCs/>
          <w:color w:val="000000" w:themeColor="text1"/>
        </w:rPr>
        <w:t xml:space="preserve">DE </w:t>
      </w:r>
      <w:r w:rsidR="006D641B" w:rsidRPr="007256D5">
        <w:rPr>
          <w:rFonts w:eastAsia="Calibri" w:cs="Times New Roman"/>
          <w:b/>
          <w:bCs/>
        </w:rPr>
        <w:t>CAPRINOS ALIMENTADOS COM PALMA FORRAGEIRA RESISTENTE À COCHONILHA DO CARMIM</w:t>
      </w:r>
    </w:p>
    <w:p w:rsidR="006D641B" w:rsidRPr="007256D5" w:rsidRDefault="006D641B" w:rsidP="006D641B">
      <w:pPr>
        <w:jc w:val="center"/>
        <w:rPr>
          <w:rFonts w:eastAsia="Calibri" w:cs="Times New Roman"/>
          <w:b/>
        </w:rPr>
      </w:pPr>
    </w:p>
    <w:p w:rsidR="00955AF0" w:rsidRPr="007256D5" w:rsidRDefault="00F20682" w:rsidP="00F20682">
      <w:pPr>
        <w:jc w:val="center"/>
        <w:rPr>
          <w:rFonts w:eastAsia="Calibri" w:cs="Times New Roman"/>
          <w:b/>
        </w:rPr>
      </w:pPr>
      <w:r w:rsidRPr="007256D5">
        <w:rPr>
          <w:rFonts w:cs="Times New Roman"/>
        </w:rPr>
        <w:t xml:space="preserve">Izadora Emanuelle Oliveira da Silva </w:t>
      </w:r>
      <w:r w:rsidRPr="007256D5">
        <w:rPr>
          <w:rFonts w:cs="Times New Roman"/>
          <w:vertAlign w:val="superscript"/>
        </w:rPr>
        <w:t>1</w:t>
      </w:r>
      <w:r>
        <w:rPr>
          <w:rFonts w:cs="Times New Roman"/>
        </w:rPr>
        <w:t>,</w:t>
      </w:r>
      <w:r w:rsidR="006D641B" w:rsidRPr="007256D5">
        <w:rPr>
          <w:rFonts w:cs="Times New Roman"/>
        </w:rPr>
        <w:t xml:space="preserve">Joana Albino Munhame </w:t>
      </w:r>
      <w:r w:rsidR="006D641B" w:rsidRPr="007256D5">
        <w:rPr>
          <w:rFonts w:cs="Times New Roman"/>
          <w:vertAlign w:val="superscript"/>
        </w:rPr>
        <w:t>1</w:t>
      </w:r>
      <w:r w:rsidR="006D641B" w:rsidRPr="007256D5">
        <w:rPr>
          <w:rFonts w:cs="Times New Roman"/>
        </w:rPr>
        <w:t xml:space="preserve">, Francisco Fernando Ramos de Carvalho </w:t>
      </w:r>
      <w:r w:rsidR="006D641B" w:rsidRPr="007256D5">
        <w:rPr>
          <w:rFonts w:cs="Times New Roman"/>
          <w:vertAlign w:val="superscript"/>
        </w:rPr>
        <w:t>1</w:t>
      </w:r>
      <w:r w:rsidR="006D641B" w:rsidRPr="007256D5">
        <w:rPr>
          <w:rFonts w:cs="Times New Roman"/>
        </w:rPr>
        <w:t xml:space="preserve">, </w:t>
      </w:r>
      <w:r w:rsidR="000B2500" w:rsidRPr="00AC1421">
        <w:rPr>
          <w:rFonts w:cs="Times New Roman"/>
        </w:rPr>
        <w:t>Érica Carla Lopes da Silva</w:t>
      </w:r>
      <w:bookmarkStart w:id="0" w:name="_GoBack"/>
      <w:bookmarkEnd w:id="0"/>
      <w:r w:rsidR="006D641B" w:rsidRPr="007256D5">
        <w:rPr>
          <w:rFonts w:cs="Times New Roman"/>
          <w:vertAlign w:val="superscript"/>
        </w:rPr>
        <w:t>1</w:t>
      </w:r>
      <w:r w:rsidR="006D641B" w:rsidRPr="007256D5">
        <w:rPr>
          <w:rFonts w:cs="Times New Roman"/>
        </w:rPr>
        <w:t xml:space="preserve">, Levi Auto Lopes </w:t>
      </w:r>
      <w:r w:rsidR="006D641B" w:rsidRPr="007256D5">
        <w:rPr>
          <w:rFonts w:cs="Times New Roman"/>
          <w:vertAlign w:val="superscript"/>
        </w:rPr>
        <w:t>1</w:t>
      </w:r>
      <w:r w:rsidR="006D641B" w:rsidRPr="007256D5">
        <w:rPr>
          <w:rFonts w:cs="Times New Roman"/>
        </w:rPr>
        <w:t xml:space="preserve">, Rodrigo de Andrade Barbosa </w:t>
      </w:r>
      <w:r w:rsidR="006D641B" w:rsidRPr="007256D5">
        <w:rPr>
          <w:rFonts w:cs="Times New Roman"/>
          <w:vertAlign w:val="superscript"/>
        </w:rPr>
        <w:t>1</w:t>
      </w:r>
      <w:r w:rsidR="006D641B" w:rsidRPr="007256D5">
        <w:rPr>
          <w:rFonts w:cs="Times New Roman"/>
        </w:rPr>
        <w:t xml:space="preserve">, Daniel Barros Cardoso </w:t>
      </w:r>
      <w:r w:rsidR="006D641B" w:rsidRPr="007256D5">
        <w:rPr>
          <w:rFonts w:cs="Times New Roman"/>
          <w:vertAlign w:val="superscript"/>
        </w:rPr>
        <w:t>1</w:t>
      </w:r>
      <w:r w:rsidR="006D641B" w:rsidRPr="007256D5">
        <w:rPr>
          <w:rFonts w:cs="Times New Roman"/>
        </w:rPr>
        <w:t>,</w:t>
      </w:r>
      <w:r w:rsidR="00D64B29" w:rsidRPr="007256D5">
        <w:rPr>
          <w:rFonts w:cs="Times New Roman"/>
        </w:rPr>
        <w:t xml:space="preserve"> Tomás Guilherme Pereira da Silva </w:t>
      </w:r>
      <w:r w:rsidR="00D64B29" w:rsidRPr="007256D5">
        <w:rPr>
          <w:rFonts w:cs="Times New Roman"/>
          <w:vertAlign w:val="superscript"/>
        </w:rPr>
        <w:t>1</w:t>
      </w:r>
    </w:p>
    <w:p w:rsidR="006D641B" w:rsidRPr="007256D5" w:rsidRDefault="006D641B" w:rsidP="00037C73">
      <w:pPr>
        <w:jc w:val="both"/>
        <w:rPr>
          <w:rFonts w:eastAsia="Calibri" w:cs="Times New Roman"/>
        </w:rPr>
      </w:pPr>
    </w:p>
    <w:p w:rsidR="006D641B" w:rsidRPr="007256D5" w:rsidRDefault="006D641B" w:rsidP="006D641B">
      <w:pPr>
        <w:rPr>
          <w:rFonts w:cs="Times New Roman"/>
        </w:rPr>
      </w:pPr>
      <w:r w:rsidRPr="007256D5">
        <w:rPr>
          <w:rFonts w:cs="Times New Roman"/>
          <w:vertAlign w:val="superscript"/>
        </w:rPr>
        <w:t>1</w:t>
      </w:r>
      <w:r w:rsidRPr="007256D5">
        <w:rPr>
          <w:rFonts w:cs="Times New Roman"/>
        </w:rPr>
        <w:t>Universidade Federal Rural de Pernambuco - Recife, PE.</w:t>
      </w:r>
    </w:p>
    <w:p w:rsidR="00037C73" w:rsidRPr="007256D5" w:rsidRDefault="00037C73" w:rsidP="00037C73">
      <w:pPr>
        <w:jc w:val="both"/>
        <w:rPr>
          <w:rFonts w:eastAsia="Calibri" w:cs="Times New Roman"/>
        </w:rPr>
      </w:pPr>
    </w:p>
    <w:p w:rsidR="00037C73" w:rsidRPr="007256D5" w:rsidRDefault="00037C73" w:rsidP="00037C73">
      <w:pPr>
        <w:rPr>
          <w:rFonts w:eastAsia="Calibri" w:cs="Times New Roman"/>
        </w:rPr>
      </w:pPr>
    </w:p>
    <w:p w:rsidR="000C7979" w:rsidRPr="00D4470E" w:rsidRDefault="00037C73" w:rsidP="000C7979">
      <w:pPr>
        <w:jc w:val="both"/>
        <w:rPr>
          <w:rFonts w:eastAsia="TimesNewRoman" w:cs="Times New Roman"/>
          <w:color w:val="FF0000"/>
        </w:rPr>
      </w:pPr>
      <w:r w:rsidRPr="007256D5">
        <w:rPr>
          <w:rFonts w:eastAsia="Calibri" w:cs="Times New Roman"/>
          <w:b/>
        </w:rPr>
        <w:t>RESUMO</w:t>
      </w:r>
      <w:r w:rsidR="00373BBC" w:rsidRPr="007256D5">
        <w:rPr>
          <w:rFonts w:cs="Times New Roman"/>
          <w:b/>
        </w:rPr>
        <w:t>:</w:t>
      </w:r>
      <w:r w:rsidR="000C7979" w:rsidRPr="007256D5">
        <w:rPr>
          <w:rFonts w:cs="Times New Roman"/>
          <w:color w:val="000000" w:themeColor="text1"/>
        </w:rPr>
        <w:t xml:space="preserve">Objetivou-se avaliar o peso das vísceras </w:t>
      </w:r>
      <w:r w:rsidR="00D4470E" w:rsidRPr="00D4470E">
        <w:rPr>
          <w:rFonts w:cs="Times New Roman"/>
          <w:color w:val="000000" w:themeColor="text1"/>
        </w:rPr>
        <w:t xml:space="preserve">e depósitos de gordura </w:t>
      </w:r>
      <w:r w:rsidR="000C7979" w:rsidRPr="007256D5">
        <w:rPr>
          <w:rFonts w:cs="Times New Roman"/>
          <w:color w:val="000000" w:themeColor="text1"/>
        </w:rPr>
        <w:t xml:space="preserve">de caprinos alimentados com genótipos de palma forrageira resistentes à cochonilha do carmim. </w:t>
      </w:r>
      <w:r w:rsidR="000C7979" w:rsidRPr="007256D5">
        <w:rPr>
          <w:rFonts w:cs="Times New Roman"/>
        </w:rPr>
        <w:t>Fora</w:t>
      </w:r>
      <w:r w:rsidR="00D4470E">
        <w:rPr>
          <w:rFonts w:cs="Times New Roman"/>
        </w:rPr>
        <w:t xml:space="preserve">m utilizados 30 caprinos machos, </w:t>
      </w:r>
      <w:r w:rsidR="000C7979" w:rsidRPr="007256D5">
        <w:rPr>
          <w:rFonts w:cs="Times New Roman"/>
        </w:rPr>
        <w:t xml:space="preserve">com peso inicial de 19kg. O experimento foi conduzido em delineamento inteiramente casualizado com 3 tratamentos: 1) Controle, 2) palma Miúda e 3) palma Orelha de Elefante Mexicana - OEM. Após 70 dias de experimento, os animais foram abatidos e </w:t>
      </w:r>
      <w:r w:rsidR="000C7979" w:rsidRPr="007256D5">
        <w:rPr>
          <w:rFonts w:cs="Times New Roman"/>
          <w:bCs/>
          <w:color w:val="000000" w:themeColor="text1"/>
        </w:rPr>
        <w:t>as ví</w:t>
      </w:r>
      <w:r w:rsidR="00D4470E">
        <w:rPr>
          <w:rFonts w:cs="Times New Roman"/>
          <w:bCs/>
          <w:color w:val="000000" w:themeColor="text1"/>
        </w:rPr>
        <w:t xml:space="preserve">sceras </w:t>
      </w:r>
      <w:r w:rsidR="00D4470E">
        <w:rPr>
          <w:rFonts w:eastAsia="TimesNewRoman" w:cs="Times New Roman"/>
          <w:color w:val="000000" w:themeColor="text1"/>
        </w:rPr>
        <w:t>e</w:t>
      </w:r>
      <w:r w:rsidR="00D4470E" w:rsidRPr="00D4470E">
        <w:rPr>
          <w:rFonts w:eastAsia="TimesNewRoman" w:cs="Times New Roman"/>
          <w:bCs/>
          <w:color w:val="000000" w:themeColor="text1"/>
        </w:rPr>
        <w:t xml:space="preserve"> depósitos de gordura</w:t>
      </w:r>
      <w:r w:rsidR="000C7979" w:rsidRPr="007256D5">
        <w:rPr>
          <w:rFonts w:cs="Times New Roman"/>
          <w:bCs/>
          <w:color w:val="000000" w:themeColor="text1"/>
        </w:rPr>
        <w:t>foram coletados e registrado o peso individualmente.</w:t>
      </w:r>
      <w:r w:rsidR="000C7979" w:rsidRPr="007256D5">
        <w:rPr>
          <w:rFonts w:eastAsia="TimesNewRoman" w:cs="Times New Roman"/>
        </w:rPr>
        <w:t>Não houve diferenças significativas (</w:t>
      </w:r>
      <w:r w:rsidR="000C7979" w:rsidRPr="007256D5">
        <w:rPr>
          <w:rFonts w:eastAsia="TimesNewRoman" w:cs="Times New Roman"/>
          <w:i/>
        </w:rPr>
        <w:t>P</w:t>
      </w:r>
      <w:r w:rsidR="000C7979" w:rsidRPr="007256D5">
        <w:rPr>
          <w:rFonts w:eastAsia="TimesNewRoman" w:cs="Times New Roman"/>
        </w:rPr>
        <w:t xml:space="preserve">&gt;0,05) no </w:t>
      </w:r>
      <w:r w:rsidR="0017218F">
        <w:rPr>
          <w:rFonts w:eastAsia="TimesNewRoman" w:cs="Times New Roman"/>
        </w:rPr>
        <w:t xml:space="preserve">peso </w:t>
      </w:r>
      <w:r w:rsidR="00D4470E">
        <w:rPr>
          <w:rFonts w:eastAsia="TimesNewRoman" w:cs="Times New Roman"/>
        </w:rPr>
        <w:t>de</w:t>
      </w:r>
      <w:r w:rsidR="000C7979" w:rsidRPr="007256D5">
        <w:rPr>
          <w:rFonts w:eastAsia="TimesNewRoman" w:cs="Times New Roman"/>
        </w:rPr>
        <w:t xml:space="preserve">vísceras observados entre os tratamentos, com médias de 44; 507; 105; 80;136; 474 e 247g para </w:t>
      </w:r>
      <w:r w:rsidR="0017218F">
        <w:rPr>
          <w:rFonts w:eastAsia="TimesNewRoman" w:cs="Times New Roman"/>
        </w:rPr>
        <w:t xml:space="preserve">o </w:t>
      </w:r>
      <w:r w:rsidR="000C7979" w:rsidRPr="007256D5">
        <w:rPr>
          <w:rFonts w:eastAsia="TimesNewRoman" w:cs="Times New Roman"/>
        </w:rPr>
        <w:t>esôfago; rúmen; retículo; omaso; abomaso; intestino delgado e intestino grosso, respectivamente</w:t>
      </w:r>
      <w:r w:rsidR="000C7979" w:rsidRPr="00D4470E">
        <w:rPr>
          <w:rFonts w:eastAsia="TimesNewRoman" w:cs="Times New Roman"/>
          <w:color w:val="000000" w:themeColor="text1"/>
        </w:rPr>
        <w:t xml:space="preserve">. </w:t>
      </w:r>
      <w:r w:rsidR="00152121" w:rsidRPr="00D4470E">
        <w:rPr>
          <w:rFonts w:eastAsia="TimesNewRoman" w:cs="Times New Roman"/>
          <w:color w:val="000000" w:themeColor="text1"/>
        </w:rPr>
        <w:t xml:space="preserve">A maior deposição de gordura interna </w:t>
      </w:r>
      <w:r w:rsidR="00D4470E" w:rsidRPr="00D4470E">
        <w:rPr>
          <w:rFonts w:eastAsia="TimesNewRoman" w:cs="Times New Roman"/>
          <w:color w:val="000000" w:themeColor="text1"/>
        </w:rPr>
        <w:t>ocorreu no tratamento</w:t>
      </w:r>
      <w:r w:rsidR="00152121" w:rsidRPr="00D4470E">
        <w:rPr>
          <w:rFonts w:eastAsia="TimesNewRoman" w:cs="Times New Roman"/>
          <w:color w:val="000000" w:themeColor="text1"/>
        </w:rPr>
        <w:t xml:space="preserve"> OEM. </w:t>
      </w:r>
      <w:r w:rsidR="000C7979" w:rsidRPr="007256D5">
        <w:rPr>
          <w:rFonts w:cs="Times New Roman"/>
        </w:rPr>
        <w:t>A utilização de palma resistente</w:t>
      </w:r>
      <w:r w:rsidR="00816376" w:rsidRPr="007256D5">
        <w:rPr>
          <w:rFonts w:cs="Times New Roman"/>
        </w:rPr>
        <w:t xml:space="preserve"> à cochonilha do carmim </w:t>
      </w:r>
      <w:r w:rsidR="000C7979" w:rsidRPr="007256D5">
        <w:rPr>
          <w:rFonts w:cs="Times New Roman"/>
        </w:rPr>
        <w:t>na dieta para caprinos não influencia</w:t>
      </w:r>
      <w:r w:rsidR="006C4835">
        <w:rPr>
          <w:rFonts w:cs="Times New Roman"/>
        </w:rPr>
        <w:t xml:space="preserve"> o peso das </w:t>
      </w:r>
      <w:r w:rsidR="000C7979" w:rsidRPr="007256D5">
        <w:rPr>
          <w:rFonts w:cs="Times New Roman"/>
        </w:rPr>
        <w:t>vísceras.</w:t>
      </w:r>
    </w:p>
    <w:p w:rsidR="00152121" w:rsidRDefault="00152121" w:rsidP="000C7979">
      <w:pPr>
        <w:jc w:val="both"/>
        <w:rPr>
          <w:rFonts w:cs="Times New Roman"/>
        </w:rPr>
      </w:pPr>
    </w:p>
    <w:p w:rsidR="00425F3C" w:rsidRPr="007256D5" w:rsidRDefault="00425F3C" w:rsidP="00425F3C">
      <w:pPr>
        <w:jc w:val="both"/>
        <w:rPr>
          <w:rFonts w:eastAsia="Calibri" w:cs="Times New Roman"/>
        </w:rPr>
      </w:pPr>
      <w:r w:rsidRPr="007256D5">
        <w:rPr>
          <w:rFonts w:eastAsia="Calibri" w:cs="Times New Roman"/>
          <w:b/>
        </w:rPr>
        <w:t>p</w:t>
      </w:r>
      <w:r w:rsidRPr="007256D5">
        <w:rPr>
          <w:rFonts w:cs="Times New Roman"/>
          <w:b/>
        </w:rPr>
        <w:t xml:space="preserve">alavras-chave: </w:t>
      </w:r>
      <w:r w:rsidRPr="007256D5">
        <w:rPr>
          <w:rFonts w:eastAsia="Calibri" w:cs="Times New Roman"/>
        </w:rPr>
        <w:t>cactáceas, miúda, orelha de elefante mexicana, rúmen</w:t>
      </w:r>
    </w:p>
    <w:p w:rsidR="00373BBC" w:rsidRPr="007256D5" w:rsidRDefault="00373BBC" w:rsidP="000C7979">
      <w:pPr>
        <w:jc w:val="both"/>
        <w:rPr>
          <w:rFonts w:cs="Times New Roman"/>
        </w:rPr>
      </w:pPr>
    </w:p>
    <w:p w:rsidR="00D4470E" w:rsidRPr="00D4470E" w:rsidRDefault="00373BBC" w:rsidP="00D4470E">
      <w:pPr>
        <w:jc w:val="both"/>
        <w:rPr>
          <w:rFonts w:cs="Times New Roman"/>
          <w:lang w:val="en-US"/>
        </w:rPr>
      </w:pPr>
      <w:r w:rsidRPr="007256D5">
        <w:rPr>
          <w:rFonts w:cs="Times New Roman"/>
          <w:b/>
          <w:lang w:val="en-US"/>
        </w:rPr>
        <w:t xml:space="preserve">ABSTRACT: </w:t>
      </w:r>
      <w:r w:rsidR="00D4470E" w:rsidRPr="00D4470E">
        <w:rPr>
          <w:rFonts w:cs="Times New Roman"/>
          <w:lang w:val="en-US"/>
        </w:rPr>
        <w:t>The objective of this study was to evaluate the weight of viscera and fat deposits of goats fed with carmine cochineal-resistant spineless cactus genotypes. Thirty male goats were used, with initial weight of 19 kg. The experiment was conducted in a completely randomized design with 3 treatments: 1) Control, 2) Miúda and 3) Orelha de Elefante Mexicana - OEM. After 70 days of experiment, the animals were slaughtered and the viscera and fat deposits were collected and the weight recorded individually. There were no significant differences (P&gt; 0.05) in viscera weight observed between treatments, with averages of 44; 507; 105; 80; 136; 474 and 247g for the esophagus; rumen; reticulum; omaso; abomasum; small intestine and large intestine, respectively. The largest deposition of internal fat occurred in the OEM treatment. The use of carmine cochineal-resistant spineless cactus genotypes in the diet for goats does not influence the weight of the viscera.</w:t>
      </w:r>
    </w:p>
    <w:p w:rsidR="00037C73" w:rsidRPr="007256D5" w:rsidRDefault="00037C73" w:rsidP="00037C73">
      <w:pPr>
        <w:jc w:val="both"/>
        <w:rPr>
          <w:rFonts w:eastAsia="Calibri" w:cs="Times New Roman"/>
          <w:color w:val="000000"/>
          <w:lang w:val="en-US"/>
        </w:rPr>
      </w:pPr>
    </w:p>
    <w:p w:rsidR="00425F3C" w:rsidRPr="007256D5" w:rsidRDefault="00425F3C" w:rsidP="00037C73">
      <w:pPr>
        <w:jc w:val="both"/>
        <w:rPr>
          <w:rFonts w:eastAsia="Calibri" w:cs="Times New Roman"/>
        </w:rPr>
      </w:pPr>
      <w:r w:rsidRPr="007256D5">
        <w:rPr>
          <w:rFonts w:cs="Times New Roman"/>
          <w:b/>
        </w:rPr>
        <w:t xml:space="preserve">KEYWORDS: </w:t>
      </w:r>
      <w:r w:rsidRPr="007256D5">
        <w:rPr>
          <w:rFonts w:eastAsia="Calibri" w:cs="Times New Roman"/>
        </w:rPr>
        <w:t>cactus, Miúda, Orelha de Elefante Mexicana, rumen</w:t>
      </w:r>
    </w:p>
    <w:p w:rsidR="00037C73" w:rsidRPr="007256D5" w:rsidRDefault="00037C73" w:rsidP="00037C73">
      <w:pPr>
        <w:jc w:val="both"/>
        <w:rPr>
          <w:rFonts w:eastAsia="Calibri" w:cs="Times New Roman"/>
        </w:rPr>
      </w:pPr>
    </w:p>
    <w:p w:rsidR="000C7979" w:rsidRPr="007256D5" w:rsidRDefault="00037C73" w:rsidP="000C7979">
      <w:pPr>
        <w:jc w:val="both"/>
        <w:rPr>
          <w:rFonts w:eastAsia="Calibri" w:cs="Times New Roman"/>
        </w:rPr>
      </w:pPr>
      <w:r w:rsidRPr="007256D5">
        <w:rPr>
          <w:rFonts w:eastAsia="Calibri" w:cs="Times New Roman"/>
          <w:b/>
        </w:rPr>
        <w:t>Apoio</w:t>
      </w:r>
      <w:r w:rsidRPr="007256D5">
        <w:rPr>
          <w:rFonts w:eastAsia="Calibri" w:cs="Times New Roman"/>
        </w:rPr>
        <w:t xml:space="preserve">: </w:t>
      </w:r>
      <w:r w:rsidR="000C7979" w:rsidRPr="007256D5">
        <w:rPr>
          <w:rFonts w:eastAsia="Calibri" w:cs="Times New Roman"/>
          <w:bCs/>
        </w:rPr>
        <w:t>Fundação de Amparo à Ciência e Tecnologia de Pernambuco – FACEPE.</w:t>
      </w:r>
    </w:p>
    <w:p w:rsidR="00037C73" w:rsidRPr="007256D5" w:rsidRDefault="00037C73" w:rsidP="00037C73">
      <w:pPr>
        <w:jc w:val="both"/>
        <w:rPr>
          <w:rFonts w:cs="Times New Roman"/>
        </w:rPr>
      </w:pPr>
    </w:p>
    <w:p w:rsidR="00037C73" w:rsidRPr="007256D5" w:rsidRDefault="00037C73" w:rsidP="00037C73">
      <w:pPr>
        <w:jc w:val="both"/>
        <w:rPr>
          <w:rFonts w:cs="Times New Roman"/>
        </w:rPr>
      </w:pPr>
    </w:p>
    <w:p w:rsidR="00037C73" w:rsidRPr="007256D5" w:rsidRDefault="00037C73" w:rsidP="00037C73">
      <w:pPr>
        <w:jc w:val="center"/>
        <w:rPr>
          <w:rFonts w:cs="Times New Roman"/>
          <w:b/>
        </w:rPr>
      </w:pPr>
      <w:r w:rsidRPr="007256D5">
        <w:rPr>
          <w:rFonts w:cs="Times New Roman"/>
          <w:b/>
        </w:rPr>
        <w:t>INTRODUÇÃO</w:t>
      </w:r>
    </w:p>
    <w:p w:rsidR="001D3A4E" w:rsidRPr="007256D5" w:rsidRDefault="001D3A4E" w:rsidP="0007205B">
      <w:pPr>
        <w:jc w:val="both"/>
        <w:rPr>
          <w:rFonts w:cs="Times New Roman"/>
          <w:color w:val="FF0000"/>
        </w:rPr>
      </w:pPr>
    </w:p>
    <w:p w:rsidR="001D3A4E" w:rsidRPr="007256D5" w:rsidRDefault="001D3A4E" w:rsidP="0061309D">
      <w:pPr>
        <w:ind w:firstLine="708"/>
        <w:jc w:val="both"/>
        <w:rPr>
          <w:rFonts w:cs="Times New Roman"/>
          <w:color w:val="000000" w:themeColor="text1"/>
        </w:rPr>
      </w:pPr>
      <w:r w:rsidRPr="007256D5">
        <w:rPr>
          <w:rFonts w:cs="Times New Roman"/>
          <w:color w:val="000000" w:themeColor="text1"/>
        </w:rPr>
        <w:t xml:space="preserve">A palma forrageira </w:t>
      </w:r>
      <w:r w:rsidR="0061309D" w:rsidRPr="007256D5">
        <w:rPr>
          <w:rFonts w:cs="Times New Roman"/>
          <w:color w:val="000000" w:themeColor="text1"/>
        </w:rPr>
        <w:t xml:space="preserve">é uma forragem essencial para a pecuária nas </w:t>
      </w:r>
      <w:r w:rsidR="008272D6" w:rsidRPr="007256D5">
        <w:rPr>
          <w:rFonts w:cs="Times New Roman"/>
          <w:color w:val="000000" w:themeColor="text1"/>
        </w:rPr>
        <w:t>regiões semi</w:t>
      </w:r>
      <w:r w:rsidR="0061309D" w:rsidRPr="007256D5">
        <w:rPr>
          <w:rFonts w:cs="Times New Roman"/>
          <w:color w:val="000000" w:themeColor="text1"/>
        </w:rPr>
        <w:t>áridas brasileira (Silva et al., 2018). D</w:t>
      </w:r>
      <w:r w:rsidRPr="007256D5">
        <w:rPr>
          <w:rFonts w:cs="Times New Roman"/>
          <w:color w:val="000000" w:themeColor="text1"/>
        </w:rPr>
        <w:t xml:space="preserve">estaca-se </w:t>
      </w:r>
      <w:r w:rsidR="0061309D" w:rsidRPr="007256D5">
        <w:rPr>
          <w:rFonts w:cs="Times New Roman"/>
          <w:color w:val="000000" w:themeColor="text1"/>
        </w:rPr>
        <w:t>na região Nordeste</w:t>
      </w:r>
      <w:r w:rsidRPr="007256D5">
        <w:rPr>
          <w:rFonts w:cs="Times New Roman"/>
          <w:color w:val="000000" w:themeColor="text1"/>
        </w:rPr>
        <w:t xml:space="preserve"> como uma das principais forragens cultivadas para pecuária, devido suas características de tolerância ao estresse hídrico acentuado, desejável valor nutritivo, produtividade e disseminação. No entanto, a praga cochonilha do carmim (</w:t>
      </w:r>
      <w:r w:rsidRPr="007256D5">
        <w:rPr>
          <w:rFonts w:cs="Times New Roman"/>
          <w:i/>
          <w:color w:val="000000" w:themeColor="text1"/>
        </w:rPr>
        <w:t>Dactylopius opuntiae)</w:t>
      </w:r>
      <w:r w:rsidRPr="007256D5">
        <w:rPr>
          <w:rFonts w:cs="Times New Roman"/>
          <w:color w:val="000000" w:themeColor="text1"/>
        </w:rPr>
        <w:t xml:space="preserve">, tem sido fator limitante para </w:t>
      </w:r>
      <w:r w:rsidR="0061309D" w:rsidRPr="007256D5">
        <w:rPr>
          <w:rFonts w:cs="Times New Roman"/>
          <w:color w:val="000000" w:themeColor="text1"/>
        </w:rPr>
        <w:t>esta forragem</w:t>
      </w:r>
      <w:r w:rsidRPr="007256D5">
        <w:rPr>
          <w:rFonts w:cs="Times New Roman"/>
          <w:color w:val="000000" w:themeColor="text1"/>
        </w:rPr>
        <w:t>.</w:t>
      </w:r>
      <w:r w:rsidR="00C26089" w:rsidRPr="007256D5">
        <w:rPr>
          <w:rFonts w:cs="Times New Roman"/>
          <w:color w:val="000000" w:themeColor="text1"/>
        </w:rPr>
        <w:t xml:space="preserve"> Assim, foram desenvolvidos genótipos resistentes.Contudo, ainda é incipiente na literatura, os efeitos da </w:t>
      </w:r>
      <w:r w:rsidRPr="007256D5">
        <w:rPr>
          <w:rFonts w:cs="Times New Roman"/>
          <w:color w:val="000000" w:themeColor="text1"/>
        </w:rPr>
        <w:t>utilização de</w:t>
      </w:r>
      <w:r w:rsidR="0061309D" w:rsidRPr="007256D5">
        <w:rPr>
          <w:rFonts w:cs="Times New Roman"/>
          <w:color w:val="000000" w:themeColor="text1"/>
        </w:rPr>
        <w:t>stes</w:t>
      </w:r>
      <w:r w:rsidRPr="007256D5">
        <w:rPr>
          <w:rFonts w:cs="Times New Roman"/>
          <w:color w:val="000000" w:themeColor="text1"/>
        </w:rPr>
        <w:t xml:space="preserve"> genótipos </w:t>
      </w:r>
      <w:r w:rsidR="00C26089" w:rsidRPr="007256D5">
        <w:rPr>
          <w:rFonts w:cs="Times New Roman"/>
          <w:color w:val="000000" w:themeColor="text1"/>
        </w:rPr>
        <w:t>de palma forrageira na alimentação de caprinos em crescimento.</w:t>
      </w:r>
    </w:p>
    <w:p w:rsidR="00235116" w:rsidRPr="00235116" w:rsidRDefault="00235116" w:rsidP="00235116">
      <w:pPr>
        <w:ind w:firstLine="708"/>
        <w:jc w:val="both"/>
        <w:rPr>
          <w:rFonts w:cs="Times New Roman"/>
          <w:color w:val="000000" w:themeColor="text1"/>
        </w:rPr>
      </w:pPr>
      <w:r w:rsidRPr="00235116">
        <w:rPr>
          <w:rFonts w:cs="Times New Roman"/>
          <w:color w:val="000000" w:themeColor="text1"/>
        </w:rPr>
        <w:t>O crescimento dos órgãos e vísceras recebe influencia direta da dieta, sobretudo o seu conteúdo de fibra que pode influenciar o crescimento dos pré-estômagos e energia o crescimento dos órgãos como o fígado e o baço. Além disso, o conteúdo e</w:t>
      </w:r>
      <w:r w:rsidR="00255A07">
        <w:rPr>
          <w:rFonts w:cs="Times New Roman"/>
          <w:color w:val="000000" w:themeColor="text1"/>
        </w:rPr>
        <w:t>nergético das dietas influencia</w:t>
      </w:r>
      <w:r w:rsidRPr="00235116">
        <w:rPr>
          <w:rFonts w:cs="Times New Roman"/>
          <w:color w:val="000000" w:themeColor="text1"/>
        </w:rPr>
        <w:t xml:space="preserve"> principalmente a deposição da gordura corporal em torno dos órgãos internos por ser uma característica peculiar aos caprinos (Brand et al., 2019). Sobretudo nos SPRD por questões adaptativas ao longo de sua evolução.</w:t>
      </w:r>
    </w:p>
    <w:p w:rsidR="001D3A4E" w:rsidRPr="007256D5" w:rsidRDefault="0061309D" w:rsidP="00C26089">
      <w:pPr>
        <w:ind w:firstLine="708"/>
        <w:jc w:val="both"/>
        <w:rPr>
          <w:rFonts w:cs="Times New Roman"/>
          <w:color w:val="000000" w:themeColor="text1"/>
        </w:rPr>
      </w:pPr>
      <w:r w:rsidRPr="007256D5">
        <w:rPr>
          <w:rFonts w:cs="Times New Roman"/>
          <w:color w:val="000000" w:themeColor="text1"/>
        </w:rPr>
        <w:t>Na pecuária de corte, o</w:t>
      </w:r>
      <w:r w:rsidR="001D3A4E" w:rsidRPr="007256D5">
        <w:rPr>
          <w:rFonts w:cs="Times New Roman"/>
          <w:color w:val="000000" w:themeColor="text1"/>
        </w:rPr>
        <w:t xml:space="preserve"> aproveitamento de componentes não-carcaça assume grande importância, para o melhor rendimento econômico da caprinocultura, visto que, região nordeste do Brasil é comum a utilização de vísceras e de alguns órgãos para a preparação de pra</w:t>
      </w:r>
      <w:r w:rsidR="00C26089" w:rsidRPr="007256D5">
        <w:rPr>
          <w:rFonts w:cs="Times New Roman"/>
          <w:color w:val="000000" w:themeColor="text1"/>
        </w:rPr>
        <w:t>tos tradicionais como a buchada(Medeiros et al., 2008).</w:t>
      </w:r>
    </w:p>
    <w:p w:rsidR="0007205B" w:rsidRPr="007256D5" w:rsidRDefault="0007205B" w:rsidP="00C26089">
      <w:pPr>
        <w:ind w:firstLine="708"/>
        <w:jc w:val="both"/>
        <w:rPr>
          <w:rFonts w:cs="Times New Roman"/>
          <w:color w:val="000000" w:themeColor="text1"/>
        </w:rPr>
      </w:pPr>
      <w:r w:rsidRPr="007256D5">
        <w:rPr>
          <w:rFonts w:cs="Times New Roman"/>
          <w:color w:val="000000" w:themeColor="text1"/>
        </w:rPr>
        <w:t xml:space="preserve">Diante do exposto, objetivou-se avaliar o peso </w:t>
      </w:r>
      <w:r w:rsidR="000C7979" w:rsidRPr="007256D5">
        <w:rPr>
          <w:rFonts w:cs="Times New Roman"/>
          <w:color w:val="000000" w:themeColor="text1"/>
        </w:rPr>
        <w:t>das vísceras</w:t>
      </w:r>
      <w:r w:rsidRPr="007256D5">
        <w:rPr>
          <w:rFonts w:cs="Times New Roman"/>
          <w:color w:val="000000" w:themeColor="text1"/>
        </w:rPr>
        <w:t xml:space="preserve"> de caprinos alimentados com genótipos de palma forrageira resistentes à cochonilha do carmim.</w:t>
      </w:r>
    </w:p>
    <w:p w:rsidR="00037C73" w:rsidRPr="007256D5" w:rsidRDefault="007256D5" w:rsidP="006D641B">
      <w:pPr>
        <w:spacing w:before="100" w:beforeAutospacing="1" w:after="100" w:afterAutospacing="1"/>
        <w:jc w:val="center"/>
        <w:rPr>
          <w:rFonts w:cs="Times New Roman"/>
          <w:b/>
        </w:rPr>
      </w:pPr>
      <w:r>
        <w:rPr>
          <w:rFonts w:cs="Times New Roman"/>
          <w:b/>
        </w:rPr>
        <w:t>M</w:t>
      </w:r>
      <w:r w:rsidR="00037C73" w:rsidRPr="007256D5">
        <w:rPr>
          <w:rFonts w:cs="Times New Roman"/>
          <w:b/>
        </w:rPr>
        <w:t>ATERIAL E MÉTODOS</w:t>
      </w:r>
    </w:p>
    <w:p w:rsidR="0010689C" w:rsidRPr="007256D5" w:rsidRDefault="006D641B" w:rsidP="0010689C">
      <w:pPr>
        <w:ind w:firstLine="708"/>
        <w:jc w:val="both"/>
        <w:rPr>
          <w:rFonts w:cs="Times New Roman"/>
        </w:rPr>
      </w:pPr>
      <w:r w:rsidRPr="007256D5">
        <w:rPr>
          <w:rFonts w:cs="Times New Roman"/>
        </w:rPr>
        <w:lastRenderedPageBreak/>
        <w:t>O experimento foi realizado no sector de caprinovinocultura da Universidade Federal Rural de Pernambuco (UFRPE), Recife (PE).</w:t>
      </w:r>
      <w:r w:rsidR="0010689C" w:rsidRPr="007256D5">
        <w:rPr>
          <w:rFonts w:eastAsia="Times New Roman" w:cs="Times New Roman"/>
          <w:color w:val="000000"/>
        </w:rPr>
        <w:t>O manejo e os cuidados com os animais foram realizados de acordo com as diretrizes e recomendações do Comitê de Ética em Uso Animal (CEUA) da UFRPE, sob o número de licença (142/2018).</w:t>
      </w:r>
    </w:p>
    <w:p w:rsidR="006D641B" w:rsidRPr="007256D5" w:rsidRDefault="006D641B" w:rsidP="00523C6C">
      <w:pPr>
        <w:ind w:firstLine="708"/>
        <w:jc w:val="both"/>
        <w:rPr>
          <w:rFonts w:cs="Times New Roman"/>
        </w:rPr>
      </w:pPr>
      <w:r w:rsidRPr="007256D5">
        <w:rPr>
          <w:rFonts w:cs="Times New Roman"/>
        </w:rPr>
        <w:t xml:space="preserve">Foram utilizados 30 caprinos machos castrados sem padrão racial definido, com peso inicial de 19kg, foram alojados em baias individuais, providos de comedouros e bebedouros. O experimento foi conduzido em delineamento inteiramente casualizado com 3 tratamentos e 10 repetiçõescom duração de 70 dias e 30 dias de adaptação. </w:t>
      </w:r>
      <w:r w:rsidR="00664DDB" w:rsidRPr="007256D5">
        <w:rPr>
          <w:rFonts w:cs="Times New Roman"/>
        </w:rPr>
        <w:t>Os tratamentos foram constituídos por</w:t>
      </w:r>
      <w:r w:rsidR="00523C6C" w:rsidRPr="007256D5">
        <w:rPr>
          <w:rFonts w:cs="Times New Roman"/>
        </w:rPr>
        <w:t>:</w:t>
      </w:r>
      <w:r w:rsidR="00664DDB" w:rsidRPr="007256D5">
        <w:rPr>
          <w:rFonts w:cs="Times New Roman"/>
        </w:rPr>
        <w:t xml:space="preserve"> 1) Controle: 60% </w:t>
      </w:r>
      <w:r w:rsidR="00523C6C" w:rsidRPr="007256D5">
        <w:rPr>
          <w:rFonts w:cs="Times New Roman"/>
        </w:rPr>
        <w:t>feno de T</w:t>
      </w:r>
      <w:r w:rsidRPr="007256D5">
        <w:rPr>
          <w:rFonts w:cs="Times New Roman"/>
        </w:rPr>
        <w:t>ifton (</w:t>
      </w:r>
      <w:r w:rsidRPr="007256D5">
        <w:rPr>
          <w:rFonts w:cs="Times New Roman"/>
          <w:i/>
          <w:iCs/>
        </w:rPr>
        <w:t>Cynodondactylon</w:t>
      </w:r>
      <w:r w:rsidRPr="007256D5">
        <w:rPr>
          <w:rFonts w:cs="Times New Roman"/>
        </w:rPr>
        <w:t>)</w:t>
      </w:r>
      <w:r w:rsidR="00523C6C" w:rsidRPr="007256D5">
        <w:rPr>
          <w:rFonts w:cs="Times New Roman"/>
        </w:rPr>
        <w:t xml:space="preserve"> e 40%</w:t>
      </w:r>
      <w:r w:rsidR="00664DDB" w:rsidRPr="007256D5">
        <w:rPr>
          <w:rFonts w:cs="Times New Roman"/>
        </w:rPr>
        <w:t xml:space="preserve"> concentrado;2) </w:t>
      </w:r>
      <w:r w:rsidRPr="007256D5">
        <w:rPr>
          <w:rFonts w:cs="Times New Roman"/>
        </w:rPr>
        <w:t>Miúda</w:t>
      </w:r>
      <w:r w:rsidR="00523C6C" w:rsidRPr="007256D5">
        <w:rPr>
          <w:rFonts w:cs="Times New Roman"/>
        </w:rPr>
        <w:t>: 45%</w:t>
      </w:r>
      <w:r w:rsidR="00664DDB" w:rsidRPr="007256D5">
        <w:rPr>
          <w:rFonts w:cs="Times New Roman"/>
        </w:rPr>
        <w:t xml:space="preserve"> palma Miúda </w:t>
      </w:r>
      <w:r w:rsidRPr="007256D5">
        <w:rPr>
          <w:rFonts w:cs="Times New Roman"/>
        </w:rPr>
        <w:t>(</w:t>
      </w:r>
      <w:r w:rsidRPr="007256D5">
        <w:rPr>
          <w:rFonts w:cs="Times New Roman"/>
          <w:i/>
        </w:rPr>
        <w:t xml:space="preserve">Nopalea </w:t>
      </w:r>
      <w:r w:rsidRPr="007256D5">
        <w:rPr>
          <w:rFonts w:cs="Times New Roman"/>
          <w:i/>
          <w:iCs/>
        </w:rPr>
        <w:t xml:space="preserve">cochenillifera </w:t>
      </w:r>
      <w:r w:rsidRPr="007256D5">
        <w:rPr>
          <w:rFonts w:cs="Times New Roman"/>
          <w:iCs/>
        </w:rPr>
        <w:t>Salm-Dyck)</w:t>
      </w:r>
      <w:r w:rsidR="00664DDB" w:rsidRPr="007256D5">
        <w:rPr>
          <w:rFonts w:cs="Times New Roman"/>
          <w:iCs/>
        </w:rPr>
        <w:t xml:space="preserve">, 15% feno de Tifton e </w:t>
      </w:r>
      <w:r w:rsidR="00523C6C" w:rsidRPr="007256D5">
        <w:rPr>
          <w:rFonts w:cs="Times New Roman"/>
          <w:iCs/>
        </w:rPr>
        <w:t>40% concentrado</w:t>
      </w:r>
      <w:r w:rsidR="00523C6C" w:rsidRPr="007256D5">
        <w:rPr>
          <w:rFonts w:cs="Times New Roman"/>
        </w:rPr>
        <w:t>; 3) OEM: 45% palma</w:t>
      </w:r>
      <w:r w:rsidRPr="007256D5">
        <w:rPr>
          <w:rFonts w:cs="Times New Roman"/>
        </w:rPr>
        <w:t xml:space="preserve"> Orelha de Elefante Mexicana (</w:t>
      </w:r>
      <w:r w:rsidRPr="007256D5">
        <w:rPr>
          <w:rFonts w:cs="Times New Roman"/>
          <w:i/>
        </w:rPr>
        <w:t>Opuntiasitrica</w:t>
      </w:r>
      <w:r w:rsidRPr="007256D5">
        <w:rPr>
          <w:rFonts w:cs="Times New Roman"/>
        </w:rPr>
        <w:t>Haw)</w:t>
      </w:r>
      <w:r w:rsidR="00523C6C" w:rsidRPr="007256D5">
        <w:rPr>
          <w:rFonts w:cs="Times New Roman"/>
        </w:rPr>
        <w:t xml:space="preserve">, </w:t>
      </w:r>
      <w:r w:rsidR="00523C6C" w:rsidRPr="007256D5">
        <w:rPr>
          <w:rFonts w:cs="Times New Roman"/>
          <w:iCs/>
        </w:rPr>
        <w:t>15% feno de Tifton e 40% concentrado</w:t>
      </w:r>
      <w:r w:rsidR="00523C6C" w:rsidRPr="007256D5">
        <w:rPr>
          <w:rFonts w:cs="Times New Roman"/>
        </w:rPr>
        <w:t>. O concentrado foi composto pormilho moído, farelo</w:t>
      </w:r>
      <w:r w:rsidRPr="007256D5">
        <w:rPr>
          <w:rFonts w:cs="Times New Roman"/>
        </w:rPr>
        <w:t xml:space="preserve"> de soja e sal mineral</w:t>
      </w:r>
      <w:r w:rsidR="00523C6C" w:rsidRPr="007256D5">
        <w:rPr>
          <w:rFonts w:cs="Times New Roman"/>
        </w:rPr>
        <w:t>, ajustado para cada tratamento</w:t>
      </w:r>
      <w:r w:rsidRPr="007256D5">
        <w:rPr>
          <w:rFonts w:cs="Times New Roman"/>
        </w:rPr>
        <w:t xml:space="preserve">. </w:t>
      </w:r>
      <w:r w:rsidRPr="007256D5">
        <w:rPr>
          <w:rFonts w:cs="Times New Roman"/>
          <w:bCs/>
          <w:color w:val="000000" w:themeColor="text1"/>
        </w:rPr>
        <w:t xml:space="preserve">As dietas foram fornecidas </w:t>
      </w:r>
      <w:r w:rsidRPr="007256D5">
        <w:rPr>
          <w:rFonts w:cs="Times New Roman"/>
          <w:bCs/>
          <w:i/>
          <w:color w:val="000000" w:themeColor="text1"/>
        </w:rPr>
        <w:t>ad libitum</w:t>
      </w:r>
      <w:r w:rsidRPr="007256D5">
        <w:rPr>
          <w:rFonts w:cs="Times New Roman"/>
          <w:bCs/>
          <w:color w:val="000000" w:themeColor="text1"/>
        </w:rPr>
        <w:t xml:space="preserve"> em forma de mistura completa, duas vezes ao dia.</w:t>
      </w:r>
    </w:p>
    <w:p w:rsidR="006D641B" w:rsidRPr="00152121" w:rsidRDefault="006D641B" w:rsidP="00523C6C">
      <w:pPr>
        <w:ind w:firstLine="708"/>
        <w:jc w:val="both"/>
        <w:rPr>
          <w:rFonts w:cs="Times New Roman"/>
          <w:bCs/>
          <w:color w:val="FF0000"/>
        </w:rPr>
      </w:pPr>
      <w:r w:rsidRPr="007256D5">
        <w:rPr>
          <w:rFonts w:cs="Times New Roman"/>
        </w:rPr>
        <w:t xml:space="preserve">Passados 70 dias do período experimental, </w:t>
      </w:r>
      <w:r w:rsidRPr="007256D5">
        <w:rPr>
          <w:rFonts w:cs="Times New Roman"/>
          <w:bCs/>
          <w:color w:val="000000" w:themeColor="text1"/>
        </w:rPr>
        <w:t xml:space="preserve">os animais foram insensibilizados pelo método mecânico penetrante com um dardo cativo (pistola pneumática), suspensos, sangrados, esfolados e eviscerados, segundo (2). </w:t>
      </w:r>
      <w:r w:rsidR="006C4835" w:rsidRPr="006C4835">
        <w:rPr>
          <w:rFonts w:cs="Times New Roman"/>
          <w:bCs/>
          <w:color w:val="000000" w:themeColor="text1"/>
        </w:rPr>
        <w:t>As</w:t>
      </w:r>
      <w:r w:rsidR="0052335C" w:rsidRPr="006C4835">
        <w:rPr>
          <w:rFonts w:cs="Times New Roman"/>
          <w:bCs/>
          <w:color w:val="000000" w:themeColor="text1"/>
        </w:rPr>
        <w:t>vísceras</w:t>
      </w:r>
      <w:r w:rsidR="0052335C" w:rsidRPr="006C4835">
        <w:rPr>
          <w:rFonts w:eastAsia="TimesNewRoman" w:cs="Times New Roman"/>
          <w:color w:val="000000" w:themeColor="text1"/>
        </w:rPr>
        <w:t>esôfago; rúmen; retículo; omaso; abomaso; intestino delgado e intestino grosso</w:t>
      </w:r>
      <w:r w:rsidRPr="006C4835">
        <w:rPr>
          <w:rFonts w:cs="Times New Roman"/>
          <w:bCs/>
          <w:color w:val="000000" w:themeColor="text1"/>
        </w:rPr>
        <w:t xml:space="preserve"> foram coletados e registrado o peso individualmente.</w:t>
      </w:r>
      <w:r w:rsidR="00152121" w:rsidRPr="006C4835">
        <w:rPr>
          <w:rFonts w:cs="Times New Roman"/>
          <w:bCs/>
          <w:color w:val="000000" w:themeColor="text1"/>
        </w:rPr>
        <w:t xml:space="preserve"> Também foram pesados os depósitos de gordura. </w:t>
      </w:r>
    </w:p>
    <w:p w:rsidR="00037C73" w:rsidRPr="007256D5" w:rsidRDefault="006D641B" w:rsidP="006D641B">
      <w:pPr>
        <w:ind w:firstLine="708"/>
        <w:jc w:val="both"/>
        <w:rPr>
          <w:rFonts w:cs="Times New Roman"/>
          <w:color w:val="000000"/>
        </w:rPr>
      </w:pPr>
      <w:r w:rsidRPr="007256D5">
        <w:rPr>
          <w:rFonts w:cs="Times New Roman"/>
          <w:color w:val="000000"/>
        </w:rPr>
        <w:t>Para análise dos dados foi utilizado o SAS versão 9,3, a 5% de significância, utilizou-se o peso corporal inicial como covariável. Foi feita a análise de variância e foram comparadas pelo teste de Tukey no mesmo nível de significância.</w:t>
      </w:r>
    </w:p>
    <w:p w:rsidR="003C0DF5" w:rsidRPr="007256D5" w:rsidRDefault="003C0DF5" w:rsidP="006D641B">
      <w:pPr>
        <w:ind w:firstLine="708"/>
        <w:jc w:val="both"/>
        <w:rPr>
          <w:rFonts w:cs="Times New Roman"/>
        </w:rPr>
      </w:pPr>
    </w:p>
    <w:p w:rsidR="003C0DF5" w:rsidRPr="007256D5" w:rsidRDefault="00037C73" w:rsidP="003C0DF5">
      <w:pPr>
        <w:spacing w:before="100" w:beforeAutospacing="1" w:after="100" w:afterAutospacing="1"/>
        <w:ind w:firstLine="1"/>
        <w:jc w:val="center"/>
        <w:rPr>
          <w:rFonts w:cs="Times New Roman"/>
          <w:b/>
        </w:rPr>
      </w:pPr>
      <w:r w:rsidRPr="007256D5">
        <w:rPr>
          <w:rFonts w:cs="Times New Roman"/>
          <w:b/>
        </w:rPr>
        <w:t>RESULTADOS E DISCUSSÃO</w:t>
      </w:r>
    </w:p>
    <w:p w:rsidR="0052335C" w:rsidRPr="007256D5" w:rsidRDefault="0052335C" w:rsidP="0074001E">
      <w:pPr>
        <w:ind w:firstLine="708"/>
        <w:jc w:val="both"/>
        <w:rPr>
          <w:rFonts w:eastAsia="TimesNewRoman" w:cs="Times New Roman"/>
        </w:rPr>
      </w:pPr>
      <w:r w:rsidRPr="007256D5">
        <w:rPr>
          <w:rFonts w:eastAsia="TimesNewRoman" w:cs="Times New Roman"/>
        </w:rPr>
        <w:t>Não houve diferenças significativas (</w:t>
      </w:r>
      <w:r w:rsidRPr="007256D5">
        <w:rPr>
          <w:rFonts w:eastAsia="TimesNewRoman" w:cs="Times New Roman"/>
          <w:i/>
        </w:rPr>
        <w:t>P</w:t>
      </w:r>
      <w:r w:rsidRPr="007256D5">
        <w:rPr>
          <w:rFonts w:eastAsia="TimesNewRoman" w:cs="Times New Roman"/>
        </w:rPr>
        <w:t>&gt;0,05) no</w:t>
      </w:r>
      <w:r w:rsidR="00FF0A6C">
        <w:rPr>
          <w:rFonts w:eastAsia="TimesNewRoman" w:cs="Times New Roman"/>
        </w:rPr>
        <w:t>s</w:t>
      </w:r>
      <w:r w:rsidR="0005453D">
        <w:rPr>
          <w:rFonts w:eastAsia="TimesNewRoman" w:cs="Times New Roman"/>
        </w:rPr>
        <w:t>peso</w:t>
      </w:r>
      <w:r w:rsidR="00FF0A6C">
        <w:rPr>
          <w:rFonts w:eastAsia="TimesNewRoman" w:cs="Times New Roman"/>
        </w:rPr>
        <w:t>s</w:t>
      </w:r>
      <w:r w:rsidR="006C4835">
        <w:rPr>
          <w:rFonts w:eastAsia="TimesNewRoman" w:cs="Times New Roman"/>
        </w:rPr>
        <w:t>das</w:t>
      </w:r>
      <w:r w:rsidRPr="007256D5">
        <w:rPr>
          <w:rFonts w:eastAsia="TimesNewRoman" w:cs="Times New Roman"/>
        </w:rPr>
        <w:t>vísceras observados entr</w:t>
      </w:r>
      <w:r w:rsidR="006C4835">
        <w:rPr>
          <w:rFonts w:eastAsia="TimesNewRoman" w:cs="Times New Roman"/>
        </w:rPr>
        <w:t>e os tratamentos, com médias de</w:t>
      </w:r>
      <w:r w:rsidRPr="007256D5">
        <w:rPr>
          <w:rFonts w:eastAsia="TimesNewRoman" w:cs="Times New Roman"/>
        </w:rPr>
        <w:t>44; 507; 105; 80;136; 474 e 247g para</w:t>
      </w:r>
      <w:r w:rsidR="00D634AD">
        <w:rPr>
          <w:rFonts w:eastAsia="TimesNewRoman" w:cs="Times New Roman"/>
        </w:rPr>
        <w:t>esôfago, rúmen, retículo,omaso, abomaso,</w:t>
      </w:r>
      <w:r w:rsidRPr="007256D5">
        <w:rPr>
          <w:rFonts w:eastAsia="TimesNewRoman" w:cs="Times New Roman"/>
        </w:rPr>
        <w:t xml:space="preserve"> intestino delgado e intestino grosso, respectivamente (Tabela 1).</w:t>
      </w:r>
    </w:p>
    <w:p w:rsidR="0074001E" w:rsidRDefault="0074001E" w:rsidP="0074001E">
      <w:pPr>
        <w:ind w:firstLine="708"/>
        <w:jc w:val="both"/>
        <w:rPr>
          <w:rFonts w:cs="Times New Roman"/>
        </w:rPr>
      </w:pPr>
      <w:r w:rsidRPr="007256D5">
        <w:rPr>
          <w:rFonts w:cs="Times New Roman"/>
        </w:rPr>
        <w:t xml:space="preserve">A similaridade no peso </w:t>
      </w:r>
      <w:r w:rsidR="006C4835">
        <w:rPr>
          <w:rFonts w:cs="Times New Roman"/>
        </w:rPr>
        <w:t>das vísceras</w:t>
      </w:r>
      <w:r w:rsidRPr="007256D5">
        <w:rPr>
          <w:rFonts w:cs="Times New Roman"/>
        </w:rPr>
        <w:t>entre os tratamentos pode ser elucidada pela semelh</w:t>
      </w:r>
      <w:r w:rsidR="00767293">
        <w:rPr>
          <w:rFonts w:cs="Times New Roman"/>
        </w:rPr>
        <w:t xml:space="preserve">ança no peso corporal ao abate, pois </w:t>
      </w:r>
      <w:r w:rsidRPr="007256D5">
        <w:rPr>
          <w:rFonts w:cs="Times New Roman"/>
        </w:rPr>
        <w:t>de acordo com Lima Júnior et al. (2015) os componentes não constituintes da carcaça acompanham o aumento do peso corporal do animal, não sempre nas mesmas proporções sendo muita das vezes em taxas menores em relação ao peso do animal.</w:t>
      </w:r>
    </w:p>
    <w:p w:rsidR="00C306DE" w:rsidRDefault="00C306DE" w:rsidP="00C306DE">
      <w:pPr>
        <w:jc w:val="both"/>
        <w:rPr>
          <w:rFonts w:cs="Times New Roman"/>
          <w:color w:val="000000"/>
        </w:rPr>
      </w:pPr>
    </w:p>
    <w:p w:rsidR="00C306DE" w:rsidRDefault="00C306DE" w:rsidP="00C306DE">
      <w:pPr>
        <w:jc w:val="both"/>
        <w:rPr>
          <w:rFonts w:cs="Times New Roman"/>
        </w:rPr>
      </w:pPr>
      <w:r w:rsidRPr="007256D5">
        <w:rPr>
          <w:rFonts w:cs="Times New Roman"/>
          <w:color w:val="000000"/>
        </w:rPr>
        <w:t xml:space="preserve">Tabela 1. </w:t>
      </w:r>
      <w:r w:rsidRPr="006C4835">
        <w:rPr>
          <w:rFonts w:cs="Times New Roman"/>
          <w:color w:val="000000" w:themeColor="text1"/>
        </w:rPr>
        <w:t>Peso</w:t>
      </w:r>
      <w:r w:rsidR="00FF0A6C" w:rsidRPr="006C4835">
        <w:rPr>
          <w:rFonts w:cs="Times New Roman"/>
          <w:color w:val="000000" w:themeColor="text1"/>
        </w:rPr>
        <w:t xml:space="preserve">s </w:t>
      </w:r>
      <w:r w:rsidR="006C4835" w:rsidRPr="006C4835">
        <w:rPr>
          <w:rFonts w:cs="Times New Roman"/>
          <w:color w:val="000000" w:themeColor="text1"/>
        </w:rPr>
        <w:t>das</w:t>
      </w:r>
      <w:r w:rsidRPr="006C4835">
        <w:rPr>
          <w:rFonts w:cs="Times New Roman"/>
          <w:color w:val="000000" w:themeColor="text1"/>
        </w:rPr>
        <w:t>vísceras</w:t>
      </w:r>
      <w:r w:rsidR="00FF0A6C" w:rsidRPr="006C4835">
        <w:rPr>
          <w:rFonts w:cs="Times New Roman"/>
          <w:color w:val="000000" w:themeColor="text1"/>
        </w:rPr>
        <w:t xml:space="preserve"> e depósitos de gordura</w:t>
      </w:r>
      <w:r w:rsidRPr="007256D5">
        <w:rPr>
          <w:rFonts w:cs="Times New Roman"/>
          <w:color w:val="000000"/>
        </w:rPr>
        <w:t>de caprinos em crescimento alimentados comgenótipos de palma forrageira resistente a cochonilha do carmim</w:t>
      </w:r>
    </w:p>
    <w:tbl>
      <w:tblPr>
        <w:tblW w:w="5000" w:type="pct"/>
        <w:tblCellMar>
          <w:left w:w="70" w:type="dxa"/>
          <w:right w:w="70" w:type="dxa"/>
        </w:tblCellMar>
        <w:tblLook w:val="04A0"/>
      </w:tblPr>
      <w:tblGrid>
        <w:gridCol w:w="2859"/>
        <w:gridCol w:w="1465"/>
        <w:gridCol w:w="1581"/>
        <w:gridCol w:w="1582"/>
        <w:gridCol w:w="860"/>
        <w:gridCol w:w="864"/>
      </w:tblGrid>
      <w:tr w:rsidR="003470C5" w:rsidRPr="007256D5" w:rsidTr="00C306DE">
        <w:trPr>
          <w:trHeight w:hRule="exact" w:val="284"/>
        </w:trPr>
        <w:tc>
          <w:tcPr>
            <w:tcW w:w="1552" w:type="pct"/>
            <w:vMerge w:val="restart"/>
            <w:tcBorders>
              <w:top w:val="single" w:sz="4" w:space="0" w:color="auto"/>
              <w:left w:val="nil"/>
              <w:bottom w:val="single" w:sz="4" w:space="0" w:color="000000"/>
              <w:right w:val="nil"/>
            </w:tcBorders>
            <w:shd w:val="clear" w:color="auto" w:fill="auto"/>
            <w:vAlign w:val="bottom"/>
            <w:hideMark/>
          </w:tcPr>
          <w:p w:rsidR="003470C5" w:rsidRPr="007256D5" w:rsidRDefault="003470C5" w:rsidP="00430715">
            <w:pPr>
              <w:spacing w:line="360" w:lineRule="auto"/>
              <w:rPr>
                <w:rFonts w:cs="Times New Roman"/>
                <w:color w:val="000000"/>
              </w:rPr>
            </w:pPr>
            <w:r w:rsidRPr="007256D5">
              <w:rPr>
                <w:rFonts w:cs="Times New Roman"/>
                <w:color w:val="000000"/>
              </w:rPr>
              <w:t>Vísceras (g)</w:t>
            </w:r>
          </w:p>
        </w:tc>
        <w:tc>
          <w:tcPr>
            <w:tcW w:w="2512" w:type="pct"/>
            <w:gridSpan w:val="3"/>
            <w:tcBorders>
              <w:top w:val="single" w:sz="4" w:space="0" w:color="auto"/>
              <w:left w:val="nil"/>
              <w:bottom w:val="single" w:sz="4" w:space="0" w:color="auto"/>
              <w:right w:val="nil"/>
            </w:tcBorders>
            <w:shd w:val="clear" w:color="auto" w:fill="auto"/>
            <w:noWrap/>
            <w:vAlign w:val="bottom"/>
            <w:hideMark/>
          </w:tcPr>
          <w:p w:rsidR="003470C5" w:rsidRPr="007256D5" w:rsidRDefault="003470C5" w:rsidP="00430715">
            <w:pPr>
              <w:spacing w:line="360" w:lineRule="auto"/>
              <w:jc w:val="center"/>
              <w:rPr>
                <w:rFonts w:cs="Times New Roman"/>
                <w:color w:val="000000"/>
              </w:rPr>
            </w:pPr>
            <w:r w:rsidRPr="007256D5">
              <w:rPr>
                <w:rFonts w:cs="Times New Roman"/>
                <w:color w:val="000000"/>
              </w:rPr>
              <w:t>Tratamentos</w:t>
            </w:r>
          </w:p>
        </w:tc>
        <w:tc>
          <w:tcPr>
            <w:tcW w:w="467" w:type="pct"/>
            <w:vMerge w:val="restart"/>
            <w:tcBorders>
              <w:top w:val="single" w:sz="4" w:space="0" w:color="auto"/>
              <w:left w:val="nil"/>
              <w:bottom w:val="single" w:sz="4" w:space="0" w:color="000000"/>
              <w:right w:val="nil"/>
            </w:tcBorders>
            <w:shd w:val="clear" w:color="auto" w:fill="auto"/>
            <w:noWrap/>
            <w:vAlign w:val="center"/>
            <w:hideMark/>
          </w:tcPr>
          <w:p w:rsidR="003470C5" w:rsidRPr="007256D5" w:rsidRDefault="003470C5" w:rsidP="00430715">
            <w:pPr>
              <w:spacing w:line="360" w:lineRule="auto"/>
              <w:jc w:val="center"/>
              <w:rPr>
                <w:rFonts w:cs="Times New Roman"/>
                <w:color w:val="000000"/>
              </w:rPr>
            </w:pPr>
            <w:r w:rsidRPr="007256D5">
              <w:rPr>
                <w:rFonts w:cs="Times New Roman"/>
                <w:color w:val="000000"/>
              </w:rPr>
              <w:t>EPM</w:t>
            </w:r>
          </w:p>
        </w:tc>
        <w:tc>
          <w:tcPr>
            <w:tcW w:w="469" w:type="pct"/>
            <w:vMerge w:val="restart"/>
            <w:tcBorders>
              <w:top w:val="single" w:sz="4" w:space="0" w:color="auto"/>
              <w:left w:val="nil"/>
              <w:bottom w:val="single" w:sz="4" w:space="0" w:color="000000"/>
              <w:right w:val="nil"/>
            </w:tcBorders>
            <w:shd w:val="clear" w:color="auto" w:fill="auto"/>
            <w:noWrap/>
            <w:vAlign w:val="center"/>
            <w:hideMark/>
          </w:tcPr>
          <w:p w:rsidR="003470C5" w:rsidRPr="007256D5" w:rsidRDefault="003470C5" w:rsidP="00430715">
            <w:pPr>
              <w:spacing w:line="360" w:lineRule="auto"/>
              <w:jc w:val="center"/>
              <w:rPr>
                <w:rFonts w:cs="Times New Roman"/>
                <w:color w:val="000000"/>
              </w:rPr>
            </w:pPr>
            <w:r w:rsidRPr="007256D5">
              <w:rPr>
                <w:rFonts w:cs="Times New Roman"/>
                <w:color w:val="000000"/>
              </w:rPr>
              <w:t>Pr&gt;F</w:t>
            </w:r>
          </w:p>
        </w:tc>
      </w:tr>
      <w:tr w:rsidR="003470C5" w:rsidRPr="007256D5" w:rsidTr="00152121">
        <w:trPr>
          <w:trHeight w:hRule="exact" w:val="284"/>
        </w:trPr>
        <w:tc>
          <w:tcPr>
            <w:tcW w:w="1552" w:type="pct"/>
            <w:vMerge/>
            <w:tcBorders>
              <w:top w:val="nil"/>
              <w:left w:val="nil"/>
              <w:bottom w:val="single" w:sz="4" w:space="0" w:color="000000"/>
              <w:right w:val="nil"/>
            </w:tcBorders>
            <w:vAlign w:val="center"/>
            <w:hideMark/>
          </w:tcPr>
          <w:p w:rsidR="003470C5" w:rsidRPr="007256D5" w:rsidRDefault="003470C5" w:rsidP="00430715">
            <w:pPr>
              <w:spacing w:line="360" w:lineRule="auto"/>
              <w:rPr>
                <w:rFonts w:cs="Times New Roman"/>
                <w:color w:val="000000"/>
              </w:rPr>
            </w:pPr>
          </w:p>
        </w:tc>
        <w:tc>
          <w:tcPr>
            <w:tcW w:w="795" w:type="pct"/>
            <w:tcBorders>
              <w:top w:val="nil"/>
              <w:left w:val="nil"/>
              <w:bottom w:val="single" w:sz="4" w:space="0" w:color="auto"/>
              <w:right w:val="nil"/>
            </w:tcBorders>
            <w:shd w:val="clear" w:color="auto" w:fill="auto"/>
            <w:noWrap/>
            <w:vAlign w:val="bottom"/>
            <w:hideMark/>
          </w:tcPr>
          <w:p w:rsidR="003470C5" w:rsidRPr="007256D5" w:rsidRDefault="003470C5" w:rsidP="006C4835">
            <w:pPr>
              <w:spacing w:line="360" w:lineRule="auto"/>
              <w:jc w:val="center"/>
              <w:rPr>
                <w:rFonts w:cs="Times New Roman"/>
                <w:color w:val="000000"/>
              </w:rPr>
            </w:pPr>
            <w:r w:rsidRPr="007256D5">
              <w:rPr>
                <w:rFonts w:cs="Times New Roman"/>
                <w:color w:val="000000"/>
              </w:rPr>
              <w:t>Controle</w:t>
            </w:r>
          </w:p>
        </w:tc>
        <w:tc>
          <w:tcPr>
            <w:tcW w:w="858" w:type="pct"/>
            <w:tcBorders>
              <w:top w:val="nil"/>
              <w:left w:val="nil"/>
              <w:bottom w:val="single" w:sz="4" w:space="0" w:color="auto"/>
              <w:right w:val="nil"/>
            </w:tcBorders>
            <w:shd w:val="clear" w:color="auto" w:fill="auto"/>
            <w:noWrap/>
            <w:vAlign w:val="center"/>
            <w:hideMark/>
          </w:tcPr>
          <w:p w:rsidR="003470C5" w:rsidRPr="007256D5" w:rsidRDefault="003470C5" w:rsidP="006C4835">
            <w:pPr>
              <w:spacing w:line="360" w:lineRule="auto"/>
              <w:jc w:val="center"/>
              <w:rPr>
                <w:rFonts w:cs="Times New Roman"/>
                <w:color w:val="000000"/>
              </w:rPr>
            </w:pPr>
            <w:r w:rsidRPr="007256D5">
              <w:rPr>
                <w:rFonts w:cs="Times New Roman"/>
                <w:color w:val="000000"/>
              </w:rPr>
              <w:t>Miúda</w:t>
            </w:r>
          </w:p>
        </w:tc>
        <w:tc>
          <w:tcPr>
            <w:tcW w:w="859" w:type="pct"/>
            <w:tcBorders>
              <w:top w:val="nil"/>
              <w:left w:val="nil"/>
              <w:bottom w:val="single" w:sz="4" w:space="0" w:color="auto"/>
              <w:right w:val="nil"/>
            </w:tcBorders>
            <w:shd w:val="clear" w:color="auto" w:fill="auto"/>
            <w:noWrap/>
            <w:vAlign w:val="center"/>
            <w:hideMark/>
          </w:tcPr>
          <w:p w:rsidR="003470C5" w:rsidRPr="007256D5" w:rsidRDefault="003470C5" w:rsidP="006C4835">
            <w:pPr>
              <w:spacing w:line="360" w:lineRule="auto"/>
              <w:jc w:val="center"/>
              <w:rPr>
                <w:rFonts w:cs="Times New Roman"/>
                <w:color w:val="000000"/>
              </w:rPr>
            </w:pPr>
            <w:r w:rsidRPr="007256D5">
              <w:rPr>
                <w:rFonts w:cs="Times New Roman"/>
                <w:color w:val="000000"/>
              </w:rPr>
              <w:t>OEM</w:t>
            </w:r>
          </w:p>
        </w:tc>
        <w:tc>
          <w:tcPr>
            <w:tcW w:w="467" w:type="pct"/>
            <w:vMerge/>
            <w:tcBorders>
              <w:top w:val="nil"/>
              <w:left w:val="nil"/>
              <w:bottom w:val="single" w:sz="4" w:space="0" w:color="000000"/>
              <w:right w:val="nil"/>
            </w:tcBorders>
            <w:vAlign w:val="center"/>
            <w:hideMark/>
          </w:tcPr>
          <w:p w:rsidR="003470C5" w:rsidRPr="007256D5" w:rsidRDefault="003470C5" w:rsidP="00430715">
            <w:pPr>
              <w:spacing w:line="360" w:lineRule="auto"/>
              <w:rPr>
                <w:rFonts w:cs="Times New Roman"/>
                <w:color w:val="000000"/>
              </w:rPr>
            </w:pPr>
          </w:p>
        </w:tc>
        <w:tc>
          <w:tcPr>
            <w:tcW w:w="469" w:type="pct"/>
            <w:vMerge/>
            <w:tcBorders>
              <w:top w:val="nil"/>
              <w:left w:val="nil"/>
              <w:bottom w:val="single" w:sz="4" w:space="0" w:color="000000"/>
              <w:right w:val="nil"/>
            </w:tcBorders>
            <w:vAlign w:val="center"/>
            <w:hideMark/>
          </w:tcPr>
          <w:p w:rsidR="003470C5" w:rsidRPr="007256D5" w:rsidRDefault="003470C5" w:rsidP="00430715">
            <w:pPr>
              <w:spacing w:line="360" w:lineRule="auto"/>
              <w:rPr>
                <w:rFonts w:cs="Times New Roman"/>
                <w:color w:val="000000"/>
              </w:rPr>
            </w:pPr>
          </w:p>
        </w:tc>
      </w:tr>
      <w:tr w:rsidR="0005453D" w:rsidRPr="007256D5" w:rsidTr="00152121">
        <w:trPr>
          <w:trHeight w:hRule="exact" w:val="284"/>
        </w:trPr>
        <w:tc>
          <w:tcPr>
            <w:tcW w:w="1552" w:type="pct"/>
            <w:tcBorders>
              <w:top w:val="nil"/>
              <w:left w:val="nil"/>
              <w:bottom w:val="nil"/>
              <w:right w:val="nil"/>
            </w:tcBorders>
            <w:shd w:val="clear" w:color="auto" w:fill="auto"/>
            <w:noWrap/>
            <w:vAlign w:val="center"/>
          </w:tcPr>
          <w:p w:rsidR="0005453D" w:rsidRPr="007256D5" w:rsidRDefault="0005453D" w:rsidP="00D634AD">
            <w:pPr>
              <w:rPr>
                <w:rFonts w:cs="Times New Roman"/>
                <w:color w:val="000000"/>
              </w:rPr>
            </w:pPr>
            <w:r w:rsidRPr="007256D5">
              <w:rPr>
                <w:rFonts w:cs="Times New Roman"/>
                <w:color w:val="000000"/>
              </w:rPr>
              <w:t>Esôfago</w:t>
            </w:r>
          </w:p>
        </w:tc>
        <w:tc>
          <w:tcPr>
            <w:tcW w:w="795"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44</w:t>
            </w:r>
          </w:p>
        </w:tc>
        <w:tc>
          <w:tcPr>
            <w:tcW w:w="858"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45</w:t>
            </w:r>
          </w:p>
        </w:tc>
        <w:tc>
          <w:tcPr>
            <w:tcW w:w="859"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44</w:t>
            </w:r>
          </w:p>
        </w:tc>
        <w:tc>
          <w:tcPr>
            <w:tcW w:w="467"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0,002</w:t>
            </w:r>
          </w:p>
        </w:tc>
        <w:tc>
          <w:tcPr>
            <w:tcW w:w="469"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0,934</w:t>
            </w:r>
          </w:p>
        </w:tc>
      </w:tr>
      <w:tr w:rsidR="0005453D" w:rsidRPr="007256D5" w:rsidTr="00152121">
        <w:trPr>
          <w:trHeight w:hRule="exact" w:val="284"/>
        </w:trPr>
        <w:tc>
          <w:tcPr>
            <w:tcW w:w="1552" w:type="pct"/>
            <w:tcBorders>
              <w:top w:val="nil"/>
              <w:left w:val="nil"/>
              <w:bottom w:val="nil"/>
              <w:right w:val="nil"/>
            </w:tcBorders>
            <w:shd w:val="clear" w:color="auto" w:fill="auto"/>
            <w:noWrap/>
            <w:vAlign w:val="center"/>
            <w:hideMark/>
          </w:tcPr>
          <w:p w:rsidR="0005453D" w:rsidRPr="007256D5" w:rsidRDefault="0005453D" w:rsidP="00D634AD">
            <w:pPr>
              <w:rPr>
                <w:rFonts w:cs="Times New Roman"/>
                <w:color w:val="000000"/>
              </w:rPr>
            </w:pPr>
            <w:r w:rsidRPr="007256D5">
              <w:rPr>
                <w:rFonts w:cs="Times New Roman"/>
                <w:color w:val="000000"/>
              </w:rPr>
              <w:t>Rúmen</w:t>
            </w:r>
          </w:p>
        </w:tc>
        <w:tc>
          <w:tcPr>
            <w:tcW w:w="795"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484</w:t>
            </w:r>
          </w:p>
        </w:tc>
        <w:tc>
          <w:tcPr>
            <w:tcW w:w="858"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501</w:t>
            </w:r>
          </w:p>
        </w:tc>
        <w:tc>
          <w:tcPr>
            <w:tcW w:w="859"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535</w:t>
            </w:r>
          </w:p>
        </w:tc>
        <w:tc>
          <w:tcPr>
            <w:tcW w:w="467"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0,023</w:t>
            </w:r>
          </w:p>
        </w:tc>
        <w:tc>
          <w:tcPr>
            <w:tcW w:w="469"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0,487</w:t>
            </w:r>
          </w:p>
        </w:tc>
      </w:tr>
      <w:tr w:rsidR="0005453D" w:rsidRPr="007256D5" w:rsidTr="00152121">
        <w:trPr>
          <w:trHeight w:hRule="exact" w:val="284"/>
        </w:trPr>
        <w:tc>
          <w:tcPr>
            <w:tcW w:w="1552" w:type="pct"/>
            <w:tcBorders>
              <w:top w:val="nil"/>
              <w:left w:val="nil"/>
              <w:bottom w:val="nil"/>
              <w:right w:val="nil"/>
            </w:tcBorders>
            <w:shd w:val="clear" w:color="auto" w:fill="auto"/>
            <w:vAlign w:val="center"/>
            <w:hideMark/>
          </w:tcPr>
          <w:p w:rsidR="0005453D" w:rsidRPr="007256D5" w:rsidRDefault="0005453D" w:rsidP="00D634AD">
            <w:pPr>
              <w:rPr>
                <w:rFonts w:cs="Times New Roman"/>
                <w:color w:val="000000"/>
              </w:rPr>
            </w:pPr>
            <w:r w:rsidRPr="007256D5">
              <w:rPr>
                <w:rFonts w:cs="Times New Roman"/>
              </w:rPr>
              <w:t>Retículo</w:t>
            </w:r>
          </w:p>
        </w:tc>
        <w:tc>
          <w:tcPr>
            <w:tcW w:w="795"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101</w:t>
            </w:r>
          </w:p>
        </w:tc>
        <w:tc>
          <w:tcPr>
            <w:tcW w:w="858"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104</w:t>
            </w:r>
          </w:p>
        </w:tc>
        <w:tc>
          <w:tcPr>
            <w:tcW w:w="859"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111</w:t>
            </w:r>
          </w:p>
        </w:tc>
        <w:tc>
          <w:tcPr>
            <w:tcW w:w="467"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0,005</w:t>
            </w:r>
          </w:p>
        </w:tc>
        <w:tc>
          <w:tcPr>
            <w:tcW w:w="469"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0,586</w:t>
            </w:r>
          </w:p>
        </w:tc>
      </w:tr>
      <w:tr w:rsidR="0005453D" w:rsidRPr="007256D5" w:rsidTr="00152121">
        <w:trPr>
          <w:trHeight w:hRule="exact" w:val="284"/>
        </w:trPr>
        <w:tc>
          <w:tcPr>
            <w:tcW w:w="1552" w:type="pct"/>
            <w:tcBorders>
              <w:top w:val="nil"/>
              <w:left w:val="nil"/>
              <w:bottom w:val="nil"/>
              <w:right w:val="nil"/>
            </w:tcBorders>
            <w:shd w:val="clear" w:color="auto" w:fill="auto"/>
            <w:vAlign w:val="center"/>
            <w:hideMark/>
          </w:tcPr>
          <w:p w:rsidR="0005453D" w:rsidRPr="007256D5" w:rsidRDefault="0005453D" w:rsidP="00D634AD">
            <w:pPr>
              <w:rPr>
                <w:rFonts w:cs="Times New Roman"/>
                <w:color w:val="000000"/>
              </w:rPr>
            </w:pPr>
            <w:r w:rsidRPr="007256D5">
              <w:rPr>
                <w:rFonts w:cs="Times New Roman"/>
                <w:color w:val="000000"/>
              </w:rPr>
              <w:t>Omaso</w:t>
            </w:r>
          </w:p>
        </w:tc>
        <w:tc>
          <w:tcPr>
            <w:tcW w:w="795"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88</w:t>
            </w:r>
            <w:r w:rsidR="00D634AD">
              <w:rPr>
                <w:rFonts w:eastAsia="Times New Roman" w:cs="Times New Roman"/>
              </w:rPr>
              <w:t>,0</w:t>
            </w:r>
          </w:p>
        </w:tc>
        <w:tc>
          <w:tcPr>
            <w:tcW w:w="858"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72</w:t>
            </w:r>
            <w:r w:rsidR="00D634AD">
              <w:rPr>
                <w:rFonts w:eastAsia="Times New Roman" w:cs="Times New Roman"/>
              </w:rPr>
              <w:t>,0</w:t>
            </w:r>
          </w:p>
        </w:tc>
        <w:tc>
          <w:tcPr>
            <w:tcW w:w="859"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81</w:t>
            </w:r>
            <w:r w:rsidR="00D634AD">
              <w:rPr>
                <w:rFonts w:eastAsia="Times New Roman" w:cs="Times New Roman"/>
              </w:rPr>
              <w:t>,0</w:t>
            </w:r>
          </w:p>
        </w:tc>
        <w:tc>
          <w:tcPr>
            <w:tcW w:w="467"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0,005</w:t>
            </w:r>
          </w:p>
        </w:tc>
        <w:tc>
          <w:tcPr>
            <w:tcW w:w="469"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0,304</w:t>
            </w:r>
          </w:p>
        </w:tc>
      </w:tr>
      <w:tr w:rsidR="0005453D" w:rsidRPr="007256D5" w:rsidTr="00152121">
        <w:trPr>
          <w:trHeight w:hRule="exact" w:val="284"/>
        </w:trPr>
        <w:tc>
          <w:tcPr>
            <w:tcW w:w="1552" w:type="pct"/>
            <w:tcBorders>
              <w:top w:val="nil"/>
              <w:left w:val="nil"/>
              <w:bottom w:val="nil"/>
              <w:right w:val="nil"/>
            </w:tcBorders>
            <w:shd w:val="clear" w:color="auto" w:fill="auto"/>
            <w:vAlign w:val="center"/>
            <w:hideMark/>
          </w:tcPr>
          <w:p w:rsidR="0005453D" w:rsidRPr="007256D5" w:rsidRDefault="0005453D" w:rsidP="00D634AD">
            <w:pPr>
              <w:rPr>
                <w:rFonts w:cs="Times New Roman"/>
                <w:color w:val="000000"/>
              </w:rPr>
            </w:pPr>
            <w:r w:rsidRPr="007256D5">
              <w:rPr>
                <w:rFonts w:cs="Times New Roman"/>
                <w:color w:val="000000"/>
              </w:rPr>
              <w:t>Abomaso</w:t>
            </w:r>
          </w:p>
        </w:tc>
        <w:tc>
          <w:tcPr>
            <w:tcW w:w="795"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128</w:t>
            </w:r>
          </w:p>
        </w:tc>
        <w:tc>
          <w:tcPr>
            <w:tcW w:w="858"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125</w:t>
            </w:r>
          </w:p>
        </w:tc>
        <w:tc>
          <w:tcPr>
            <w:tcW w:w="859"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155</w:t>
            </w:r>
          </w:p>
        </w:tc>
        <w:tc>
          <w:tcPr>
            <w:tcW w:w="467"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0,008</w:t>
            </w:r>
          </w:p>
        </w:tc>
        <w:tc>
          <w:tcPr>
            <w:tcW w:w="469"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0,124</w:t>
            </w:r>
          </w:p>
        </w:tc>
      </w:tr>
      <w:tr w:rsidR="0005453D" w:rsidRPr="007256D5" w:rsidTr="00152121">
        <w:trPr>
          <w:trHeight w:hRule="exact" w:val="284"/>
        </w:trPr>
        <w:tc>
          <w:tcPr>
            <w:tcW w:w="1552" w:type="pct"/>
            <w:tcBorders>
              <w:top w:val="nil"/>
              <w:left w:val="nil"/>
              <w:bottom w:val="nil"/>
              <w:right w:val="nil"/>
            </w:tcBorders>
            <w:shd w:val="clear" w:color="auto" w:fill="auto"/>
            <w:vAlign w:val="center"/>
            <w:hideMark/>
          </w:tcPr>
          <w:p w:rsidR="0005453D" w:rsidRPr="007256D5" w:rsidRDefault="0005453D" w:rsidP="00D634AD">
            <w:pPr>
              <w:rPr>
                <w:rFonts w:cs="Times New Roman"/>
                <w:color w:val="000000"/>
              </w:rPr>
            </w:pPr>
            <w:r w:rsidRPr="007256D5">
              <w:rPr>
                <w:rFonts w:cs="Times New Roman"/>
                <w:color w:val="000000"/>
              </w:rPr>
              <w:t>Intestino delgado</w:t>
            </w:r>
          </w:p>
        </w:tc>
        <w:tc>
          <w:tcPr>
            <w:tcW w:w="795"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505</w:t>
            </w:r>
          </w:p>
        </w:tc>
        <w:tc>
          <w:tcPr>
            <w:tcW w:w="858"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423</w:t>
            </w:r>
          </w:p>
        </w:tc>
        <w:tc>
          <w:tcPr>
            <w:tcW w:w="859" w:type="pct"/>
            <w:tcBorders>
              <w:top w:val="nil"/>
              <w:left w:val="nil"/>
              <w:bottom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494</w:t>
            </w:r>
          </w:p>
        </w:tc>
        <w:tc>
          <w:tcPr>
            <w:tcW w:w="467"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0,015</w:t>
            </w:r>
          </w:p>
        </w:tc>
        <w:tc>
          <w:tcPr>
            <w:tcW w:w="469" w:type="pct"/>
            <w:tcBorders>
              <w:top w:val="nil"/>
              <w:left w:val="nil"/>
              <w:bottom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0,054</w:t>
            </w:r>
          </w:p>
        </w:tc>
      </w:tr>
      <w:tr w:rsidR="0005453D" w:rsidRPr="007256D5" w:rsidTr="00152121">
        <w:trPr>
          <w:trHeight w:hRule="exact" w:val="284"/>
        </w:trPr>
        <w:tc>
          <w:tcPr>
            <w:tcW w:w="1552" w:type="pct"/>
            <w:tcBorders>
              <w:top w:val="nil"/>
              <w:left w:val="nil"/>
              <w:right w:val="nil"/>
            </w:tcBorders>
            <w:shd w:val="clear" w:color="auto" w:fill="auto"/>
            <w:vAlign w:val="center"/>
          </w:tcPr>
          <w:p w:rsidR="0005453D" w:rsidRPr="007256D5" w:rsidRDefault="0005453D" w:rsidP="00D634AD">
            <w:pPr>
              <w:rPr>
                <w:rFonts w:cs="Times New Roman"/>
                <w:color w:val="000000"/>
              </w:rPr>
            </w:pPr>
            <w:r w:rsidRPr="007256D5">
              <w:rPr>
                <w:rFonts w:cs="Times New Roman"/>
                <w:color w:val="000000"/>
              </w:rPr>
              <w:t>Intestino grosso</w:t>
            </w:r>
          </w:p>
        </w:tc>
        <w:tc>
          <w:tcPr>
            <w:tcW w:w="795" w:type="pct"/>
            <w:tcBorders>
              <w:top w:val="nil"/>
              <w:left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239</w:t>
            </w:r>
          </w:p>
        </w:tc>
        <w:tc>
          <w:tcPr>
            <w:tcW w:w="858" w:type="pct"/>
            <w:tcBorders>
              <w:top w:val="nil"/>
              <w:left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252</w:t>
            </w:r>
          </w:p>
        </w:tc>
        <w:tc>
          <w:tcPr>
            <w:tcW w:w="859" w:type="pct"/>
            <w:tcBorders>
              <w:top w:val="nil"/>
              <w:left w:val="nil"/>
              <w:right w:val="nil"/>
            </w:tcBorders>
            <w:shd w:val="clear" w:color="auto" w:fill="auto"/>
            <w:noWrap/>
            <w:vAlign w:val="center"/>
          </w:tcPr>
          <w:p w:rsidR="0005453D" w:rsidRPr="007256D5" w:rsidRDefault="0005453D" w:rsidP="006C4835">
            <w:pPr>
              <w:jc w:val="center"/>
              <w:rPr>
                <w:rFonts w:eastAsia="Times New Roman" w:cs="Times New Roman"/>
              </w:rPr>
            </w:pPr>
            <w:r w:rsidRPr="007256D5">
              <w:rPr>
                <w:rFonts w:eastAsia="Times New Roman" w:cs="Times New Roman"/>
              </w:rPr>
              <w:t>249</w:t>
            </w:r>
          </w:p>
        </w:tc>
        <w:tc>
          <w:tcPr>
            <w:tcW w:w="467" w:type="pct"/>
            <w:tcBorders>
              <w:top w:val="nil"/>
              <w:left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0,007</w:t>
            </w:r>
          </w:p>
        </w:tc>
        <w:tc>
          <w:tcPr>
            <w:tcW w:w="469" w:type="pct"/>
            <w:tcBorders>
              <w:top w:val="nil"/>
              <w:left w:val="nil"/>
              <w:right w:val="nil"/>
            </w:tcBorders>
            <w:shd w:val="clear" w:color="auto" w:fill="auto"/>
            <w:noWrap/>
            <w:vAlign w:val="center"/>
          </w:tcPr>
          <w:p w:rsidR="0005453D" w:rsidRPr="007256D5" w:rsidRDefault="0005453D" w:rsidP="00D634AD">
            <w:pPr>
              <w:rPr>
                <w:rFonts w:eastAsia="Times New Roman" w:cs="Times New Roman"/>
              </w:rPr>
            </w:pPr>
            <w:r w:rsidRPr="007256D5">
              <w:rPr>
                <w:rFonts w:eastAsia="Times New Roman" w:cs="Times New Roman"/>
              </w:rPr>
              <w:t>0,762</w:t>
            </w:r>
          </w:p>
        </w:tc>
      </w:tr>
      <w:tr w:rsidR="00D634AD" w:rsidRPr="007256D5" w:rsidTr="00152121">
        <w:trPr>
          <w:trHeight w:hRule="exact" w:val="284"/>
        </w:trPr>
        <w:tc>
          <w:tcPr>
            <w:tcW w:w="1552" w:type="pct"/>
            <w:tcBorders>
              <w:top w:val="nil"/>
              <w:left w:val="nil"/>
              <w:bottom w:val="nil"/>
              <w:right w:val="nil"/>
            </w:tcBorders>
            <w:shd w:val="clear" w:color="auto" w:fill="auto"/>
            <w:vAlign w:val="center"/>
          </w:tcPr>
          <w:p w:rsidR="00D634AD" w:rsidRPr="006C4835" w:rsidRDefault="007474B7" w:rsidP="007474B7">
            <w:pPr>
              <w:rPr>
                <w:rFonts w:eastAsia="Times New Roman"/>
                <w:color w:val="000000" w:themeColor="text1"/>
                <w:lang w:val="en-US"/>
              </w:rPr>
            </w:pPr>
            <w:r w:rsidRPr="006C4835">
              <w:rPr>
                <w:rFonts w:eastAsia="Times New Roman"/>
                <w:color w:val="000000" w:themeColor="text1"/>
                <w:lang w:val="en-US"/>
              </w:rPr>
              <w:t>Gordura Mesentérica</w:t>
            </w:r>
          </w:p>
        </w:tc>
        <w:tc>
          <w:tcPr>
            <w:tcW w:w="795" w:type="pct"/>
            <w:tcBorders>
              <w:top w:val="nil"/>
              <w:left w:val="nil"/>
              <w:bottom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237</w:t>
            </w:r>
          </w:p>
        </w:tc>
        <w:tc>
          <w:tcPr>
            <w:tcW w:w="858" w:type="pct"/>
            <w:tcBorders>
              <w:top w:val="nil"/>
              <w:left w:val="nil"/>
              <w:bottom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228</w:t>
            </w:r>
          </w:p>
        </w:tc>
        <w:tc>
          <w:tcPr>
            <w:tcW w:w="859" w:type="pct"/>
            <w:tcBorders>
              <w:top w:val="nil"/>
              <w:left w:val="nil"/>
              <w:bottom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241</w:t>
            </w:r>
          </w:p>
        </w:tc>
        <w:tc>
          <w:tcPr>
            <w:tcW w:w="467" w:type="pct"/>
            <w:tcBorders>
              <w:top w:val="nil"/>
              <w:left w:val="nil"/>
              <w:bottom w:val="nil"/>
              <w:right w:val="nil"/>
            </w:tcBorders>
            <w:shd w:val="clear" w:color="auto" w:fill="auto"/>
            <w:noWrap/>
            <w:vAlign w:val="center"/>
          </w:tcPr>
          <w:p w:rsidR="00D634AD" w:rsidRPr="006C4835" w:rsidRDefault="00D634AD" w:rsidP="00D634AD">
            <w:pPr>
              <w:rPr>
                <w:rFonts w:eastAsia="Times New Roman"/>
                <w:color w:val="000000" w:themeColor="text1"/>
                <w:lang w:val="en-US"/>
              </w:rPr>
            </w:pPr>
            <w:r w:rsidRPr="006C4835">
              <w:rPr>
                <w:rFonts w:eastAsia="Times New Roman"/>
                <w:color w:val="000000" w:themeColor="text1"/>
                <w:lang w:val="en-US"/>
              </w:rPr>
              <w:t>0,014</w:t>
            </w:r>
          </w:p>
        </w:tc>
        <w:tc>
          <w:tcPr>
            <w:tcW w:w="469" w:type="pct"/>
            <w:tcBorders>
              <w:top w:val="nil"/>
              <w:left w:val="nil"/>
              <w:bottom w:val="nil"/>
              <w:right w:val="nil"/>
            </w:tcBorders>
            <w:shd w:val="clear" w:color="auto" w:fill="auto"/>
            <w:noWrap/>
            <w:vAlign w:val="center"/>
          </w:tcPr>
          <w:p w:rsidR="00D634AD" w:rsidRPr="006C4835" w:rsidRDefault="00D634AD" w:rsidP="00D634AD">
            <w:pPr>
              <w:rPr>
                <w:rFonts w:eastAsia="Times New Roman"/>
                <w:color w:val="000000" w:themeColor="text1"/>
                <w:lang w:val="en-US"/>
              </w:rPr>
            </w:pPr>
            <w:r w:rsidRPr="006C4835">
              <w:rPr>
                <w:rFonts w:eastAsia="Times New Roman"/>
                <w:color w:val="000000" w:themeColor="text1"/>
                <w:lang w:val="en-US"/>
              </w:rPr>
              <w:t>0,924</w:t>
            </w:r>
          </w:p>
        </w:tc>
      </w:tr>
      <w:tr w:rsidR="00D634AD" w:rsidRPr="007256D5" w:rsidTr="00152121">
        <w:trPr>
          <w:trHeight w:hRule="exact" w:val="284"/>
        </w:trPr>
        <w:tc>
          <w:tcPr>
            <w:tcW w:w="1552" w:type="pct"/>
            <w:tcBorders>
              <w:top w:val="nil"/>
              <w:left w:val="nil"/>
              <w:bottom w:val="nil"/>
              <w:right w:val="nil"/>
            </w:tcBorders>
            <w:shd w:val="clear" w:color="auto" w:fill="auto"/>
            <w:vAlign w:val="center"/>
          </w:tcPr>
          <w:p w:rsidR="00D634AD" w:rsidRPr="006C4835" w:rsidRDefault="007474B7" w:rsidP="007474B7">
            <w:pPr>
              <w:rPr>
                <w:rFonts w:eastAsia="Times New Roman"/>
                <w:color w:val="000000" w:themeColor="text1"/>
                <w:lang w:val="en-US"/>
              </w:rPr>
            </w:pPr>
            <w:r w:rsidRPr="006C4835">
              <w:rPr>
                <w:rFonts w:eastAsia="Times New Roman"/>
                <w:color w:val="000000" w:themeColor="text1"/>
                <w:lang w:val="en-US"/>
              </w:rPr>
              <w:t>Gordura o</w:t>
            </w:r>
            <w:r w:rsidR="00D634AD" w:rsidRPr="006C4835">
              <w:rPr>
                <w:rFonts w:eastAsia="Times New Roman"/>
                <w:color w:val="000000" w:themeColor="text1"/>
                <w:lang w:val="en-US"/>
              </w:rPr>
              <w:t xml:space="preserve">mental </w:t>
            </w:r>
          </w:p>
        </w:tc>
        <w:tc>
          <w:tcPr>
            <w:tcW w:w="795" w:type="pct"/>
            <w:tcBorders>
              <w:top w:val="nil"/>
              <w:left w:val="nil"/>
              <w:bottom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489</w:t>
            </w:r>
          </w:p>
        </w:tc>
        <w:tc>
          <w:tcPr>
            <w:tcW w:w="858" w:type="pct"/>
            <w:tcBorders>
              <w:top w:val="nil"/>
              <w:left w:val="nil"/>
              <w:bottom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457</w:t>
            </w:r>
          </w:p>
        </w:tc>
        <w:tc>
          <w:tcPr>
            <w:tcW w:w="859" w:type="pct"/>
            <w:tcBorders>
              <w:top w:val="nil"/>
              <w:left w:val="nil"/>
              <w:bottom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618</w:t>
            </w:r>
          </w:p>
        </w:tc>
        <w:tc>
          <w:tcPr>
            <w:tcW w:w="467" w:type="pct"/>
            <w:tcBorders>
              <w:top w:val="nil"/>
              <w:left w:val="nil"/>
              <w:bottom w:val="nil"/>
              <w:right w:val="nil"/>
            </w:tcBorders>
            <w:shd w:val="clear" w:color="auto" w:fill="auto"/>
            <w:noWrap/>
            <w:vAlign w:val="center"/>
          </w:tcPr>
          <w:p w:rsidR="00D634AD" w:rsidRPr="006C4835" w:rsidRDefault="00D634AD" w:rsidP="00D634AD">
            <w:pPr>
              <w:rPr>
                <w:rFonts w:eastAsia="Times New Roman"/>
                <w:color w:val="000000" w:themeColor="text1"/>
                <w:lang w:val="en-US"/>
              </w:rPr>
            </w:pPr>
            <w:r w:rsidRPr="006C4835">
              <w:rPr>
                <w:rFonts w:eastAsia="Times New Roman"/>
                <w:color w:val="000000" w:themeColor="text1"/>
                <w:lang w:val="en-US"/>
              </w:rPr>
              <w:t>0,046</w:t>
            </w:r>
          </w:p>
        </w:tc>
        <w:tc>
          <w:tcPr>
            <w:tcW w:w="469" w:type="pct"/>
            <w:tcBorders>
              <w:top w:val="nil"/>
              <w:left w:val="nil"/>
              <w:bottom w:val="nil"/>
              <w:right w:val="nil"/>
            </w:tcBorders>
            <w:shd w:val="clear" w:color="auto" w:fill="auto"/>
            <w:noWrap/>
            <w:vAlign w:val="center"/>
          </w:tcPr>
          <w:p w:rsidR="00D634AD" w:rsidRPr="006C4835" w:rsidRDefault="00D634AD" w:rsidP="00D634AD">
            <w:pPr>
              <w:rPr>
                <w:rFonts w:eastAsia="Times New Roman"/>
                <w:color w:val="000000" w:themeColor="text1"/>
                <w:lang w:val="en-US"/>
              </w:rPr>
            </w:pPr>
            <w:r w:rsidRPr="006C4835">
              <w:rPr>
                <w:rFonts w:eastAsia="Times New Roman"/>
                <w:color w:val="000000" w:themeColor="text1"/>
                <w:lang w:val="en-US"/>
              </w:rPr>
              <w:t>0,158</w:t>
            </w:r>
          </w:p>
        </w:tc>
      </w:tr>
      <w:tr w:rsidR="00D634AD" w:rsidRPr="007256D5" w:rsidTr="00152121">
        <w:trPr>
          <w:trHeight w:hRule="exact" w:val="284"/>
        </w:trPr>
        <w:tc>
          <w:tcPr>
            <w:tcW w:w="1552" w:type="pct"/>
            <w:tcBorders>
              <w:top w:val="nil"/>
              <w:left w:val="nil"/>
              <w:right w:val="nil"/>
            </w:tcBorders>
            <w:shd w:val="clear" w:color="auto" w:fill="auto"/>
            <w:vAlign w:val="center"/>
          </w:tcPr>
          <w:p w:rsidR="00D634AD" w:rsidRPr="006C4835" w:rsidRDefault="007474B7" w:rsidP="007474B7">
            <w:pPr>
              <w:rPr>
                <w:rFonts w:eastAsia="Times New Roman"/>
                <w:color w:val="000000" w:themeColor="text1"/>
                <w:lang w:val="en-US"/>
              </w:rPr>
            </w:pPr>
            <w:r w:rsidRPr="006C4835">
              <w:rPr>
                <w:rFonts w:eastAsia="Times New Roman"/>
                <w:color w:val="000000" w:themeColor="text1"/>
                <w:lang w:val="en-US"/>
              </w:rPr>
              <w:t>Gordura perirenal</w:t>
            </w:r>
          </w:p>
        </w:tc>
        <w:tc>
          <w:tcPr>
            <w:tcW w:w="795" w:type="pct"/>
            <w:tcBorders>
              <w:top w:val="nil"/>
              <w:left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157</w:t>
            </w:r>
          </w:p>
        </w:tc>
        <w:tc>
          <w:tcPr>
            <w:tcW w:w="858" w:type="pct"/>
            <w:tcBorders>
              <w:top w:val="nil"/>
              <w:left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158</w:t>
            </w:r>
          </w:p>
        </w:tc>
        <w:tc>
          <w:tcPr>
            <w:tcW w:w="859" w:type="pct"/>
            <w:tcBorders>
              <w:top w:val="nil"/>
              <w:left w:val="nil"/>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274</w:t>
            </w:r>
          </w:p>
        </w:tc>
        <w:tc>
          <w:tcPr>
            <w:tcW w:w="467" w:type="pct"/>
            <w:tcBorders>
              <w:top w:val="nil"/>
              <w:left w:val="nil"/>
              <w:right w:val="nil"/>
            </w:tcBorders>
            <w:shd w:val="clear" w:color="auto" w:fill="auto"/>
            <w:noWrap/>
            <w:vAlign w:val="center"/>
          </w:tcPr>
          <w:p w:rsidR="00D634AD" w:rsidRPr="006C4835" w:rsidRDefault="00D634AD" w:rsidP="00D634AD">
            <w:pPr>
              <w:rPr>
                <w:rFonts w:eastAsia="Times New Roman"/>
                <w:color w:val="000000" w:themeColor="text1"/>
                <w:lang w:val="en-US"/>
              </w:rPr>
            </w:pPr>
            <w:r w:rsidRPr="006C4835">
              <w:rPr>
                <w:rFonts w:eastAsia="Times New Roman"/>
                <w:color w:val="000000" w:themeColor="text1"/>
                <w:lang w:val="en-US"/>
              </w:rPr>
              <w:t>0,030</w:t>
            </w:r>
          </w:p>
        </w:tc>
        <w:tc>
          <w:tcPr>
            <w:tcW w:w="469" w:type="pct"/>
            <w:tcBorders>
              <w:top w:val="nil"/>
              <w:left w:val="nil"/>
              <w:right w:val="nil"/>
            </w:tcBorders>
            <w:shd w:val="clear" w:color="auto" w:fill="auto"/>
            <w:noWrap/>
            <w:vAlign w:val="center"/>
          </w:tcPr>
          <w:p w:rsidR="00D634AD" w:rsidRPr="006C4835" w:rsidRDefault="00D634AD" w:rsidP="00D634AD">
            <w:pPr>
              <w:rPr>
                <w:rFonts w:eastAsia="Times New Roman"/>
                <w:color w:val="000000" w:themeColor="text1"/>
                <w:lang w:val="en-US"/>
              </w:rPr>
            </w:pPr>
            <w:r w:rsidRPr="006C4835">
              <w:rPr>
                <w:rFonts w:eastAsia="Times New Roman"/>
                <w:color w:val="000000" w:themeColor="text1"/>
                <w:lang w:val="en-US"/>
              </w:rPr>
              <w:t>0,196</w:t>
            </w:r>
          </w:p>
        </w:tc>
      </w:tr>
      <w:tr w:rsidR="00D634AD" w:rsidRPr="007256D5" w:rsidTr="00152121">
        <w:trPr>
          <w:trHeight w:hRule="exact" w:val="284"/>
        </w:trPr>
        <w:tc>
          <w:tcPr>
            <w:tcW w:w="1552" w:type="pct"/>
            <w:tcBorders>
              <w:top w:val="nil"/>
              <w:left w:val="nil"/>
              <w:bottom w:val="single" w:sz="4" w:space="0" w:color="auto"/>
              <w:right w:val="nil"/>
            </w:tcBorders>
            <w:shd w:val="clear" w:color="auto" w:fill="auto"/>
            <w:vAlign w:val="center"/>
          </w:tcPr>
          <w:p w:rsidR="00D634AD" w:rsidRPr="006C4835" w:rsidRDefault="007474B7" w:rsidP="007474B7">
            <w:pPr>
              <w:rPr>
                <w:rFonts w:eastAsia="Times New Roman"/>
                <w:color w:val="000000" w:themeColor="text1"/>
                <w:lang w:val="en-US"/>
              </w:rPr>
            </w:pPr>
            <w:r w:rsidRPr="006C4835">
              <w:rPr>
                <w:rFonts w:eastAsia="Times New Roman"/>
                <w:color w:val="000000" w:themeColor="text1"/>
                <w:lang w:val="en-US"/>
              </w:rPr>
              <w:t xml:space="preserve">Gordura interna </w:t>
            </w:r>
          </w:p>
        </w:tc>
        <w:tc>
          <w:tcPr>
            <w:tcW w:w="795" w:type="pct"/>
            <w:tcBorders>
              <w:top w:val="nil"/>
              <w:left w:val="nil"/>
              <w:bottom w:val="single" w:sz="4" w:space="0" w:color="auto"/>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135b</w:t>
            </w:r>
          </w:p>
        </w:tc>
        <w:tc>
          <w:tcPr>
            <w:tcW w:w="858" w:type="pct"/>
            <w:tcBorders>
              <w:top w:val="nil"/>
              <w:left w:val="nil"/>
              <w:bottom w:val="single" w:sz="4" w:space="0" w:color="auto"/>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144b</w:t>
            </w:r>
          </w:p>
        </w:tc>
        <w:tc>
          <w:tcPr>
            <w:tcW w:w="859" w:type="pct"/>
            <w:tcBorders>
              <w:top w:val="nil"/>
              <w:left w:val="nil"/>
              <w:bottom w:val="single" w:sz="4" w:space="0" w:color="auto"/>
              <w:right w:val="nil"/>
            </w:tcBorders>
            <w:shd w:val="clear" w:color="auto" w:fill="auto"/>
            <w:noWrap/>
            <w:vAlign w:val="center"/>
          </w:tcPr>
          <w:p w:rsidR="00D634AD" w:rsidRPr="006C4835" w:rsidRDefault="00D634AD" w:rsidP="006C4835">
            <w:pPr>
              <w:jc w:val="center"/>
              <w:rPr>
                <w:rFonts w:eastAsia="Times New Roman"/>
                <w:color w:val="000000" w:themeColor="text1"/>
                <w:lang w:val="en-US"/>
              </w:rPr>
            </w:pPr>
            <w:r w:rsidRPr="006C4835">
              <w:rPr>
                <w:rFonts w:eastAsia="Times New Roman"/>
                <w:color w:val="000000" w:themeColor="text1"/>
                <w:lang w:val="en-US"/>
              </w:rPr>
              <w:t>220a</w:t>
            </w:r>
          </w:p>
        </w:tc>
        <w:tc>
          <w:tcPr>
            <w:tcW w:w="467" w:type="pct"/>
            <w:tcBorders>
              <w:top w:val="nil"/>
              <w:left w:val="nil"/>
              <w:bottom w:val="single" w:sz="4" w:space="0" w:color="auto"/>
              <w:right w:val="nil"/>
            </w:tcBorders>
            <w:shd w:val="clear" w:color="auto" w:fill="auto"/>
            <w:noWrap/>
            <w:vAlign w:val="center"/>
          </w:tcPr>
          <w:p w:rsidR="00D634AD" w:rsidRPr="006C4835" w:rsidRDefault="00D634AD" w:rsidP="00D634AD">
            <w:pPr>
              <w:rPr>
                <w:rFonts w:eastAsia="Times New Roman"/>
                <w:color w:val="000000" w:themeColor="text1"/>
                <w:lang w:val="en-US"/>
              </w:rPr>
            </w:pPr>
            <w:r w:rsidRPr="006C4835">
              <w:rPr>
                <w:rFonts w:eastAsia="Times New Roman"/>
                <w:color w:val="000000" w:themeColor="text1"/>
                <w:lang w:val="en-US"/>
              </w:rPr>
              <w:t>0,012</w:t>
            </w:r>
          </w:p>
        </w:tc>
        <w:tc>
          <w:tcPr>
            <w:tcW w:w="469" w:type="pct"/>
            <w:tcBorders>
              <w:top w:val="nil"/>
              <w:left w:val="nil"/>
              <w:bottom w:val="single" w:sz="4" w:space="0" w:color="auto"/>
              <w:right w:val="nil"/>
            </w:tcBorders>
            <w:shd w:val="clear" w:color="auto" w:fill="auto"/>
            <w:noWrap/>
            <w:vAlign w:val="center"/>
          </w:tcPr>
          <w:p w:rsidR="00D634AD" w:rsidRPr="006C4835" w:rsidRDefault="00D634AD" w:rsidP="00D634AD">
            <w:pPr>
              <w:rPr>
                <w:rFonts w:eastAsia="Times New Roman"/>
                <w:color w:val="000000" w:themeColor="text1"/>
                <w:lang w:val="en-US"/>
              </w:rPr>
            </w:pPr>
            <w:r w:rsidRPr="006C4835">
              <w:rPr>
                <w:rFonts w:eastAsia="Times New Roman"/>
                <w:color w:val="000000" w:themeColor="text1"/>
                <w:lang w:val="en-US"/>
              </w:rPr>
              <w:t>0,002</w:t>
            </w:r>
          </w:p>
        </w:tc>
      </w:tr>
    </w:tbl>
    <w:p w:rsidR="003470C5" w:rsidRDefault="003470C5" w:rsidP="003470C5">
      <w:pPr>
        <w:jc w:val="both"/>
        <w:rPr>
          <w:rFonts w:cs="Times New Roman"/>
          <w:color w:val="000000"/>
        </w:rPr>
      </w:pPr>
      <w:r w:rsidRPr="007256D5">
        <w:rPr>
          <w:rFonts w:cs="Times New Roman"/>
          <w:color w:val="000000"/>
        </w:rPr>
        <w:t>PCV - Peso do corpo vazio; EMP - Erro padrão da média. As médias nas linhas seguidas por letras diferentes são estatisticamente diferentes pelo teste de Tukey a 5% de probabilidade.</w:t>
      </w:r>
    </w:p>
    <w:p w:rsidR="00152121" w:rsidRDefault="00152121" w:rsidP="003470C5">
      <w:pPr>
        <w:jc w:val="both"/>
        <w:rPr>
          <w:rFonts w:cs="Times New Roman"/>
          <w:color w:val="000000"/>
        </w:rPr>
      </w:pPr>
    </w:p>
    <w:p w:rsidR="00152121" w:rsidRPr="007256D5" w:rsidRDefault="00152121" w:rsidP="003470C5">
      <w:pPr>
        <w:jc w:val="both"/>
        <w:rPr>
          <w:rFonts w:cs="Times New Roman"/>
          <w:color w:val="000000"/>
        </w:rPr>
      </w:pPr>
    </w:p>
    <w:p w:rsidR="00037C73" w:rsidRPr="006C4835" w:rsidRDefault="00C306DE" w:rsidP="007474B7">
      <w:pPr>
        <w:ind w:firstLine="709"/>
        <w:jc w:val="both"/>
        <w:rPr>
          <w:rFonts w:cs="Times New Roman"/>
          <w:color w:val="000000" w:themeColor="text1"/>
        </w:rPr>
      </w:pPr>
      <w:r w:rsidRPr="006C4835">
        <w:rPr>
          <w:rFonts w:cs="Times New Roman"/>
          <w:color w:val="000000" w:themeColor="text1"/>
        </w:rPr>
        <w:t xml:space="preserve">Quanto aos depósitos de gordura, </w:t>
      </w:r>
      <w:r w:rsidR="007474B7" w:rsidRPr="006C4835">
        <w:rPr>
          <w:rFonts w:cs="Times New Roman"/>
          <w:color w:val="000000" w:themeColor="text1"/>
        </w:rPr>
        <w:t xml:space="preserve">houve diferença significativa (P&lt;0.05) apenas para a gordura interna, com maior valor observado para a dieta a base de palma OEM. </w:t>
      </w:r>
      <w:r w:rsidR="00FF0A6C" w:rsidRPr="006C4835">
        <w:rPr>
          <w:rFonts w:cs="Times New Roman"/>
          <w:color w:val="000000" w:themeColor="text1"/>
        </w:rPr>
        <w:t>A maior quantidade de gordura interna observados para os animais alimentados com a dieta contendo palma forrageira pode ter sido causada pelo maior conteúdo de carboidratos não fibrosos presente nesta cactácea, causando diferenciação na produção de ácidos graxos voláteis e sua destinação no corpo dos animais.</w:t>
      </w:r>
    </w:p>
    <w:p w:rsidR="0052335C" w:rsidRPr="007256D5" w:rsidRDefault="0052335C" w:rsidP="00037C73">
      <w:pPr>
        <w:ind w:firstLine="1"/>
        <w:jc w:val="center"/>
        <w:rPr>
          <w:rFonts w:cs="Times New Roman"/>
          <w:b/>
        </w:rPr>
      </w:pPr>
    </w:p>
    <w:p w:rsidR="00037C73" w:rsidRPr="007256D5" w:rsidRDefault="00037C73" w:rsidP="00037C73">
      <w:pPr>
        <w:ind w:firstLine="1"/>
        <w:jc w:val="center"/>
        <w:rPr>
          <w:rFonts w:cs="Times New Roman"/>
          <w:b/>
        </w:rPr>
      </w:pPr>
      <w:r w:rsidRPr="007256D5">
        <w:rPr>
          <w:rFonts w:cs="Times New Roman"/>
          <w:b/>
        </w:rPr>
        <w:t>CONCLUSÕES</w:t>
      </w:r>
    </w:p>
    <w:p w:rsidR="000C7979" w:rsidRPr="007256D5" w:rsidRDefault="000C7979" w:rsidP="00037C73">
      <w:pPr>
        <w:ind w:firstLine="1"/>
        <w:jc w:val="center"/>
        <w:rPr>
          <w:rFonts w:cs="Times New Roman"/>
          <w:b/>
        </w:rPr>
      </w:pPr>
    </w:p>
    <w:p w:rsidR="00037C73" w:rsidRPr="006C4835" w:rsidRDefault="000C7979" w:rsidP="000C7979">
      <w:pPr>
        <w:jc w:val="both"/>
        <w:rPr>
          <w:rFonts w:cs="Times New Roman"/>
          <w:color w:val="000000" w:themeColor="text1"/>
        </w:rPr>
      </w:pPr>
      <w:r w:rsidRPr="007256D5">
        <w:rPr>
          <w:rFonts w:cs="Times New Roman"/>
        </w:rPr>
        <w:t xml:space="preserve">A utilização de palma resistente à cochonilha do carmim (palma Miúda e OEM) na dieta para caprinos não </w:t>
      </w:r>
      <w:r w:rsidRPr="006C4835">
        <w:rPr>
          <w:rFonts w:cs="Times New Roman"/>
          <w:color w:val="000000" w:themeColor="text1"/>
        </w:rPr>
        <w:t>influencia o peso</w:t>
      </w:r>
      <w:r w:rsidR="006C4835" w:rsidRPr="006C4835">
        <w:rPr>
          <w:rFonts w:cs="Times New Roman"/>
          <w:color w:val="000000" w:themeColor="text1"/>
        </w:rPr>
        <w:t>das</w:t>
      </w:r>
      <w:r w:rsidRPr="006C4835">
        <w:rPr>
          <w:rFonts w:cs="Times New Roman"/>
          <w:color w:val="000000" w:themeColor="text1"/>
        </w:rPr>
        <w:t>vísceras.</w:t>
      </w:r>
    </w:p>
    <w:p w:rsidR="00037C73" w:rsidRDefault="00037C73" w:rsidP="00037C73">
      <w:pPr>
        <w:jc w:val="both"/>
        <w:rPr>
          <w:rFonts w:cs="Times New Roman"/>
        </w:rPr>
      </w:pPr>
    </w:p>
    <w:p w:rsidR="007256D5" w:rsidRDefault="007256D5" w:rsidP="00037C73">
      <w:pPr>
        <w:jc w:val="both"/>
        <w:rPr>
          <w:rFonts w:cs="Times New Roman"/>
        </w:rPr>
      </w:pPr>
    </w:p>
    <w:p w:rsidR="00037C73" w:rsidRPr="007256D5" w:rsidRDefault="00037C73" w:rsidP="00037C73">
      <w:pPr>
        <w:jc w:val="center"/>
        <w:rPr>
          <w:rFonts w:cs="Times New Roman"/>
          <w:b/>
        </w:rPr>
      </w:pPr>
      <w:r w:rsidRPr="007256D5">
        <w:rPr>
          <w:rFonts w:cs="Times New Roman"/>
          <w:b/>
        </w:rPr>
        <w:t>AGÊNCIA FINANCIADORA</w:t>
      </w:r>
    </w:p>
    <w:p w:rsidR="000C7979" w:rsidRPr="007256D5" w:rsidRDefault="000C7979" w:rsidP="00037C73">
      <w:pPr>
        <w:jc w:val="center"/>
        <w:rPr>
          <w:rFonts w:cs="Times New Roman"/>
          <w:b/>
        </w:rPr>
      </w:pPr>
    </w:p>
    <w:p w:rsidR="00037C73" w:rsidRPr="007256D5" w:rsidRDefault="00A52657" w:rsidP="000C7979">
      <w:pPr>
        <w:ind w:firstLine="1"/>
        <w:jc w:val="center"/>
        <w:rPr>
          <w:rFonts w:cs="Times New Roman"/>
        </w:rPr>
      </w:pPr>
      <w:r w:rsidRPr="007256D5">
        <w:rPr>
          <w:rFonts w:cs="Times New Roman"/>
          <w:bCs/>
        </w:rPr>
        <w:t>Fundação de Amparo à Ciência e Tecnologia de Pernambuco – FACEPE.</w:t>
      </w:r>
    </w:p>
    <w:p w:rsidR="00037C73" w:rsidRPr="007256D5" w:rsidRDefault="00037C73" w:rsidP="000C7979">
      <w:pPr>
        <w:ind w:left="708" w:firstLine="1"/>
        <w:jc w:val="center"/>
        <w:rPr>
          <w:rFonts w:cs="Times New Roman"/>
        </w:rPr>
      </w:pPr>
    </w:p>
    <w:p w:rsidR="00037C73" w:rsidRPr="007256D5" w:rsidRDefault="00037C73" w:rsidP="000C7979">
      <w:pPr>
        <w:jc w:val="center"/>
        <w:rPr>
          <w:rFonts w:cs="Times New Roman"/>
        </w:rPr>
      </w:pPr>
      <w:r w:rsidRPr="007256D5">
        <w:rPr>
          <w:rFonts w:cs="Times New Roman"/>
          <w:b/>
        </w:rPr>
        <w:t>LITERATURA CITADA</w:t>
      </w:r>
    </w:p>
    <w:p w:rsidR="00A52657" w:rsidRPr="007256D5" w:rsidRDefault="00A52657" w:rsidP="00037C73">
      <w:pPr>
        <w:jc w:val="both"/>
        <w:rPr>
          <w:rFonts w:cs="Times New Roman"/>
        </w:rPr>
      </w:pPr>
    </w:p>
    <w:p w:rsidR="00A52657" w:rsidRDefault="00A52657" w:rsidP="00A52657">
      <w:pPr>
        <w:jc w:val="both"/>
        <w:rPr>
          <w:rFonts w:cs="Times New Roman"/>
        </w:rPr>
      </w:pPr>
      <w:r w:rsidRPr="007256D5">
        <w:rPr>
          <w:rFonts w:cs="Times New Roman"/>
          <w:bCs/>
        </w:rPr>
        <w:t xml:space="preserve">LIMA JÚNIOR, D.M.; CARVALHO, F.F.R.; FERREIRA, B.F.; RIBEIRO, M.N.; MONTEIRO, P.B.S. </w:t>
      </w:r>
      <w:r w:rsidRPr="007256D5">
        <w:rPr>
          <w:rFonts w:cs="Times New Roman"/>
          <w:b/>
          <w:bCs/>
        </w:rPr>
        <w:t xml:space="preserve">Feno de maniçoba na alimentação de caprinos Moxotó. </w:t>
      </w:r>
      <w:r w:rsidRPr="007256D5">
        <w:rPr>
          <w:rFonts w:cs="Times New Roman"/>
          <w:bCs/>
        </w:rPr>
        <w:t>Semina: Ciências Agrárias</w:t>
      </w:r>
      <w:r w:rsidRPr="007256D5">
        <w:rPr>
          <w:rFonts w:cs="Times New Roman"/>
        </w:rPr>
        <w:t>, v.36, p.2211-2222, 2015.</w:t>
      </w:r>
    </w:p>
    <w:p w:rsidR="00767293" w:rsidRDefault="00767293" w:rsidP="00A52657">
      <w:pPr>
        <w:jc w:val="both"/>
        <w:rPr>
          <w:rFonts w:cs="Times New Roman"/>
        </w:rPr>
      </w:pPr>
    </w:p>
    <w:p w:rsidR="00767293" w:rsidRPr="006C4835" w:rsidRDefault="00767293" w:rsidP="00A52657">
      <w:pPr>
        <w:jc w:val="both"/>
        <w:rPr>
          <w:rFonts w:cs="Times New Roman"/>
          <w:color w:val="000000" w:themeColor="text1"/>
          <w:lang w:val="en-US"/>
        </w:rPr>
      </w:pPr>
      <w:r w:rsidRPr="006C4835">
        <w:rPr>
          <w:rFonts w:cs="Times New Roman"/>
          <w:color w:val="000000" w:themeColor="text1"/>
          <w:lang w:val="en-US"/>
        </w:rPr>
        <w:t xml:space="preserve">BRAND, T. S., VAN DER MERWE, D. A., SWART, E., HOFFMAN, L.C. </w:t>
      </w:r>
      <w:r w:rsidRPr="006C4835">
        <w:rPr>
          <w:rFonts w:cs="Times New Roman"/>
          <w:b/>
          <w:color w:val="000000" w:themeColor="text1"/>
          <w:lang w:val="en-US"/>
        </w:rPr>
        <w:t>The effect of finishing period and dietary energy content on the carcass characteristics of Boer goats</w:t>
      </w:r>
      <w:r w:rsidRPr="006C4835">
        <w:rPr>
          <w:rFonts w:cs="Times New Roman"/>
          <w:color w:val="000000" w:themeColor="text1"/>
          <w:lang w:val="en-US"/>
        </w:rPr>
        <w:t xml:space="preserve">.  Small Ruminant Rehearse. In press. Doi: </w:t>
      </w:r>
      <w:hyperlink r:id="rId8" w:history="1">
        <w:r w:rsidRPr="006C4835">
          <w:rPr>
            <w:rStyle w:val="Hyperlink"/>
            <w:rFonts w:cs="Times New Roman"/>
            <w:color w:val="000000" w:themeColor="text1"/>
            <w:lang w:val="en-US"/>
          </w:rPr>
          <w:t>https://doi.org/10.1016/j.smallrumres.2019.03.012</w:t>
        </w:r>
      </w:hyperlink>
      <w:r w:rsidRPr="006C4835">
        <w:rPr>
          <w:rFonts w:cs="Times New Roman"/>
          <w:color w:val="000000" w:themeColor="text1"/>
          <w:lang w:val="en-US"/>
        </w:rPr>
        <w:t>, 2019.</w:t>
      </w:r>
    </w:p>
    <w:p w:rsidR="00A52657" w:rsidRPr="00767293" w:rsidRDefault="00A52657" w:rsidP="00037C73">
      <w:pPr>
        <w:jc w:val="both"/>
        <w:rPr>
          <w:rFonts w:cs="Times New Roman"/>
          <w:lang w:val="en-US"/>
        </w:rPr>
      </w:pPr>
    </w:p>
    <w:p w:rsidR="00C26089" w:rsidRPr="007256D5" w:rsidRDefault="00C26089" w:rsidP="00037C73">
      <w:pPr>
        <w:jc w:val="both"/>
        <w:rPr>
          <w:rFonts w:cs="Times New Roman"/>
        </w:rPr>
      </w:pPr>
      <w:r w:rsidRPr="007256D5">
        <w:rPr>
          <w:rFonts w:cs="Times New Roman"/>
        </w:rPr>
        <w:t>MEDEIROS, G.D.; CARVALHO, F.D.; FERREIRA, M.A.; Alves, K.S.; Mattos, C.W.; SARAIVA, T.D.A.;</w:t>
      </w:r>
      <w:r w:rsidR="00ED7F55" w:rsidRPr="007256D5">
        <w:rPr>
          <w:rFonts w:cs="Times New Roman"/>
        </w:rPr>
        <w:t xml:space="preserve"> NASCIMENTO, J.</w:t>
      </w:r>
      <w:r w:rsidRPr="007256D5">
        <w:rPr>
          <w:rFonts w:cs="Times New Roman"/>
        </w:rPr>
        <w:t xml:space="preserve">D. </w:t>
      </w:r>
      <w:r w:rsidRPr="007256D5">
        <w:rPr>
          <w:rFonts w:cs="Times New Roman"/>
          <w:b/>
        </w:rPr>
        <w:t>Efeito dos níveis de concentrado sobre os componentes não-carcaça de ovinos Morada Nova em confinamento</w:t>
      </w:r>
      <w:r w:rsidRPr="007256D5">
        <w:rPr>
          <w:rFonts w:cs="Times New Roman"/>
        </w:rPr>
        <w:t>. </w:t>
      </w:r>
      <w:r w:rsidRPr="007256D5">
        <w:rPr>
          <w:rFonts w:cs="Times New Roman"/>
          <w:iCs/>
        </w:rPr>
        <w:t>Revista Brasileira de Zootecnia</w:t>
      </w:r>
      <w:r w:rsidRPr="007256D5">
        <w:rPr>
          <w:rFonts w:cs="Times New Roman"/>
        </w:rPr>
        <w:t>, </w:t>
      </w:r>
      <w:r w:rsidR="00ED7F55" w:rsidRPr="007256D5">
        <w:rPr>
          <w:rFonts w:cs="Times New Roman"/>
        </w:rPr>
        <w:t>v.</w:t>
      </w:r>
      <w:r w:rsidRPr="007256D5">
        <w:rPr>
          <w:rFonts w:cs="Times New Roman"/>
          <w:iCs/>
        </w:rPr>
        <w:t>37</w:t>
      </w:r>
      <w:r w:rsidR="00ED7F55" w:rsidRPr="007256D5">
        <w:rPr>
          <w:rFonts w:cs="Times New Roman"/>
        </w:rPr>
        <w:t>, p.1063-1071, 2008.</w:t>
      </w:r>
    </w:p>
    <w:p w:rsidR="002B52A4" w:rsidRPr="007256D5" w:rsidRDefault="002B52A4" w:rsidP="00037C73">
      <w:pPr>
        <w:jc w:val="both"/>
        <w:rPr>
          <w:rFonts w:cs="Times New Roman"/>
        </w:rPr>
      </w:pPr>
    </w:p>
    <w:p w:rsidR="002B52A4" w:rsidRPr="007256D5" w:rsidRDefault="002B52A4" w:rsidP="00037C73">
      <w:pPr>
        <w:jc w:val="both"/>
        <w:rPr>
          <w:rFonts w:cs="Times New Roman"/>
        </w:rPr>
      </w:pPr>
      <w:r w:rsidRPr="007256D5">
        <w:rPr>
          <w:rFonts w:cs="Times New Roman"/>
        </w:rPr>
        <w:t xml:space="preserve">SILVA, R.C.; FERREIRA, M.A.; OLIVEIRA, J.C.V.; SANTOS, D.C.; GAMA, M.A.S.; CHAGAS, J.C.C.; INÁCIO, J.G.: SILVA, E.T.S.; PEREIRA, L. G. R. </w:t>
      </w:r>
      <w:r w:rsidRPr="007256D5">
        <w:rPr>
          <w:rFonts w:cs="Times New Roman"/>
          <w:b/>
        </w:rPr>
        <w:t>Orelha de Elefante Mexicana (Opuntiastricta [Haw.] Haw.) spinelesscactus as anoption in crossbreddairycattle diet.</w:t>
      </w:r>
      <w:r w:rsidRPr="007256D5">
        <w:rPr>
          <w:rFonts w:cs="Times New Roman"/>
        </w:rPr>
        <w:t> </w:t>
      </w:r>
      <w:r w:rsidRPr="007256D5">
        <w:rPr>
          <w:rFonts w:cs="Times New Roman"/>
          <w:iCs/>
        </w:rPr>
        <w:t>South AfricanJournalof Animal Science</w:t>
      </w:r>
      <w:r w:rsidRPr="007256D5">
        <w:rPr>
          <w:rFonts w:cs="Times New Roman"/>
        </w:rPr>
        <w:t>, v.</w:t>
      </w:r>
      <w:r w:rsidRPr="007256D5">
        <w:rPr>
          <w:rFonts w:cs="Times New Roman"/>
          <w:iCs/>
        </w:rPr>
        <w:t>48</w:t>
      </w:r>
      <w:r w:rsidRPr="007256D5">
        <w:rPr>
          <w:rFonts w:cs="Times New Roman"/>
        </w:rPr>
        <w:t>, p.516-525, 2018.</w:t>
      </w:r>
    </w:p>
    <w:p w:rsidR="00135198" w:rsidRPr="007256D5" w:rsidRDefault="00135198">
      <w:pPr>
        <w:rPr>
          <w:rFonts w:cs="Times New Roman"/>
        </w:rPr>
      </w:pPr>
    </w:p>
    <w:sectPr w:rsidR="00135198" w:rsidRPr="007256D5" w:rsidSect="008123F1">
      <w:footerReference w:type="default" r:id="rId9"/>
      <w:headerReference w:type="first" r:id="rId10"/>
      <w:footerReference w:type="first" r:id="rId11"/>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9CF" w:rsidRDefault="00CC39CF" w:rsidP="00955AF0">
      <w:r>
        <w:separator/>
      </w:r>
    </w:p>
  </w:endnote>
  <w:endnote w:type="continuationSeparator" w:id="1">
    <w:p w:rsidR="00CC39CF" w:rsidRDefault="00CC39CF" w:rsidP="00955A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73" w:rsidRDefault="00037C73">
    <w:pPr>
      <w:pStyle w:val="Rodap"/>
    </w:pPr>
    <w:r>
      <w:t>X EXPOAGROCIENCIA</w:t>
    </w:r>
  </w:p>
  <w:p w:rsidR="00037C73" w:rsidRDefault="00037C7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73" w:rsidRDefault="00037C73">
    <w:pPr>
      <w:pStyle w:val="Rodap"/>
    </w:pPr>
    <w:r>
      <w:t>X EXPOAGROCIENCIA</w:t>
    </w:r>
  </w:p>
  <w:p w:rsidR="00037C73" w:rsidRDefault="00037C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9CF" w:rsidRDefault="00CC39CF" w:rsidP="00955AF0">
      <w:r>
        <w:separator/>
      </w:r>
    </w:p>
  </w:footnote>
  <w:footnote w:type="continuationSeparator" w:id="1">
    <w:p w:rsidR="00CC39CF" w:rsidRDefault="00CC39CF" w:rsidP="00955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A0" w:rsidRPr="008123F1" w:rsidRDefault="002378A0" w:rsidP="002378A0">
    <w:pPr>
      <w:pStyle w:val="Cabealho"/>
      <w:jc w:val="center"/>
      <w:rPr>
        <w:rFonts w:cs="Times New Roman"/>
        <w:b/>
      </w:rPr>
    </w:pPr>
    <w:r w:rsidRPr="008123F1">
      <w:rPr>
        <w:rFonts w:cs="Times New Roman"/>
        <w:b/>
      </w:rPr>
      <w:t>XXVI</w:t>
    </w:r>
    <w:r w:rsidR="00395732">
      <w:rPr>
        <w:rFonts w:cs="Times New Roman"/>
        <w:b/>
      </w:rPr>
      <w:t>I</w:t>
    </w:r>
    <w:r w:rsidRPr="008123F1">
      <w:rPr>
        <w:rFonts w:cs="Times New Roman"/>
        <w:b/>
      </w:rPr>
      <w:t xml:space="preserve"> SEMANA DE ZOOTE</w:t>
    </w:r>
    <w:r w:rsidR="000D2388">
      <w:rPr>
        <w:rFonts w:cs="Times New Roman"/>
        <w:b/>
      </w:rPr>
      <w:t>C</w:t>
    </w:r>
    <w:r w:rsidRPr="008123F1">
      <w:rPr>
        <w:rFonts w:cs="Times New Roman"/>
        <w:b/>
      </w:rPr>
      <w:t>NIA DA UFRPE</w:t>
    </w:r>
  </w:p>
  <w:p w:rsidR="002378A0" w:rsidRPr="008123F1" w:rsidRDefault="00395732" w:rsidP="002378A0">
    <w:pPr>
      <w:pStyle w:val="Cabealho"/>
      <w:jc w:val="center"/>
      <w:rPr>
        <w:rFonts w:cs="Times New Roman"/>
        <w:b/>
      </w:rPr>
    </w:pPr>
    <w:r>
      <w:rPr>
        <w:rFonts w:cs="Times New Roman"/>
        <w:b/>
      </w:rPr>
      <w:t>RECIFE ● PERNAMBUCO ● 28 A 30 DE MAIO DE 2019</w:t>
    </w:r>
  </w:p>
  <w:p w:rsidR="008123F1" w:rsidRPr="008123F1" w:rsidRDefault="008123F1" w:rsidP="002378A0">
    <w:pPr>
      <w:pStyle w:val="Cabealho"/>
      <w:jc w:val="center"/>
    </w:pPr>
    <w:r w:rsidRPr="008123F1">
      <w:rPr>
        <w:rFonts w:cs="Times New Roman"/>
        <w:b/>
        <w:color w:val="222222"/>
        <w:shd w:val="clear" w:color="auto" w:fill="FFFFFF"/>
      </w:rPr>
      <w:t>X EXPOAGROCIÊNCIA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955AF0"/>
    <w:rsid w:val="00016EF2"/>
    <w:rsid w:val="00037C73"/>
    <w:rsid w:val="0005453D"/>
    <w:rsid w:val="0007205B"/>
    <w:rsid w:val="000B2500"/>
    <w:rsid w:val="000C7979"/>
    <w:rsid w:val="000D2388"/>
    <w:rsid w:val="0010689C"/>
    <w:rsid w:val="00135198"/>
    <w:rsid w:val="00150D98"/>
    <w:rsid w:val="00152121"/>
    <w:rsid w:val="0017218F"/>
    <w:rsid w:val="001D3A4E"/>
    <w:rsid w:val="002121AA"/>
    <w:rsid w:val="00235116"/>
    <w:rsid w:val="002378A0"/>
    <w:rsid w:val="00255A07"/>
    <w:rsid w:val="002B52A4"/>
    <w:rsid w:val="002F6537"/>
    <w:rsid w:val="003470C5"/>
    <w:rsid w:val="00373BBC"/>
    <w:rsid w:val="00395732"/>
    <w:rsid w:val="003C0DF5"/>
    <w:rsid w:val="00412B28"/>
    <w:rsid w:val="00425F3C"/>
    <w:rsid w:val="00435EEB"/>
    <w:rsid w:val="004C60FD"/>
    <w:rsid w:val="004D7DA6"/>
    <w:rsid w:val="0052335C"/>
    <w:rsid w:val="00523C6C"/>
    <w:rsid w:val="005E2CAF"/>
    <w:rsid w:val="0061309D"/>
    <w:rsid w:val="00640F65"/>
    <w:rsid w:val="00660D63"/>
    <w:rsid w:val="00664DDB"/>
    <w:rsid w:val="006C4835"/>
    <w:rsid w:val="006C6649"/>
    <w:rsid w:val="006D641B"/>
    <w:rsid w:val="007256D5"/>
    <w:rsid w:val="0074001E"/>
    <w:rsid w:val="007474B7"/>
    <w:rsid w:val="0076125B"/>
    <w:rsid w:val="00767293"/>
    <w:rsid w:val="007C5069"/>
    <w:rsid w:val="00803818"/>
    <w:rsid w:val="008123F1"/>
    <w:rsid w:val="00816376"/>
    <w:rsid w:val="00821D66"/>
    <w:rsid w:val="008272D6"/>
    <w:rsid w:val="008A663C"/>
    <w:rsid w:val="00955AF0"/>
    <w:rsid w:val="009C3CE1"/>
    <w:rsid w:val="009F7352"/>
    <w:rsid w:val="00A52657"/>
    <w:rsid w:val="00B905ED"/>
    <w:rsid w:val="00BE54D1"/>
    <w:rsid w:val="00C26089"/>
    <w:rsid w:val="00C306DE"/>
    <w:rsid w:val="00C53A3E"/>
    <w:rsid w:val="00CB267C"/>
    <w:rsid w:val="00CC39CF"/>
    <w:rsid w:val="00CD0471"/>
    <w:rsid w:val="00D4470E"/>
    <w:rsid w:val="00D634AD"/>
    <w:rsid w:val="00D64B29"/>
    <w:rsid w:val="00DD0813"/>
    <w:rsid w:val="00DF2E73"/>
    <w:rsid w:val="00E03DE1"/>
    <w:rsid w:val="00E91E09"/>
    <w:rsid w:val="00EB5E7A"/>
    <w:rsid w:val="00ED7F55"/>
    <w:rsid w:val="00F20682"/>
    <w:rsid w:val="00F51CA1"/>
    <w:rsid w:val="00FF0A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F0"/>
    <w:pPr>
      <w:spacing w:after="0" w:line="240" w:lineRule="auto"/>
    </w:pPr>
    <w:rPr>
      <w:rFonts w:ascii="Times New Roman" w:hAnsi="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AF0"/>
    <w:pPr>
      <w:tabs>
        <w:tab w:val="center" w:pos="4252"/>
        <w:tab w:val="right" w:pos="8504"/>
      </w:tabs>
    </w:pPr>
  </w:style>
  <w:style w:type="character" w:customStyle="1" w:styleId="CabealhoChar">
    <w:name w:val="Cabeçalho Char"/>
    <w:basedOn w:val="Fontepargpadro"/>
    <w:link w:val="Cabealho"/>
    <w:uiPriority w:val="99"/>
    <w:rsid w:val="00955AF0"/>
    <w:rPr>
      <w:rFonts w:ascii="Times New Roman" w:hAnsi="Times New Roman"/>
      <w:sz w:val="20"/>
      <w:szCs w:val="20"/>
      <w:lang w:eastAsia="pt-BR"/>
    </w:rPr>
  </w:style>
  <w:style w:type="paragraph" w:styleId="Rodap">
    <w:name w:val="footer"/>
    <w:basedOn w:val="Normal"/>
    <w:link w:val="RodapChar"/>
    <w:uiPriority w:val="99"/>
    <w:unhideWhenUsed/>
    <w:rsid w:val="00955AF0"/>
    <w:pPr>
      <w:tabs>
        <w:tab w:val="center" w:pos="4252"/>
        <w:tab w:val="right" w:pos="8504"/>
      </w:tabs>
    </w:pPr>
  </w:style>
  <w:style w:type="character" w:customStyle="1" w:styleId="RodapChar">
    <w:name w:val="Rodapé Char"/>
    <w:basedOn w:val="Fontepargpadro"/>
    <w:link w:val="Rodap"/>
    <w:uiPriority w:val="99"/>
    <w:rsid w:val="00955AF0"/>
    <w:rPr>
      <w:rFonts w:ascii="Times New Roman" w:hAnsi="Times New Roman"/>
      <w:sz w:val="20"/>
      <w:szCs w:val="20"/>
      <w:lang w:eastAsia="pt-BR"/>
    </w:rPr>
  </w:style>
  <w:style w:type="paragraph" w:styleId="Textodebalo">
    <w:name w:val="Balloon Text"/>
    <w:basedOn w:val="Normal"/>
    <w:link w:val="TextodebaloChar"/>
    <w:uiPriority w:val="99"/>
    <w:semiHidden/>
    <w:unhideWhenUsed/>
    <w:rsid w:val="00955AF0"/>
    <w:rPr>
      <w:rFonts w:ascii="Tahoma" w:hAnsi="Tahoma" w:cs="Tahoma"/>
      <w:sz w:val="16"/>
      <w:szCs w:val="16"/>
    </w:rPr>
  </w:style>
  <w:style w:type="character" w:customStyle="1" w:styleId="TextodebaloChar">
    <w:name w:val="Texto de balão Char"/>
    <w:basedOn w:val="Fontepargpadro"/>
    <w:link w:val="Textodebalo"/>
    <w:uiPriority w:val="99"/>
    <w:semiHidden/>
    <w:rsid w:val="00955AF0"/>
    <w:rPr>
      <w:rFonts w:ascii="Tahoma" w:hAnsi="Tahoma" w:cs="Tahoma"/>
      <w:sz w:val="16"/>
      <w:szCs w:val="16"/>
      <w:lang w:eastAsia="pt-BR"/>
    </w:rPr>
  </w:style>
  <w:style w:type="character" w:styleId="Hyperlink">
    <w:name w:val="Hyperlink"/>
    <w:basedOn w:val="Fontepargpadro"/>
    <w:uiPriority w:val="99"/>
    <w:unhideWhenUsed/>
    <w:rsid w:val="007672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70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mallrumres.2019.03.0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1447</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AVALIAÇÃO DE TRABALHOS CIENTÍFICOS DA XXVI SEMANA DE ZOOTECNIA DA UFRPE</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DE TRABALHOS CIENTÍFICOS DA XXVI SEMANA DE ZOOTECNIA DA UFRPE</dc:title>
  <dc:creator>pc-2016</dc:creator>
  <cp:lastModifiedBy>daniely</cp:lastModifiedBy>
  <cp:revision>22</cp:revision>
  <dcterms:created xsi:type="dcterms:W3CDTF">2019-04-20T23:13:00Z</dcterms:created>
  <dcterms:modified xsi:type="dcterms:W3CDTF">2019-04-28T00:08:00Z</dcterms:modified>
</cp:coreProperties>
</file>