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7D4015" w14:textId="77777777" w:rsidR="00B555C8" w:rsidRPr="00BE0CEC" w:rsidRDefault="00B555C8">
      <w:pPr>
        <w:spacing w:line="240" w:lineRule="auto"/>
        <w:jc w:val="both"/>
        <w:rPr>
          <w:rFonts w:eastAsia="Times New Roman"/>
          <w:b/>
          <w:sz w:val="20"/>
          <w:szCs w:val="20"/>
        </w:rPr>
      </w:pPr>
      <w:bookmarkStart w:id="0" w:name="_gjdgxs" w:colFirst="0" w:colLast="0"/>
      <w:bookmarkEnd w:id="0"/>
    </w:p>
    <w:p w14:paraId="7510125C" w14:textId="1C1AFEDB" w:rsidR="00B555C8" w:rsidRPr="00BE0CEC" w:rsidRDefault="00B1788E">
      <w:pPr>
        <w:spacing w:line="240" w:lineRule="auto"/>
        <w:jc w:val="both"/>
        <w:rPr>
          <w:rFonts w:eastAsia="Times New Roman"/>
          <w:b/>
          <w:sz w:val="20"/>
          <w:szCs w:val="20"/>
        </w:rPr>
      </w:pPr>
      <w:r w:rsidRPr="00BE0CEC">
        <w:rPr>
          <w:rFonts w:eastAsia="Times New Roman"/>
          <w:b/>
          <w:sz w:val="20"/>
          <w:szCs w:val="20"/>
        </w:rPr>
        <w:t>ARÉA TEMÁTICA:</w:t>
      </w:r>
      <w:r w:rsidR="007673DC" w:rsidRPr="00BE0CEC">
        <w:rPr>
          <w:rFonts w:eastAsia="Times New Roman"/>
          <w:b/>
          <w:sz w:val="20"/>
          <w:szCs w:val="20"/>
        </w:rPr>
        <w:t xml:space="preserve"> Ecologia </w:t>
      </w:r>
    </w:p>
    <w:p w14:paraId="049D3E20" w14:textId="49129238" w:rsidR="00B555C8" w:rsidRPr="00BE0CEC" w:rsidRDefault="00B1788E">
      <w:pPr>
        <w:spacing w:line="240" w:lineRule="auto"/>
        <w:jc w:val="both"/>
        <w:rPr>
          <w:rFonts w:eastAsia="Times New Roman"/>
          <w:b/>
          <w:sz w:val="20"/>
          <w:szCs w:val="20"/>
        </w:rPr>
      </w:pPr>
      <w:r w:rsidRPr="00BE0CEC">
        <w:rPr>
          <w:rFonts w:eastAsia="Times New Roman"/>
          <w:b/>
          <w:sz w:val="20"/>
          <w:szCs w:val="20"/>
        </w:rPr>
        <w:t>SUBÁREA TEMÁTICA:</w:t>
      </w:r>
      <w:r w:rsidR="00FA57F9">
        <w:rPr>
          <w:rFonts w:eastAsia="Times New Roman"/>
          <w:b/>
          <w:sz w:val="20"/>
          <w:szCs w:val="20"/>
        </w:rPr>
        <w:t xml:space="preserve"> </w:t>
      </w:r>
      <w:r w:rsidR="00D45D0B">
        <w:rPr>
          <w:rFonts w:eastAsia="Times New Roman"/>
          <w:b/>
          <w:sz w:val="20"/>
          <w:szCs w:val="20"/>
        </w:rPr>
        <w:t>Invertebrados</w:t>
      </w:r>
    </w:p>
    <w:p w14:paraId="1F64F7EA" w14:textId="77777777" w:rsidR="00B555C8" w:rsidRPr="00BE0CEC" w:rsidRDefault="00B555C8">
      <w:pPr>
        <w:spacing w:line="240" w:lineRule="auto"/>
        <w:jc w:val="both"/>
        <w:rPr>
          <w:rFonts w:eastAsia="Times New Roman"/>
          <w:b/>
          <w:sz w:val="20"/>
          <w:szCs w:val="20"/>
        </w:rPr>
      </w:pPr>
    </w:p>
    <w:p w14:paraId="7F879EE0" w14:textId="543608A0" w:rsidR="00B555C8" w:rsidRPr="00BE0CEC" w:rsidRDefault="005F41AF">
      <w:pPr>
        <w:spacing w:line="240" w:lineRule="auto"/>
        <w:jc w:val="center"/>
        <w:rPr>
          <w:rFonts w:eastAsia="Times New Roman"/>
          <w:b/>
          <w:sz w:val="20"/>
          <w:szCs w:val="20"/>
        </w:rPr>
      </w:pPr>
      <w:r>
        <w:rPr>
          <w:rFonts w:eastAsia="Times New Roman"/>
          <w:b/>
          <w:sz w:val="20"/>
          <w:szCs w:val="20"/>
        </w:rPr>
        <w:t xml:space="preserve">SÍNTESE DOS ESTUDOS SOBRE A VARIAÇÃO </w:t>
      </w:r>
      <w:r w:rsidR="00032F80">
        <w:rPr>
          <w:rFonts w:eastAsia="Times New Roman"/>
          <w:b/>
          <w:sz w:val="20"/>
          <w:szCs w:val="20"/>
        </w:rPr>
        <w:t>TEMPORAL DA COMUNIDADE ZOOPLANCTÔNICA EM ECOSSISTEMAS ESTUARINOS</w:t>
      </w:r>
      <w:r>
        <w:rPr>
          <w:rFonts w:eastAsia="Times New Roman"/>
          <w:b/>
          <w:sz w:val="20"/>
          <w:szCs w:val="20"/>
        </w:rPr>
        <w:t xml:space="preserve"> DE PERNAMBUCO</w:t>
      </w:r>
    </w:p>
    <w:p w14:paraId="07198180" w14:textId="77777777" w:rsidR="00B555C8" w:rsidRPr="00BE0CEC" w:rsidRDefault="00B555C8">
      <w:pPr>
        <w:spacing w:line="240" w:lineRule="auto"/>
        <w:jc w:val="center"/>
        <w:rPr>
          <w:rFonts w:eastAsia="Times New Roman"/>
          <w:b/>
          <w:sz w:val="20"/>
          <w:szCs w:val="20"/>
        </w:rPr>
      </w:pPr>
    </w:p>
    <w:p w14:paraId="7889BDD9" w14:textId="77DCA59F" w:rsidR="00B555C8" w:rsidRPr="00BE0CEC" w:rsidRDefault="007673DC">
      <w:pPr>
        <w:spacing w:line="240" w:lineRule="auto"/>
        <w:jc w:val="center"/>
        <w:rPr>
          <w:rFonts w:eastAsia="Times New Roman"/>
          <w:sz w:val="20"/>
          <w:szCs w:val="20"/>
        </w:rPr>
      </w:pPr>
      <w:r w:rsidRPr="00BE0CEC">
        <w:rPr>
          <w:rFonts w:eastAsia="Times New Roman"/>
          <w:sz w:val="20"/>
          <w:szCs w:val="20"/>
        </w:rPr>
        <w:t xml:space="preserve">Maria Clara Eugênio de Amorim e Silva¹, Mauro de Melo Júnior² </w:t>
      </w:r>
    </w:p>
    <w:p w14:paraId="5745306E" w14:textId="256E4AF6" w:rsidR="00B555C8" w:rsidRPr="00BE0CEC" w:rsidRDefault="00B1788E">
      <w:pPr>
        <w:spacing w:line="240" w:lineRule="auto"/>
        <w:jc w:val="center"/>
        <w:rPr>
          <w:rFonts w:eastAsia="Times New Roman"/>
          <w:sz w:val="20"/>
          <w:szCs w:val="20"/>
        </w:rPr>
      </w:pPr>
      <w:r w:rsidRPr="00BE0CEC">
        <w:rPr>
          <w:rFonts w:eastAsia="Times New Roman"/>
          <w:sz w:val="20"/>
          <w:szCs w:val="20"/>
        </w:rPr>
        <w:t>¹ Universidade Federal</w:t>
      </w:r>
      <w:r w:rsidR="007673DC" w:rsidRPr="00BE0CEC">
        <w:rPr>
          <w:rFonts w:eastAsia="Times New Roman"/>
          <w:sz w:val="20"/>
          <w:szCs w:val="20"/>
        </w:rPr>
        <w:t xml:space="preserve"> Rural</w:t>
      </w:r>
      <w:r w:rsidRPr="00BE0CEC">
        <w:rPr>
          <w:rFonts w:eastAsia="Times New Roman"/>
          <w:sz w:val="20"/>
          <w:szCs w:val="20"/>
        </w:rPr>
        <w:t xml:space="preserve"> de Pernambuco (UF</w:t>
      </w:r>
      <w:r w:rsidR="007673DC" w:rsidRPr="00BE0CEC">
        <w:rPr>
          <w:rFonts w:eastAsia="Times New Roman"/>
          <w:sz w:val="20"/>
          <w:szCs w:val="20"/>
        </w:rPr>
        <w:t>R</w:t>
      </w:r>
      <w:r w:rsidRPr="00BE0CEC">
        <w:rPr>
          <w:rFonts w:eastAsia="Times New Roman"/>
          <w:sz w:val="20"/>
          <w:szCs w:val="20"/>
        </w:rPr>
        <w:t xml:space="preserve">PE), </w:t>
      </w:r>
      <w:r w:rsidRPr="00BE0CEC">
        <w:rPr>
          <w:rFonts w:eastAsia="Times New Roman"/>
          <w:iCs/>
          <w:sz w:val="20"/>
          <w:szCs w:val="20"/>
        </w:rPr>
        <w:t xml:space="preserve">Campus </w:t>
      </w:r>
      <w:r w:rsidR="007673DC" w:rsidRPr="00BE0CEC">
        <w:rPr>
          <w:rFonts w:eastAsia="Times New Roman"/>
          <w:iCs/>
          <w:sz w:val="20"/>
          <w:szCs w:val="20"/>
        </w:rPr>
        <w:t>Dois Irmãos</w:t>
      </w:r>
      <w:r w:rsidRPr="00BE0CEC">
        <w:rPr>
          <w:rFonts w:eastAsia="Times New Roman"/>
          <w:iCs/>
          <w:sz w:val="20"/>
          <w:szCs w:val="20"/>
        </w:rPr>
        <w:t>.</w:t>
      </w:r>
      <w:r w:rsidRPr="00BE0CEC">
        <w:rPr>
          <w:rFonts w:eastAsia="Times New Roman"/>
          <w:sz w:val="20"/>
          <w:szCs w:val="20"/>
        </w:rPr>
        <w:t xml:space="preserve"> E-mail (</w:t>
      </w:r>
      <w:r w:rsidR="00FA57F9">
        <w:rPr>
          <w:rFonts w:eastAsia="Times New Roman"/>
          <w:sz w:val="20"/>
          <w:szCs w:val="20"/>
        </w:rPr>
        <w:t>MCEAS</w:t>
      </w:r>
      <w:r w:rsidRPr="00BE0CEC">
        <w:rPr>
          <w:rFonts w:eastAsia="Times New Roman"/>
          <w:sz w:val="20"/>
          <w:szCs w:val="20"/>
        </w:rPr>
        <w:t xml:space="preserve">): </w:t>
      </w:r>
      <w:r w:rsidR="007673DC" w:rsidRPr="00BE0CEC">
        <w:rPr>
          <w:rFonts w:eastAsia="Times New Roman"/>
          <w:sz w:val="20"/>
          <w:szCs w:val="20"/>
        </w:rPr>
        <w:t>clara.amorim</w:t>
      </w:r>
      <w:r w:rsidRPr="00BE0CEC">
        <w:rPr>
          <w:rFonts w:eastAsia="Times New Roman"/>
          <w:sz w:val="20"/>
          <w:szCs w:val="20"/>
        </w:rPr>
        <w:t>@uf</w:t>
      </w:r>
      <w:r w:rsidR="007673DC" w:rsidRPr="00BE0CEC">
        <w:rPr>
          <w:rFonts w:eastAsia="Times New Roman"/>
          <w:sz w:val="20"/>
          <w:szCs w:val="20"/>
        </w:rPr>
        <w:t>r</w:t>
      </w:r>
      <w:r w:rsidRPr="00BE0CEC">
        <w:rPr>
          <w:rFonts w:eastAsia="Times New Roman"/>
          <w:sz w:val="20"/>
          <w:szCs w:val="20"/>
        </w:rPr>
        <w:t>pe.br</w:t>
      </w:r>
    </w:p>
    <w:p w14:paraId="145FDCE2" w14:textId="0B6F295C" w:rsidR="00B555C8" w:rsidRPr="00BE0CEC" w:rsidRDefault="00B1788E">
      <w:pPr>
        <w:spacing w:line="240" w:lineRule="auto"/>
        <w:jc w:val="center"/>
        <w:rPr>
          <w:rFonts w:eastAsia="Times New Roman"/>
          <w:sz w:val="20"/>
          <w:szCs w:val="20"/>
        </w:rPr>
      </w:pPr>
      <w:r w:rsidRPr="00BE0CEC">
        <w:rPr>
          <w:rFonts w:eastAsia="Times New Roman"/>
          <w:sz w:val="20"/>
          <w:szCs w:val="20"/>
        </w:rPr>
        <w:t>² Universidade Federal</w:t>
      </w:r>
      <w:r w:rsidR="007673DC" w:rsidRPr="00BE0CEC">
        <w:rPr>
          <w:rFonts w:eastAsia="Times New Roman"/>
          <w:sz w:val="20"/>
          <w:szCs w:val="20"/>
        </w:rPr>
        <w:t xml:space="preserve"> Rural</w:t>
      </w:r>
      <w:r w:rsidRPr="00BE0CEC">
        <w:rPr>
          <w:rFonts w:eastAsia="Times New Roman"/>
          <w:sz w:val="20"/>
          <w:szCs w:val="20"/>
        </w:rPr>
        <w:t xml:space="preserve"> de Pernambuco (UF</w:t>
      </w:r>
      <w:r w:rsidR="007673DC" w:rsidRPr="00BE0CEC">
        <w:rPr>
          <w:rFonts w:eastAsia="Times New Roman"/>
          <w:sz w:val="20"/>
          <w:szCs w:val="20"/>
        </w:rPr>
        <w:t>R</w:t>
      </w:r>
      <w:r w:rsidRPr="00BE0CEC">
        <w:rPr>
          <w:rFonts w:eastAsia="Times New Roman"/>
          <w:sz w:val="20"/>
          <w:szCs w:val="20"/>
        </w:rPr>
        <w:t xml:space="preserve">PE), </w:t>
      </w:r>
      <w:r w:rsidRPr="00BE0CEC">
        <w:rPr>
          <w:rFonts w:eastAsia="Times New Roman"/>
          <w:iCs/>
          <w:sz w:val="20"/>
          <w:szCs w:val="20"/>
        </w:rPr>
        <w:t xml:space="preserve">Campus </w:t>
      </w:r>
      <w:r w:rsidR="007673DC" w:rsidRPr="00BE0CEC">
        <w:rPr>
          <w:rFonts w:eastAsia="Times New Roman"/>
          <w:iCs/>
          <w:sz w:val="20"/>
          <w:szCs w:val="20"/>
        </w:rPr>
        <w:t>Dois Irmãos</w:t>
      </w:r>
      <w:r w:rsidRPr="00BE0CEC">
        <w:rPr>
          <w:rFonts w:eastAsia="Times New Roman"/>
          <w:i/>
          <w:sz w:val="20"/>
          <w:szCs w:val="20"/>
        </w:rPr>
        <w:t xml:space="preserve">. </w:t>
      </w:r>
      <w:r w:rsidRPr="00BE0CEC">
        <w:rPr>
          <w:rFonts w:eastAsia="Times New Roman"/>
          <w:sz w:val="20"/>
          <w:szCs w:val="20"/>
        </w:rPr>
        <w:t>E-mail (</w:t>
      </w:r>
      <w:proofErr w:type="spellStart"/>
      <w:r w:rsidR="00FA57F9">
        <w:rPr>
          <w:rFonts w:eastAsia="Times New Roman"/>
          <w:sz w:val="20"/>
          <w:szCs w:val="20"/>
        </w:rPr>
        <w:t>MMJr</w:t>
      </w:r>
      <w:proofErr w:type="spellEnd"/>
      <w:r w:rsidRPr="00BE0CEC">
        <w:rPr>
          <w:rFonts w:eastAsia="Times New Roman"/>
          <w:sz w:val="20"/>
          <w:szCs w:val="20"/>
        </w:rPr>
        <w:t xml:space="preserve">): </w:t>
      </w:r>
      <w:r w:rsidR="00FA57F9">
        <w:rPr>
          <w:rFonts w:eastAsia="Times New Roman"/>
          <w:sz w:val="20"/>
          <w:szCs w:val="20"/>
        </w:rPr>
        <w:t>mauro.melojr</w:t>
      </w:r>
      <w:r w:rsidRPr="00BE0CEC">
        <w:rPr>
          <w:rFonts w:eastAsia="Times New Roman"/>
          <w:sz w:val="20"/>
          <w:szCs w:val="20"/>
        </w:rPr>
        <w:t>@uf</w:t>
      </w:r>
      <w:r w:rsidR="00FA57F9">
        <w:rPr>
          <w:rFonts w:eastAsia="Times New Roman"/>
          <w:sz w:val="20"/>
          <w:szCs w:val="20"/>
        </w:rPr>
        <w:t>r</w:t>
      </w:r>
      <w:r w:rsidRPr="00BE0CEC">
        <w:rPr>
          <w:rFonts w:eastAsia="Times New Roman"/>
          <w:sz w:val="20"/>
          <w:szCs w:val="20"/>
        </w:rPr>
        <w:t>pe.br</w:t>
      </w:r>
    </w:p>
    <w:p w14:paraId="3CA97350" w14:textId="77777777" w:rsidR="00B555C8" w:rsidRPr="00BE0CEC" w:rsidRDefault="00B555C8">
      <w:pPr>
        <w:spacing w:line="240" w:lineRule="auto"/>
        <w:rPr>
          <w:rFonts w:eastAsia="Times New Roman"/>
          <w:b/>
          <w:sz w:val="20"/>
          <w:szCs w:val="20"/>
        </w:rPr>
      </w:pPr>
    </w:p>
    <w:p w14:paraId="4BB99A28" w14:textId="77777777" w:rsidR="00B555C8" w:rsidRPr="00BE0CEC" w:rsidRDefault="00B1788E">
      <w:pPr>
        <w:spacing w:line="240" w:lineRule="auto"/>
        <w:rPr>
          <w:rFonts w:eastAsia="Times New Roman"/>
          <w:b/>
          <w:sz w:val="20"/>
          <w:szCs w:val="20"/>
        </w:rPr>
      </w:pPr>
      <w:r w:rsidRPr="00BE0CEC">
        <w:rPr>
          <w:rFonts w:eastAsia="Times New Roman"/>
          <w:b/>
          <w:sz w:val="20"/>
          <w:szCs w:val="20"/>
        </w:rPr>
        <w:t>INTRODUÇÃO</w:t>
      </w:r>
    </w:p>
    <w:p w14:paraId="607A9198" w14:textId="42926917" w:rsidR="00B81A93" w:rsidRPr="00105142" w:rsidRDefault="00B81A93" w:rsidP="00B81A93">
      <w:pPr>
        <w:spacing w:line="240" w:lineRule="auto"/>
        <w:ind w:firstLine="567"/>
        <w:jc w:val="both"/>
        <w:rPr>
          <w:sz w:val="20"/>
          <w:szCs w:val="20"/>
        </w:rPr>
      </w:pPr>
      <w:r>
        <w:rPr>
          <w:sz w:val="20"/>
          <w:szCs w:val="20"/>
        </w:rPr>
        <w:t xml:space="preserve">Os estuários são ambientes </w:t>
      </w:r>
      <w:r w:rsidR="007C7A65">
        <w:rPr>
          <w:sz w:val="20"/>
          <w:szCs w:val="20"/>
        </w:rPr>
        <w:t>em que</w:t>
      </w:r>
      <w:r>
        <w:rPr>
          <w:sz w:val="20"/>
          <w:szCs w:val="20"/>
        </w:rPr>
        <w:t xml:space="preserve"> ocorre o encontro e interação entre água doce, água do mar, terra e atmosfera, </w:t>
      </w:r>
      <w:r w:rsidR="007C7A65">
        <w:rPr>
          <w:sz w:val="20"/>
          <w:szCs w:val="20"/>
        </w:rPr>
        <w:t>sofrendo com</w:t>
      </w:r>
      <w:r w:rsidRPr="00836B4D">
        <w:rPr>
          <w:sz w:val="20"/>
          <w:szCs w:val="20"/>
        </w:rPr>
        <w:t xml:space="preserve"> variaç</w:t>
      </w:r>
      <w:r w:rsidR="007C7A65">
        <w:rPr>
          <w:sz w:val="20"/>
          <w:szCs w:val="20"/>
        </w:rPr>
        <w:t>ões</w:t>
      </w:r>
      <w:r w:rsidRPr="00836B4D">
        <w:rPr>
          <w:sz w:val="20"/>
          <w:szCs w:val="20"/>
        </w:rPr>
        <w:t xml:space="preserve"> constante</w:t>
      </w:r>
      <w:r w:rsidR="007C7A65">
        <w:rPr>
          <w:sz w:val="20"/>
          <w:szCs w:val="20"/>
        </w:rPr>
        <w:t>s</w:t>
      </w:r>
      <w:r w:rsidRPr="00836B4D">
        <w:rPr>
          <w:sz w:val="20"/>
          <w:szCs w:val="20"/>
        </w:rPr>
        <w:t xml:space="preserve"> dos fatores abióticos, que influenciam diretamente na dinâmica dos organismos e produtividade desses ecossistemas (Day Jr et al., 2012)</w:t>
      </w:r>
      <w:r>
        <w:rPr>
          <w:sz w:val="20"/>
          <w:szCs w:val="20"/>
        </w:rPr>
        <w:t xml:space="preserve">. Além disso, </w:t>
      </w:r>
      <w:r w:rsidRPr="00010F36">
        <w:rPr>
          <w:rFonts w:eastAsia="Times New Roman"/>
          <w:sz w:val="20"/>
          <w:szCs w:val="20"/>
        </w:rPr>
        <w:t xml:space="preserve">este ecossistema </w:t>
      </w:r>
      <w:r>
        <w:rPr>
          <w:rFonts w:eastAsia="Times New Roman"/>
          <w:sz w:val="20"/>
          <w:szCs w:val="20"/>
        </w:rPr>
        <w:t>é</w:t>
      </w:r>
      <w:r w:rsidRPr="00010F36">
        <w:rPr>
          <w:rFonts w:eastAsia="Times New Roman"/>
          <w:sz w:val="20"/>
          <w:szCs w:val="20"/>
        </w:rPr>
        <w:t xml:space="preserve"> um dos mais produtivos do </w:t>
      </w:r>
      <w:r w:rsidR="005F41AF">
        <w:rPr>
          <w:rFonts w:eastAsia="Times New Roman"/>
          <w:sz w:val="20"/>
          <w:szCs w:val="20"/>
        </w:rPr>
        <w:t>P</w:t>
      </w:r>
      <w:r w:rsidRPr="00010F36">
        <w:rPr>
          <w:rFonts w:eastAsia="Times New Roman"/>
          <w:sz w:val="20"/>
          <w:szCs w:val="20"/>
        </w:rPr>
        <w:t xml:space="preserve">laneta, decorrente do acumulo de nutrientes, </w:t>
      </w:r>
      <w:r w:rsidRPr="00010F36">
        <w:rPr>
          <w:sz w:val="20"/>
          <w:szCs w:val="20"/>
        </w:rPr>
        <w:t>propiciando o aumento da produtividade primária, e refletindo na quantidade de alimento disponível para os níveis tróficos superiores (Nixon et al., 1986)</w:t>
      </w:r>
      <w:r>
        <w:rPr>
          <w:sz w:val="20"/>
          <w:szCs w:val="20"/>
        </w:rPr>
        <w:t>.</w:t>
      </w:r>
    </w:p>
    <w:p w14:paraId="479277E7" w14:textId="34B4E88F" w:rsidR="00457413" w:rsidRDefault="00EA0CC0" w:rsidP="00457413">
      <w:pPr>
        <w:spacing w:line="240" w:lineRule="auto"/>
        <w:ind w:firstLine="567"/>
        <w:jc w:val="both"/>
        <w:rPr>
          <w:sz w:val="20"/>
          <w:szCs w:val="20"/>
        </w:rPr>
      </w:pPr>
      <w:r w:rsidRPr="00D07ECC">
        <w:rPr>
          <w:rFonts w:eastAsia="Times New Roman"/>
          <w:sz w:val="20"/>
          <w:szCs w:val="20"/>
        </w:rPr>
        <w:t xml:space="preserve">Variações </w:t>
      </w:r>
      <w:r w:rsidR="00CC0285">
        <w:rPr>
          <w:rFonts w:eastAsia="Times New Roman"/>
          <w:sz w:val="20"/>
          <w:szCs w:val="20"/>
        </w:rPr>
        <w:t>ecossistêmicas</w:t>
      </w:r>
      <w:r w:rsidR="004A42F1" w:rsidRPr="00D07ECC">
        <w:rPr>
          <w:rFonts w:eastAsia="Times New Roman"/>
          <w:sz w:val="20"/>
          <w:szCs w:val="20"/>
        </w:rPr>
        <w:t xml:space="preserve">, </w:t>
      </w:r>
      <w:bookmarkStart w:id="1" w:name="_Hlk143634966"/>
      <w:r w:rsidR="004A42F1" w:rsidRPr="00D07ECC">
        <w:rPr>
          <w:rFonts w:eastAsia="Times New Roman"/>
          <w:sz w:val="20"/>
          <w:szCs w:val="20"/>
        </w:rPr>
        <w:t>sejam físicas ou químicas,</w:t>
      </w:r>
      <w:r w:rsidR="00CC0285">
        <w:rPr>
          <w:rFonts w:eastAsia="Times New Roman"/>
          <w:sz w:val="20"/>
          <w:szCs w:val="20"/>
        </w:rPr>
        <w:t xml:space="preserve"> que afetam a comunidade</w:t>
      </w:r>
      <w:r w:rsidR="00CC0285" w:rsidRPr="00D07ECC">
        <w:rPr>
          <w:rFonts w:eastAsia="Times New Roman"/>
          <w:sz w:val="20"/>
          <w:szCs w:val="20"/>
        </w:rPr>
        <w:t xml:space="preserve"> planctônica</w:t>
      </w:r>
      <w:r w:rsidR="004845C3">
        <w:rPr>
          <w:rFonts w:eastAsia="Times New Roman"/>
          <w:sz w:val="20"/>
          <w:szCs w:val="20"/>
        </w:rPr>
        <w:t>,</w:t>
      </w:r>
      <w:r w:rsidR="004A42F1" w:rsidRPr="00D07ECC">
        <w:rPr>
          <w:rFonts w:eastAsia="Times New Roman"/>
          <w:sz w:val="20"/>
          <w:szCs w:val="20"/>
        </w:rPr>
        <w:t xml:space="preserve"> </w:t>
      </w:r>
      <w:bookmarkEnd w:id="1"/>
      <w:r w:rsidR="004A42F1" w:rsidRPr="00D07ECC">
        <w:rPr>
          <w:rFonts w:eastAsia="Times New Roman"/>
          <w:sz w:val="20"/>
          <w:szCs w:val="20"/>
        </w:rPr>
        <w:t xml:space="preserve">provocam modificações estruturais em todos os níveis tróficos, </w:t>
      </w:r>
      <w:r w:rsidR="004A42F1" w:rsidRPr="00D07ECC">
        <w:rPr>
          <w:sz w:val="20"/>
          <w:szCs w:val="20"/>
        </w:rPr>
        <w:t xml:space="preserve">uma vez que o plâncton tem um ciclo de vida curto, respondendo rapidamente às mudanças ambientais </w:t>
      </w:r>
      <w:r w:rsidR="009627E0">
        <w:rPr>
          <w:sz w:val="20"/>
          <w:szCs w:val="20"/>
        </w:rPr>
        <w:t>(</w:t>
      </w:r>
      <w:r w:rsidR="00457413">
        <w:rPr>
          <w:sz w:val="20"/>
          <w:szCs w:val="20"/>
        </w:rPr>
        <w:t xml:space="preserve">Hayashi </w:t>
      </w:r>
      <w:r w:rsidR="00457413">
        <w:rPr>
          <w:i/>
          <w:iCs/>
          <w:sz w:val="20"/>
          <w:szCs w:val="20"/>
        </w:rPr>
        <w:t>et al</w:t>
      </w:r>
      <w:r w:rsidR="009627E0">
        <w:rPr>
          <w:sz w:val="20"/>
          <w:szCs w:val="20"/>
        </w:rPr>
        <w:t xml:space="preserve">, </w:t>
      </w:r>
      <w:r w:rsidR="00457413">
        <w:rPr>
          <w:sz w:val="20"/>
          <w:szCs w:val="20"/>
        </w:rPr>
        <w:t>2020</w:t>
      </w:r>
      <w:r w:rsidR="004A42F1" w:rsidRPr="00D07ECC">
        <w:rPr>
          <w:sz w:val="20"/>
          <w:szCs w:val="20"/>
        </w:rPr>
        <w:t xml:space="preserve">) e </w:t>
      </w:r>
      <w:r w:rsidR="005D546F">
        <w:rPr>
          <w:sz w:val="20"/>
          <w:szCs w:val="20"/>
        </w:rPr>
        <w:t>também</w:t>
      </w:r>
      <w:r w:rsidR="004A42F1" w:rsidRPr="00D07ECC">
        <w:rPr>
          <w:sz w:val="20"/>
          <w:szCs w:val="20"/>
        </w:rPr>
        <w:t xml:space="preserve"> delimita o crescimento e desenvolvimento dos outros níveis</w:t>
      </w:r>
      <w:r w:rsidR="005D546F">
        <w:rPr>
          <w:sz w:val="20"/>
          <w:szCs w:val="20"/>
        </w:rPr>
        <w:t>, além do seu próprio</w:t>
      </w:r>
      <w:r w:rsidR="004A42F1" w:rsidRPr="00D07ECC">
        <w:rPr>
          <w:sz w:val="20"/>
          <w:szCs w:val="20"/>
        </w:rPr>
        <w:t xml:space="preserve">. </w:t>
      </w:r>
      <w:bookmarkStart w:id="2" w:name="_Hlk143635059"/>
      <w:r w:rsidR="00D07ECC">
        <w:rPr>
          <w:sz w:val="20"/>
          <w:szCs w:val="20"/>
        </w:rPr>
        <w:t xml:space="preserve">Sua capacidade </w:t>
      </w:r>
      <w:r w:rsidR="00E0642E">
        <w:rPr>
          <w:sz w:val="20"/>
          <w:szCs w:val="20"/>
        </w:rPr>
        <w:t>de definir variações em outros níveis da cadeia trófica se dá por sua sensibilidade a estas mudanças</w:t>
      </w:r>
      <w:bookmarkEnd w:id="2"/>
      <w:r w:rsidR="00E0642E">
        <w:rPr>
          <w:sz w:val="20"/>
          <w:szCs w:val="20"/>
        </w:rPr>
        <w:t xml:space="preserve">, já que seu limite ótimo é </w:t>
      </w:r>
      <w:r w:rsidR="00CC4DCD">
        <w:rPr>
          <w:sz w:val="20"/>
          <w:szCs w:val="20"/>
        </w:rPr>
        <w:t>variável a depender do grupo</w:t>
      </w:r>
      <w:r w:rsidR="00E0642E">
        <w:rPr>
          <w:sz w:val="20"/>
          <w:szCs w:val="20"/>
        </w:rPr>
        <w:t xml:space="preserve">, </w:t>
      </w:r>
      <w:r w:rsidR="005D546F">
        <w:rPr>
          <w:sz w:val="20"/>
          <w:szCs w:val="20"/>
        </w:rPr>
        <w:t>como por exemplo a presença dominante de rotífer</w:t>
      </w:r>
      <w:r w:rsidR="00FA57F9">
        <w:rPr>
          <w:sz w:val="20"/>
          <w:szCs w:val="20"/>
        </w:rPr>
        <w:t>o</w:t>
      </w:r>
      <w:r w:rsidR="005D546F">
        <w:rPr>
          <w:sz w:val="20"/>
          <w:szCs w:val="20"/>
        </w:rPr>
        <w:t>s sobrepondo a</w:t>
      </w:r>
      <w:r w:rsidR="00FA57F9">
        <w:rPr>
          <w:sz w:val="20"/>
          <w:szCs w:val="20"/>
        </w:rPr>
        <w:t>s</w:t>
      </w:r>
      <w:r w:rsidR="005D546F">
        <w:rPr>
          <w:sz w:val="20"/>
          <w:szCs w:val="20"/>
        </w:rPr>
        <w:t xml:space="preserve"> populaç</w:t>
      </w:r>
      <w:r w:rsidR="00FA57F9">
        <w:rPr>
          <w:sz w:val="20"/>
          <w:szCs w:val="20"/>
        </w:rPr>
        <w:t>ões</w:t>
      </w:r>
      <w:r w:rsidR="005D546F">
        <w:rPr>
          <w:sz w:val="20"/>
          <w:szCs w:val="20"/>
        </w:rPr>
        <w:t xml:space="preserve"> de copépodes </w:t>
      </w:r>
      <w:r w:rsidR="00577CE5">
        <w:rPr>
          <w:sz w:val="20"/>
          <w:szCs w:val="20"/>
        </w:rPr>
        <w:t>em determinado e</w:t>
      </w:r>
      <w:r w:rsidR="00EB0B04">
        <w:rPr>
          <w:sz w:val="20"/>
          <w:szCs w:val="20"/>
        </w:rPr>
        <w:t>stuário</w:t>
      </w:r>
      <w:r w:rsidR="00577CE5">
        <w:rPr>
          <w:sz w:val="20"/>
          <w:szCs w:val="20"/>
        </w:rPr>
        <w:t xml:space="preserve"> </w:t>
      </w:r>
      <w:r w:rsidR="005D546F">
        <w:rPr>
          <w:sz w:val="20"/>
          <w:szCs w:val="20"/>
        </w:rPr>
        <w:t xml:space="preserve">pode indicar algum tipo de alteração ambiental que eliminou ou reduziu drasticamente a viabilidade de vida dos copépodes. Deste modo, é </w:t>
      </w:r>
      <w:r w:rsidR="00577CE5">
        <w:rPr>
          <w:sz w:val="20"/>
          <w:szCs w:val="20"/>
        </w:rPr>
        <w:t>correto afirmar</w:t>
      </w:r>
      <w:r w:rsidR="00723D0B">
        <w:rPr>
          <w:sz w:val="20"/>
          <w:szCs w:val="20"/>
        </w:rPr>
        <w:t xml:space="preserve"> que os organismos pl</w:t>
      </w:r>
      <w:r w:rsidR="00FB2753">
        <w:rPr>
          <w:sz w:val="20"/>
          <w:szCs w:val="20"/>
        </w:rPr>
        <w:t>a</w:t>
      </w:r>
      <w:r w:rsidR="00723D0B">
        <w:rPr>
          <w:sz w:val="20"/>
          <w:szCs w:val="20"/>
        </w:rPr>
        <w:t>nctônicos responderem rápido a alterações do ambiente</w:t>
      </w:r>
      <w:r w:rsidR="00577CE5">
        <w:rPr>
          <w:sz w:val="20"/>
          <w:szCs w:val="20"/>
        </w:rPr>
        <w:t>, o que</w:t>
      </w:r>
      <w:r w:rsidR="00723D0B">
        <w:rPr>
          <w:sz w:val="20"/>
          <w:szCs w:val="20"/>
        </w:rPr>
        <w:t xml:space="preserve"> os consideram bons indicadores da qualidade ambiental (Nogueira e Costa,</w:t>
      </w:r>
      <w:r w:rsidR="00577CE5">
        <w:rPr>
          <w:sz w:val="20"/>
          <w:szCs w:val="20"/>
        </w:rPr>
        <w:t xml:space="preserve"> </w:t>
      </w:r>
      <w:r w:rsidR="00723D0B">
        <w:rPr>
          <w:sz w:val="20"/>
          <w:szCs w:val="20"/>
        </w:rPr>
        <w:t xml:space="preserve">2019). </w:t>
      </w:r>
    </w:p>
    <w:p w14:paraId="4692AD82" w14:textId="2D1604FD" w:rsidR="005D546F" w:rsidRDefault="00FB2753" w:rsidP="00803104">
      <w:pPr>
        <w:spacing w:line="240" w:lineRule="auto"/>
        <w:ind w:firstLine="567"/>
        <w:jc w:val="both"/>
        <w:rPr>
          <w:sz w:val="20"/>
          <w:szCs w:val="20"/>
        </w:rPr>
      </w:pPr>
      <w:r>
        <w:rPr>
          <w:sz w:val="20"/>
          <w:szCs w:val="20"/>
        </w:rPr>
        <w:t>O</w:t>
      </w:r>
      <w:r w:rsidR="009627E0">
        <w:rPr>
          <w:sz w:val="20"/>
          <w:szCs w:val="20"/>
        </w:rPr>
        <w:t xml:space="preserve"> intuito do presente estudo é avaliar padrões de variações temporais das comunidades planctônicas</w:t>
      </w:r>
      <w:r w:rsidR="00032F80">
        <w:rPr>
          <w:sz w:val="20"/>
          <w:szCs w:val="20"/>
        </w:rPr>
        <w:t xml:space="preserve"> potencialmente</w:t>
      </w:r>
      <w:r w:rsidR="009627E0">
        <w:rPr>
          <w:sz w:val="20"/>
          <w:szCs w:val="20"/>
        </w:rPr>
        <w:t xml:space="preserve"> atribuídas a fatores bióticos e abióticos</w:t>
      </w:r>
      <w:r w:rsidR="00674CA6">
        <w:rPr>
          <w:sz w:val="20"/>
          <w:szCs w:val="20"/>
        </w:rPr>
        <w:t xml:space="preserve"> através de um levantamento bibliográfico de estudos atuais e passados</w:t>
      </w:r>
      <w:r w:rsidR="00803104">
        <w:rPr>
          <w:sz w:val="20"/>
          <w:szCs w:val="20"/>
        </w:rPr>
        <w:t xml:space="preserve"> com foco na comunidade </w:t>
      </w:r>
      <w:proofErr w:type="spellStart"/>
      <w:r w:rsidR="00803104">
        <w:rPr>
          <w:sz w:val="20"/>
          <w:szCs w:val="20"/>
        </w:rPr>
        <w:t>zooplanctônica</w:t>
      </w:r>
      <w:proofErr w:type="spellEnd"/>
      <w:r w:rsidR="00D45D0B">
        <w:rPr>
          <w:sz w:val="20"/>
          <w:szCs w:val="20"/>
        </w:rPr>
        <w:t xml:space="preserve"> em ecossistemas estuarinos</w:t>
      </w:r>
      <w:r w:rsidR="000058A1">
        <w:rPr>
          <w:sz w:val="20"/>
          <w:szCs w:val="20"/>
        </w:rPr>
        <w:t xml:space="preserve"> do estado de Pernambuco</w:t>
      </w:r>
      <w:r w:rsidR="00674CA6">
        <w:rPr>
          <w:sz w:val="20"/>
          <w:szCs w:val="20"/>
        </w:rPr>
        <w:t>.</w:t>
      </w:r>
    </w:p>
    <w:p w14:paraId="19DDF65E" w14:textId="77777777" w:rsidR="00CC4DCD" w:rsidRPr="00D07ECC" w:rsidRDefault="00CC4DCD" w:rsidP="00F43797">
      <w:pPr>
        <w:spacing w:line="240" w:lineRule="auto"/>
        <w:ind w:firstLine="567"/>
        <w:jc w:val="both"/>
        <w:rPr>
          <w:sz w:val="20"/>
          <w:szCs w:val="20"/>
        </w:rPr>
      </w:pPr>
    </w:p>
    <w:p w14:paraId="2E5C18D7" w14:textId="1DDCADFE" w:rsidR="00B555C8" w:rsidRPr="00BE0CEC" w:rsidRDefault="00B1788E">
      <w:pPr>
        <w:spacing w:line="240" w:lineRule="auto"/>
        <w:jc w:val="both"/>
        <w:rPr>
          <w:rFonts w:eastAsia="Times New Roman"/>
          <w:b/>
          <w:sz w:val="20"/>
          <w:szCs w:val="20"/>
        </w:rPr>
      </w:pPr>
      <w:r w:rsidRPr="00BE0CEC">
        <w:rPr>
          <w:rFonts w:eastAsia="Times New Roman"/>
          <w:b/>
          <w:sz w:val="20"/>
          <w:szCs w:val="20"/>
        </w:rPr>
        <w:t>MATERIAL E MÉTODOS</w:t>
      </w:r>
    </w:p>
    <w:p w14:paraId="74349C14" w14:textId="4FEA17CE" w:rsidR="00B555C8" w:rsidRDefault="0038709F" w:rsidP="00281FC0">
      <w:pPr>
        <w:spacing w:line="240" w:lineRule="auto"/>
        <w:ind w:firstLine="567"/>
        <w:jc w:val="both"/>
        <w:rPr>
          <w:rFonts w:eastAsia="Times New Roman"/>
          <w:sz w:val="20"/>
          <w:szCs w:val="20"/>
        </w:rPr>
      </w:pPr>
      <w:r w:rsidRPr="00BE0CEC">
        <w:rPr>
          <w:rFonts w:eastAsia="Times New Roman"/>
          <w:sz w:val="20"/>
          <w:szCs w:val="20"/>
        </w:rPr>
        <w:t>O presente estudo caracteriza-se por um levantamento bibliográfico</w:t>
      </w:r>
      <w:r w:rsidR="001B45B6" w:rsidRPr="00BE0CEC">
        <w:rPr>
          <w:rFonts w:eastAsia="Times New Roman"/>
          <w:sz w:val="20"/>
          <w:szCs w:val="20"/>
        </w:rPr>
        <w:t xml:space="preserve"> </w:t>
      </w:r>
      <w:r w:rsidRPr="00BE0CEC">
        <w:rPr>
          <w:rFonts w:eastAsia="Times New Roman"/>
          <w:sz w:val="20"/>
          <w:szCs w:val="20"/>
        </w:rPr>
        <w:t xml:space="preserve">voltado a estudos </w:t>
      </w:r>
      <w:r w:rsidR="00BE0CEC" w:rsidRPr="00BE0CEC">
        <w:rPr>
          <w:rFonts w:eastAsia="Times New Roman"/>
          <w:sz w:val="20"/>
          <w:szCs w:val="20"/>
        </w:rPr>
        <w:t>relacionados a comunidade do plâncton</w:t>
      </w:r>
      <w:r w:rsidRPr="00BE0CEC">
        <w:rPr>
          <w:rFonts w:eastAsia="Times New Roman"/>
          <w:sz w:val="20"/>
          <w:szCs w:val="20"/>
        </w:rPr>
        <w:t xml:space="preserve"> </w:t>
      </w:r>
      <w:r w:rsidR="00394F94">
        <w:rPr>
          <w:rFonts w:eastAsia="Times New Roman"/>
          <w:sz w:val="20"/>
          <w:szCs w:val="20"/>
        </w:rPr>
        <w:t>estuarino</w:t>
      </w:r>
      <w:r w:rsidRPr="00BE0CEC">
        <w:rPr>
          <w:rFonts w:eastAsia="Times New Roman"/>
          <w:sz w:val="20"/>
          <w:szCs w:val="20"/>
        </w:rPr>
        <w:t xml:space="preserve"> de Pernambuco. Desta forma,</w:t>
      </w:r>
      <w:r w:rsidR="001B45B6" w:rsidRPr="00BE0CEC">
        <w:rPr>
          <w:rFonts w:eastAsia="Times New Roman"/>
          <w:sz w:val="20"/>
          <w:szCs w:val="20"/>
        </w:rPr>
        <w:t xml:space="preserve"> os trabalhos foram retirados d</w:t>
      </w:r>
      <w:r w:rsidR="00481618">
        <w:rPr>
          <w:rFonts w:eastAsia="Times New Roman"/>
          <w:sz w:val="20"/>
          <w:szCs w:val="20"/>
        </w:rPr>
        <w:t>e periódicos nacionais</w:t>
      </w:r>
      <w:r w:rsidR="005F41AF">
        <w:rPr>
          <w:rFonts w:eastAsia="Times New Roman"/>
          <w:sz w:val="20"/>
          <w:szCs w:val="20"/>
        </w:rPr>
        <w:t>, a partir dos currículos Lattes da rede de pesquisadores de Pernambuco que atuam na área temática do plâncton marinho.</w:t>
      </w:r>
      <w:r w:rsidR="000058A1">
        <w:rPr>
          <w:rFonts w:eastAsia="Times New Roman"/>
          <w:sz w:val="20"/>
          <w:szCs w:val="20"/>
        </w:rPr>
        <w:t xml:space="preserve"> Para a busca em periódicos, “plâncton” “fitoplâncton”, “zooplâncton”, associado a “estuário” e “Pernambuco” (assim como correspondentes em inglês para cada palavra) foram as palavras-chave.</w:t>
      </w:r>
      <w:r w:rsidR="005F41AF">
        <w:rPr>
          <w:rFonts w:eastAsia="Times New Roman"/>
          <w:sz w:val="20"/>
          <w:szCs w:val="20"/>
        </w:rPr>
        <w:t xml:space="preserve"> Para cada pesquisador vinculado às principais instituições de ensino superior que possuem grupos de pesquisa do CNPq na área do Plâncton (UFPE, UFRPE, UPE), foram selecionados os artigos científicos deste levantamento. As informações básicas de cada artigo</w:t>
      </w:r>
      <w:r w:rsidR="00481618">
        <w:rPr>
          <w:rFonts w:eastAsia="Times New Roman"/>
          <w:sz w:val="20"/>
          <w:szCs w:val="20"/>
        </w:rPr>
        <w:t xml:space="preserve"> </w:t>
      </w:r>
      <w:r w:rsidR="005F41AF">
        <w:rPr>
          <w:rFonts w:eastAsia="Times New Roman"/>
          <w:sz w:val="20"/>
          <w:szCs w:val="20"/>
        </w:rPr>
        <w:t>foram</w:t>
      </w:r>
      <w:r w:rsidR="001B45B6" w:rsidRPr="00BE0CEC">
        <w:rPr>
          <w:rFonts w:eastAsia="Times New Roman"/>
          <w:sz w:val="20"/>
          <w:szCs w:val="20"/>
        </w:rPr>
        <w:t xml:space="preserve"> dispost</w:t>
      </w:r>
      <w:r w:rsidR="005F41AF">
        <w:rPr>
          <w:rFonts w:eastAsia="Times New Roman"/>
          <w:sz w:val="20"/>
          <w:szCs w:val="20"/>
        </w:rPr>
        <w:t>a</w:t>
      </w:r>
      <w:r w:rsidR="001B45B6" w:rsidRPr="00BE0CEC">
        <w:rPr>
          <w:rFonts w:eastAsia="Times New Roman"/>
          <w:sz w:val="20"/>
          <w:szCs w:val="20"/>
        </w:rPr>
        <w:t xml:space="preserve">s em planilhas do </w:t>
      </w:r>
      <w:r w:rsidR="00BE0CEC" w:rsidRPr="00BE0CEC">
        <w:rPr>
          <w:rFonts w:eastAsia="Times New Roman"/>
          <w:sz w:val="20"/>
          <w:szCs w:val="20"/>
        </w:rPr>
        <w:t>Excel</w:t>
      </w:r>
      <w:r w:rsidR="001B45B6" w:rsidRPr="00BE0CEC">
        <w:rPr>
          <w:rFonts w:eastAsia="Times New Roman"/>
          <w:sz w:val="20"/>
          <w:szCs w:val="20"/>
        </w:rPr>
        <w:t xml:space="preserve"> para posterior tratamento </w:t>
      </w:r>
      <w:r w:rsidR="005F41AF">
        <w:rPr>
          <w:rFonts w:eastAsia="Times New Roman"/>
          <w:sz w:val="20"/>
          <w:szCs w:val="20"/>
        </w:rPr>
        <w:t>dos dados. Tais dados</w:t>
      </w:r>
      <w:r w:rsidR="00481618">
        <w:rPr>
          <w:rFonts w:eastAsia="Times New Roman"/>
          <w:sz w:val="20"/>
          <w:szCs w:val="20"/>
        </w:rPr>
        <w:t xml:space="preserve"> foram separad</w:t>
      </w:r>
      <w:r w:rsidR="005F41AF">
        <w:rPr>
          <w:rFonts w:eastAsia="Times New Roman"/>
          <w:sz w:val="20"/>
          <w:szCs w:val="20"/>
        </w:rPr>
        <w:t>o</w:t>
      </w:r>
      <w:r w:rsidR="00481618">
        <w:rPr>
          <w:rFonts w:eastAsia="Times New Roman"/>
          <w:sz w:val="20"/>
          <w:szCs w:val="20"/>
        </w:rPr>
        <w:t xml:space="preserve">s </w:t>
      </w:r>
      <w:r w:rsidR="00FB2753">
        <w:rPr>
          <w:rFonts w:eastAsia="Times New Roman"/>
          <w:sz w:val="20"/>
          <w:szCs w:val="20"/>
        </w:rPr>
        <w:t xml:space="preserve">em duas planilhas, sendo </w:t>
      </w:r>
      <w:r w:rsidR="00AE3683">
        <w:rPr>
          <w:rFonts w:eastAsia="Times New Roman"/>
          <w:sz w:val="20"/>
          <w:szCs w:val="20"/>
        </w:rPr>
        <w:t>uma referente</w:t>
      </w:r>
      <w:r w:rsidR="00281FC0" w:rsidRPr="00BE0CEC">
        <w:rPr>
          <w:rFonts w:eastAsia="Times New Roman"/>
          <w:sz w:val="20"/>
          <w:szCs w:val="20"/>
        </w:rPr>
        <w:t xml:space="preserve"> a informações mais acessíveis, como o título do artigo, os au</w:t>
      </w:r>
      <w:r w:rsidR="00BE0CEC" w:rsidRPr="00BE0CEC">
        <w:rPr>
          <w:rFonts w:eastAsia="Times New Roman"/>
          <w:sz w:val="20"/>
          <w:szCs w:val="20"/>
        </w:rPr>
        <w:t>t</w:t>
      </w:r>
      <w:r w:rsidR="00281FC0" w:rsidRPr="00BE0CEC">
        <w:rPr>
          <w:rFonts w:eastAsia="Times New Roman"/>
          <w:sz w:val="20"/>
          <w:szCs w:val="20"/>
        </w:rPr>
        <w:t>ore</w:t>
      </w:r>
      <w:r w:rsidR="00BE0CEC" w:rsidRPr="00BE0CEC">
        <w:rPr>
          <w:rFonts w:eastAsia="Times New Roman"/>
          <w:sz w:val="20"/>
          <w:szCs w:val="20"/>
        </w:rPr>
        <w:t>s</w:t>
      </w:r>
      <w:r w:rsidR="00281FC0" w:rsidRPr="00BE0CEC">
        <w:rPr>
          <w:rFonts w:eastAsia="Times New Roman"/>
          <w:sz w:val="20"/>
          <w:szCs w:val="20"/>
        </w:rPr>
        <w:t xml:space="preserve">, a revista e ano de publicação, e </w:t>
      </w:r>
      <w:r w:rsidR="00BE0CEC" w:rsidRPr="00BE0CEC">
        <w:rPr>
          <w:rFonts w:eastAsia="Times New Roman"/>
          <w:sz w:val="20"/>
          <w:szCs w:val="20"/>
        </w:rPr>
        <w:t>etc.</w:t>
      </w:r>
      <w:r w:rsidR="00FB2753">
        <w:rPr>
          <w:rFonts w:eastAsia="Times New Roman"/>
          <w:sz w:val="20"/>
          <w:szCs w:val="20"/>
        </w:rPr>
        <w:t xml:space="preserve">, e </w:t>
      </w:r>
      <w:r w:rsidR="00AE3683">
        <w:rPr>
          <w:rFonts w:eastAsia="Times New Roman"/>
          <w:sz w:val="20"/>
          <w:szCs w:val="20"/>
        </w:rPr>
        <w:t>outra com</w:t>
      </w:r>
      <w:r w:rsidR="00FB2753">
        <w:rPr>
          <w:rFonts w:eastAsia="Times New Roman"/>
          <w:sz w:val="20"/>
          <w:szCs w:val="20"/>
        </w:rPr>
        <w:t xml:space="preserve"> </w:t>
      </w:r>
      <w:r w:rsidR="00281FC0" w:rsidRPr="00BE0CEC">
        <w:rPr>
          <w:rFonts w:eastAsia="Times New Roman"/>
          <w:sz w:val="20"/>
          <w:szCs w:val="20"/>
        </w:rPr>
        <w:t xml:space="preserve">informações </w:t>
      </w:r>
      <w:r w:rsidR="00FB2753">
        <w:rPr>
          <w:rFonts w:eastAsia="Times New Roman"/>
          <w:sz w:val="20"/>
          <w:szCs w:val="20"/>
        </w:rPr>
        <w:t xml:space="preserve">relacionadas aos estudos e </w:t>
      </w:r>
      <w:r w:rsidR="00281FC0" w:rsidRPr="00BE0CEC">
        <w:rPr>
          <w:rFonts w:eastAsia="Times New Roman"/>
          <w:sz w:val="20"/>
          <w:szCs w:val="20"/>
        </w:rPr>
        <w:t>que requerem uma atenção maior na busca, como valores de riqueza, dados abióticos, localidade, forma de coleta, e etc.</w:t>
      </w:r>
      <w:r w:rsidR="00F3477C">
        <w:rPr>
          <w:rFonts w:eastAsia="Times New Roman"/>
          <w:sz w:val="20"/>
          <w:szCs w:val="20"/>
        </w:rPr>
        <w:t xml:space="preserve"> </w:t>
      </w:r>
      <w:bookmarkStart w:id="3" w:name="_Hlk143636059"/>
      <w:r w:rsidR="00F3477C">
        <w:rPr>
          <w:rFonts w:eastAsia="Times New Roman"/>
          <w:sz w:val="20"/>
          <w:szCs w:val="20"/>
        </w:rPr>
        <w:t xml:space="preserve">Nas planilhas também houve a separação de trabalhos </w:t>
      </w:r>
      <w:r w:rsidR="00394F94">
        <w:rPr>
          <w:rFonts w:eastAsia="Times New Roman"/>
          <w:sz w:val="20"/>
          <w:szCs w:val="20"/>
        </w:rPr>
        <w:t>que estudavam o zooplâncton de estudos sobre o fitoplâncton, propondo assim uma</w:t>
      </w:r>
      <w:r w:rsidR="00F3477C">
        <w:rPr>
          <w:rFonts w:eastAsia="Times New Roman"/>
          <w:sz w:val="20"/>
          <w:szCs w:val="20"/>
        </w:rPr>
        <w:t xml:space="preserve"> posterior comparação d</w:t>
      </w:r>
      <w:r w:rsidR="00394F94">
        <w:rPr>
          <w:rFonts w:eastAsia="Times New Roman"/>
          <w:sz w:val="20"/>
          <w:szCs w:val="20"/>
        </w:rPr>
        <w:t>e alguns</w:t>
      </w:r>
      <w:r w:rsidR="00F3477C">
        <w:rPr>
          <w:rFonts w:eastAsia="Times New Roman"/>
          <w:sz w:val="20"/>
          <w:szCs w:val="20"/>
        </w:rPr>
        <w:t xml:space="preserve"> dados em relação aos estudos</w:t>
      </w:r>
      <w:r w:rsidR="00394F94">
        <w:rPr>
          <w:rFonts w:eastAsia="Times New Roman"/>
          <w:sz w:val="20"/>
          <w:szCs w:val="20"/>
        </w:rPr>
        <w:t xml:space="preserve"> dessas comunidades para melhores conclusões</w:t>
      </w:r>
      <w:r w:rsidR="00F3477C">
        <w:rPr>
          <w:rFonts w:eastAsia="Times New Roman"/>
          <w:sz w:val="20"/>
          <w:szCs w:val="20"/>
        </w:rPr>
        <w:t>.</w:t>
      </w:r>
      <w:r w:rsidR="00281FC0" w:rsidRPr="00BE0CEC">
        <w:rPr>
          <w:rFonts w:eastAsia="Times New Roman"/>
          <w:sz w:val="20"/>
          <w:szCs w:val="20"/>
        </w:rPr>
        <w:t xml:space="preserve"> Com essas informações</w:t>
      </w:r>
      <w:r w:rsidR="00FB2753">
        <w:rPr>
          <w:rFonts w:eastAsia="Times New Roman"/>
          <w:sz w:val="20"/>
          <w:szCs w:val="20"/>
        </w:rPr>
        <w:t>,</w:t>
      </w:r>
      <w:r w:rsidR="00281FC0" w:rsidRPr="00BE0CEC">
        <w:rPr>
          <w:rFonts w:eastAsia="Times New Roman"/>
          <w:sz w:val="20"/>
          <w:szCs w:val="20"/>
        </w:rPr>
        <w:t xml:space="preserve"> </w:t>
      </w:r>
      <w:r w:rsidR="00AE3683">
        <w:rPr>
          <w:rFonts w:eastAsia="Times New Roman"/>
          <w:sz w:val="20"/>
          <w:szCs w:val="20"/>
        </w:rPr>
        <w:t>é</w:t>
      </w:r>
      <w:r w:rsidR="00281FC0" w:rsidRPr="00BE0CEC">
        <w:rPr>
          <w:rFonts w:eastAsia="Times New Roman"/>
          <w:sz w:val="20"/>
          <w:szCs w:val="20"/>
        </w:rPr>
        <w:t xml:space="preserve"> possível obter um comparativo de localidades e as possíveis influências externas na comunidade </w:t>
      </w:r>
      <w:proofErr w:type="spellStart"/>
      <w:r w:rsidR="00281FC0" w:rsidRPr="00BE0CEC">
        <w:rPr>
          <w:rFonts w:eastAsia="Times New Roman"/>
          <w:sz w:val="20"/>
          <w:szCs w:val="20"/>
        </w:rPr>
        <w:t>zooplanctônica</w:t>
      </w:r>
      <w:proofErr w:type="spellEnd"/>
      <w:r w:rsidR="00281FC0" w:rsidRPr="00BE0CEC">
        <w:rPr>
          <w:rFonts w:eastAsia="Times New Roman"/>
          <w:sz w:val="20"/>
          <w:szCs w:val="20"/>
        </w:rPr>
        <w:t>.</w:t>
      </w:r>
    </w:p>
    <w:p w14:paraId="15214919" w14:textId="77777777" w:rsidR="000058A1" w:rsidRDefault="000058A1" w:rsidP="00281FC0">
      <w:pPr>
        <w:spacing w:line="240" w:lineRule="auto"/>
        <w:ind w:firstLine="567"/>
        <w:jc w:val="both"/>
        <w:rPr>
          <w:rFonts w:eastAsia="Times New Roman"/>
          <w:sz w:val="20"/>
          <w:szCs w:val="20"/>
        </w:rPr>
      </w:pPr>
    </w:p>
    <w:p w14:paraId="44E7FDA8" w14:textId="77777777" w:rsidR="00281FC0" w:rsidRPr="00BE0CEC" w:rsidRDefault="00281FC0" w:rsidP="00281FC0">
      <w:pPr>
        <w:spacing w:line="240" w:lineRule="auto"/>
        <w:ind w:firstLine="567"/>
        <w:jc w:val="both"/>
        <w:rPr>
          <w:rFonts w:eastAsia="Times New Roman"/>
          <w:sz w:val="20"/>
          <w:szCs w:val="20"/>
        </w:rPr>
      </w:pPr>
    </w:p>
    <w:bookmarkEnd w:id="3"/>
    <w:p w14:paraId="2154A434" w14:textId="77777777" w:rsidR="00B555C8" w:rsidRPr="00BE0CEC" w:rsidRDefault="00B1788E">
      <w:pPr>
        <w:spacing w:line="240" w:lineRule="auto"/>
        <w:jc w:val="both"/>
        <w:rPr>
          <w:rFonts w:eastAsia="Times New Roman"/>
          <w:b/>
          <w:sz w:val="20"/>
          <w:szCs w:val="20"/>
        </w:rPr>
      </w:pPr>
      <w:r w:rsidRPr="00BE0CEC">
        <w:rPr>
          <w:rFonts w:eastAsia="Times New Roman"/>
          <w:b/>
          <w:sz w:val="20"/>
          <w:szCs w:val="20"/>
        </w:rPr>
        <w:lastRenderedPageBreak/>
        <w:t>RESULTADOS E DISCUSSÃO</w:t>
      </w:r>
    </w:p>
    <w:p w14:paraId="356821A8" w14:textId="7A03E0EC" w:rsidR="00D73DB8" w:rsidRDefault="00BE0CEC" w:rsidP="00D73DB8">
      <w:pPr>
        <w:spacing w:line="240" w:lineRule="auto"/>
        <w:ind w:firstLine="567"/>
        <w:jc w:val="both"/>
        <w:rPr>
          <w:sz w:val="20"/>
          <w:szCs w:val="20"/>
          <w:lang w:eastAsia="zh-CN"/>
        </w:rPr>
      </w:pPr>
      <w:bookmarkStart w:id="4" w:name="_Hlk143636113"/>
      <w:r>
        <w:rPr>
          <w:sz w:val="20"/>
          <w:szCs w:val="20"/>
          <w:lang w:eastAsia="zh-CN"/>
        </w:rPr>
        <w:t xml:space="preserve">O levantamento inclui 84 </w:t>
      </w:r>
      <w:r w:rsidR="00AB4CD7">
        <w:rPr>
          <w:sz w:val="20"/>
          <w:szCs w:val="20"/>
          <w:lang w:eastAsia="zh-CN"/>
        </w:rPr>
        <w:t>estudos, produzidos entre 1963 e 2019</w:t>
      </w:r>
      <w:r>
        <w:rPr>
          <w:sz w:val="20"/>
          <w:szCs w:val="20"/>
          <w:lang w:eastAsia="zh-CN"/>
        </w:rPr>
        <w:t xml:space="preserve">, sendo </w:t>
      </w:r>
      <w:r w:rsidR="003D2FBC">
        <w:rPr>
          <w:sz w:val="20"/>
          <w:szCs w:val="20"/>
          <w:lang w:eastAsia="zh-CN"/>
        </w:rPr>
        <w:t>38 voltados ao zooplâncton.</w:t>
      </w:r>
      <w:r w:rsidR="002D06DD">
        <w:rPr>
          <w:sz w:val="20"/>
          <w:szCs w:val="20"/>
          <w:lang w:eastAsia="zh-CN"/>
        </w:rPr>
        <w:t xml:space="preserve"> Referente a estes trabalhos sobre o zooplâncton</w:t>
      </w:r>
      <w:r w:rsidR="00AB4CD7">
        <w:rPr>
          <w:sz w:val="20"/>
          <w:szCs w:val="20"/>
          <w:lang w:eastAsia="zh-CN"/>
        </w:rPr>
        <w:t>, grande parte (2</w:t>
      </w:r>
      <w:r w:rsidR="007C6292">
        <w:rPr>
          <w:sz w:val="20"/>
          <w:szCs w:val="20"/>
          <w:lang w:eastAsia="zh-CN"/>
        </w:rPr>
        <w:t>5</w:t>
      </w:r>
      <w:r w:rsidR="00AB4CD7">
        <w:rPr>
          <w:sz w:val="20"/>
          <w:szCs w:val="20"/>
          <w:lang w:eastAsia="zh-CN"/>
        </w:rPr>
        <w:t xml:space="preserve">) foi realizada em estuários do </w:t>
      </w:r>
      <w:r w:rsidR="00AE3683">
        <w:rPr>
          <w:sz w:val="20"/>
          <w:szCs w:val="20"/>
          <w:lang w:eastAsia="zh-CN"/>
        </w:rPr>
        <w:t>e</w:t>
      </w:r>
      <w:r w:rsidR="00AB4CD7">
        <w:rPr>
          <w:sz w:val="20"/>
          <w:szCs w:val="20"/>
          <w:lang w:eastAsia="zh-CN"/>
        </w:rPr>
        <w:t>stado, sendo o mais abordado o Canal de Santa Cruz</w:t>
      </w:r>
      <w:r w:rsidR="00481618">
        <w:rPr>
          <w:sz w:val="20"/>
          <w:szCs w:val="20"/>
          <w:lang w:eastAsia="zh-CN"/>
        </w:rPr>
        <w:t xml:space="preserve"> (5)</w:t>
      </w:r>
      <w:r w:rsidR="00AB4CD7">
        <w:rPr>
          <w:sz w:val="20"/>
          <w:szCs w:val="20"/>
          <w:lang w:eastAsia="zh-CN"/>
        </w:rPr>
        <w:t xml:space="preserve">, seguido </w:t>
      </w:r>
      <w:r w:rsidR="005A1F6B">
        <w:rPr>
          <w:sz w:val="20"/>
          <w:szCs w:val="20"/>
          <w:lang w:eastAsia="zh-CN"/>
        </w:rPr>
        <w:t>de</w:t>
      </w:r>
      <w:r w:rsidR="00AB4CD7">
        <w:rPr>
          <w:sz w:val="20"/>
          <w:szCs w:val="20"/>
          <w:lang w:eastAsia="zh-CN"/>
        </w:rPr>
        <w:t xml:space="preserve"> Suape </w:t>
      </w:r>
      <w:r w:rsidR="007C6292">
        <w:rPr>
          <w:sz w:val="20"/>
          <w:szCs w:val="20"/>
          <w:lang w:eastAsia="zh-CN"/>
        </w:rPr>
        <w:t xml:space="preserve">(4) </w:t>
      </w:r>
      <w:r w:rsidR="00AB4CD7">
        <w:rPr>
          <w:sz w:val="20"/>
          <w:szCs w:val="20"/>
          <w:lang w:eastAsia="zh-CN"/>
        </w:rPr>
        <w:t xml:space="preserve">e Rio </w:t>
      </w:r>
      <w:r w:rsidR="007C6292">
        <w:rPr>
          <w:sz w:val="20"/>
          <w:szCs w:val="20"/>
          <w:lang w:eastAsia="zh-CN"/>
        </w:rPr>
        <w:t>Formoso (3).</w:t>
      </w:r>
      <w:r w:rsidR="002D06DD">
        <w:rPr>
          <w:sz w:val="20"/>
          <w:szCs w:val="20"/>
          <w:lang w:eastAsia="zh-CN"/>
        </w:rPr>
        <w:t xml:space="preserve"> Em relação aos temas mais abordados, destacaram-se o qualitativo (17) e quantitativo (12).</w:t>
      </w:r>
      <w:r w:rsidR="00AB4CD7">
        <w:rPr>
          <w:sz w:val="20"/>
          <w:szCs w:val="20"/>
          <w:lang w:eastAsia="zh-CN"/>
        </w:rPr>
        <w:t xml:space="preserve"> </w:t>
      </w:r>
      <w:r w:rsidR="006D2408">
        <w:rPr>
          <w:sz w:val="20"/>
          <w:szCs w:val="20"/>
          <w:lang w:eastAsia="zh-CN"/>
        </w:rPr>
        <w:t xml:space="preserve">A </w:t>
      </w:r>
      <w:r w:rsidR="00D55883">
        <w:rPr>
          <w:sz w:val="20"/>
          <w:szCs w:val="20"/>
          <w:lang w:eastAsia="zh-CN"/>
        </w:rPr>
        <w:t xml:space="preserve">metodologia </w:t>
      </w:r>
      <w:r w:rsidR="006D2408">
        <w:rPr>
          <w:sz w:val="20"/>
          <w:szCs w:val="20"/>
          <w:lang w:eastAsia="zh-CN"/>
        </w:rPr>
        <w:t>amostral</w:t>
      </w:r>
      <w:r w:rsidR="00D55883">
        <w:rPr>
          <w:sz w:val="20"/>
          <w:szCs w:val="20"/>
          <w:lang w:eastAsia="zh-CN"/>
        </w:rPr>
        <w:t xml:space="preserve"> mais utilizada foi a rede planctônica (32)</w:t>
      </w:r>
      <w:r w:rsidR="00481618">
        <w:rPr>
          <w:sz w:val="20"/>
          <w:szCs w:val="20"/>
          <w:lang w:eastAsia="zh-CN"/>
        </w:rPr>
        <w:t>.</w:t>
      </w:r>
      <w:r w:rsidR="00D55883">
        <w:rPr>
          <w:sz w:val="20"/>
          <w:szCs w:val="20"/>
          <w:lang w:eastAsia="zh-CN"/>
        </w:rPr>
        <w:t xml:space="preserve"> </w:t>
      </w:r>
      <w:r w:rsidR="00481618">
        <w:rPr>
          <w:sz w:val="20"/>
          <w:szCs w:val="20"/>
          <w:lang w:eastAsia="zh-CN"/>
        </w:rPr>
        <w:t>J</w:t>
      </w:r>
      <w:r w:rsidR="00D55883">
        <w:rPr>
          <w:sz w:val="20"/>
          <w:szCs w:val="20"/>
          <w:lang w:eastAsia="zh-CN"/>
        </w:rPr>
        <w:t>á a forma de amostragem mais usada foi a de arrasto horizontal (31)</w:t>
      </w:r>
      <w:r w:rsidR="00593641">
        <w:rPr>
          <w:sz w:val="20"/>
          <w:szCs w:val="20"/>
          <w:lang w:eastAsia="zh-CN"/>
        </w:rPr>
        <w:t xml:space="preserve"> (Tab. 1)</w:t>
      </w:r>
      <w:r w:rsidR="00D55883">
        <w:rPr>
          <w:sz w:val="20"/>
          <w:szCs w:val="20"/>
          <w:lang w:eastAsia="zh-CN"/>
        </w:rPr>
        <w:t xml:space="preserve">. A </w:t>
      </w:r>
      <w:r w:rsidR="002D06DD">
        <w:rPr>
          <w:sz w:val="20"/>
          <w:szCs w:val="20"/>
          <w:lang w:eastAsia="zh-CN"/>
        </w:rPr>
        <w:t xml:space="preserve">malha mais utilizada em conjunto a estes métodos foi a de 65 </w:t>
      </w:r>
      <w:r w:rsidR="002D06DD" w:rsidRPr="002D06DD">
        <w:rPr>
          <w:sz w:val="20"/>
          <w:szCs w:val="20"/>
          <w:lang w:eastAsia="zh-CN"/>
        </w:rPr>
        <w:t>μm</w:t>
      </w:r>
      <w:r w:rsidR="002D06DD">
        <w:rPr>
          <w:sz w:val="20"/>
          <w:szCs w:val="20"/>
          <w:lang w:eastAsia="zh-CN"/>
        </w:rPr>
        <w:t xml:space="preserve"> (13), seguida da malha 120 </w:t>
      </w:r>
      <w:r w:rsidR="002D06DD" w:rsidRPr="002D06DD">
        <w:rPr>
          <w:sz w:val="20"/>
          <w:szCs w:val="20"/>
          <w:lang w:eastAsia="zh-CN"/>
        </w:rPr>
        <w:t>μm</w:t>
      </w:r>
      <w:r w:rsidR="002D06DD">
        <w:rPr>
          <w:sz w:val="20"/>
          <w:szCs w:val="20"/>
          <w:lang w:eastAsia="zh-CN"/>
        </w:rPr>
        <w:t xml:space="preserve"> (6).</w:t>
      </w:r>
    </w:p>
    <w:bookmarkEnd w:id="4"/>
    <w:p w14:paraId="56A063AD" w14:textId="77777777" w:rsidR="00F540F9" w:rsidRDefault="00F540F9" w:rsidP="00D73DB8">
      <w:pPr>
        <w:spacing w:line="240" w:lineRule="auto"/>
        <w:ind w:firstLine="567"/>
        <w:jc w:val="both"/>
        <w:rPr>
          <w:sz w:val="20"/>
          <w:szCs w:val="20"/>
          <w:lang w:eastAsia="zh-CN"/>
        </w:rPr>
      </w:pPr>
    </w:p>
    <w:p w14:paraId="16268596" w14:textId="77777777" w:rsidR="00F540F9" w:rsidRDefault="00F540F9" w:rsidP="00D73DB8">
      <w:pPr>
        <w:spacing w:line="240" w:lineRule="auto"/>
        <w:ind w:firstLine="567"/>
        <w:jc w:val="both"/>
        <w:rPr>
          <w:sz w:val="20"/>
          <w:szCs w:val="20"/>
          <w:lang w:eastAsia="zh-CN"/>
        </w:rPr>
      </w:pPr>
    </w:p>
    <w:tbl>
      <w:tblPr>
        <w:tblStyle w:val="Tabelacomgrade"/>
        <w:tblW w:w="6446" w:type="dxa"/>
        <w:jc w:val="center"/>
        <w:tblLook w:val="04A0" w:firstRow="1" w:lastRow="0" w:firstColumn="1" w:lastColumn="0" w:noHBand="0" w:noVBand="1"/>
      </w:tblPr>
      <w:tblGrid>
        <w:gridCol w:w="3212"/>
        <w:gridCol w:w="1528"/>
        <w:gridCol w:w="1706"/>
      </w:tblGrid>
      <w:tr w:rsidR="00A04AA1" w14:paraId="5E2B2F72" w14:textId="77777777" w:rsidTr="00105142">
        <w:trPr>
          <w:trHeight w:val="474"/>
          <w:jc w:val="center"/>
        </w:trPr>
        <w:tc>
          <w:tcPr>
            <w:tcW w:w="3212" w:type="dxa"/>
            <w:tcBorders>
              <w:top w:val="single" w:sz="4" w:space="0" w:color="auto"/>
              <w:left w:val="nil"/>
              <w:bottom w:val="nil"/>
              <w:right w:val="nil"/>
            </w:tcBorders>
          </w:tcPr>
          <w:p w14:paraId="01FA6154" w14:textId="77777777" w:rsidR="00A04AA1" w:rsidRDefault="00A04AA1" w:rsidP="00D73DB8">
            <w:pPr>
              <w:spacing w:line="240" w:lineRule="auto"/>
              <w:jc w:val="both"/>
              <w:rPr>
                <w:sz w:val="20"/>
                <w:szCs w:val="20"/>
                <w:lang w:eastAsia="zh-CN"/>
              </w:rPr>
            </w:pPr>
          </w:p>
        </w:tc>
        <w:tc>
          <w:tcPr>
            <w:tcW w:w="1528" w:type="dxa"/>
            <w:tcBorders>
              <w:top w:val="single" w:sz="4" w:space="0" w:color="auto"/>
              <w:left w:val="nil"/>
            </w:tcBorders>
            <w:shd w:val="clear" w:color="auto" w:fill="C6D9F1" w:themeFill="text2" w:themeFillTint="33"/>
          </w:tcPr>
          <w:p w14:paraId="7D748843" w14:textId="39D56FA3" w:rsidR="00A04AA1" w:rsidRPr="00105142" w:rsidRDefault="00A04AA1" w:rsidP="00105142">
            <w:pPr>
              <w:spacing w:line="240" w:lineRule="auto"/>
              <w:jc w:val="center"/>
              <w:rPr>
                <w:b/>
                <w:bCs/>
                <w:sz w:val="20"/>
                <w:szCs w:val="20"/>
                <w:lang w:eastAsia="zh-CN"/>
              </w:rPr>
            </w:pPr>
            <w:r w:rsidRPr="00105142">
              <w:rPr>
                <w:b/>
                <w:bCs/>
                <w:sz w:val="20"/>
                <w:szCs w:val="20"/>
                <w:lang w:eastAsia="zh-CN"/>
              </w:rPr>
              <w:t>Zooplâncton</w:t>
            </w:r>
          </w:p>
        </w:tc>
        <w:tc>
          <w:tcPr>
            <w:tcW w:w="1706" w:type="dxa"/>
            <w:tcBorders>
              <w:top w:val="single" w:sz="4" w:space="0" w:color="auto"/>
              <w:right w:val="nil"/>
            </w:tcBorders>
            <w:shd w:val="clear" w:color="auto" w:fill="C6D9F1" w:themeFill="text2" w:themeFillTint="33"/>
          </w:tcPr>
          <w:p w14:paraId="7A9C6DBF" w14:textId="13845635" w:rsidR="00A04AA1" w:rsidRPr="00105142" w:rsidRDefault="00A04AA1" w:rsidP="00105142">
            <w:pPr>
              <w:spacing w:line="240" w:lineRule="auto"/>
              <w:jc w:val="center"/>
              <w:rPr>
                <w:b/>
                <w:bCs/>
                <w:sz w:val="20"/>
                <w:szCs w:val="20"/>
                <w:lang w:eastAsia="zh-CN"/>
              </w:rPr>
            </w:pPr>
            <w:r w:rsidRPr="00105142">
              <w:rPr>
                <w:b/>
                <w:bCs/>
                <w:sz w:val="20"/>
                <w:szCs w:val="20"/>
                <w:lang w:eastAsia="zh-CN"/>
              </w:rPr>
              <w:t>Estudos totais</w:t>
            </w:r>
          </w:p>
        </w:tc>
      </w:tr>
      <w:tr w:rsidR="00A04AA1" w:rsidRPr="00836B4D" w14:paraId="4DE53F25" w14:textId="77777777" w:rsidTr="00105142">
        <w:trPr>
          <w:trHeight w:val="474"/>
          <w:jc w:val="center"/>
        </w:trPr>
        <w:tc>
          <w:tcPr>
            <w:tcW w:w="6446" w:type="dxa"/>
            <w:gridSpan w:val="3"/>
            <w:tcBorders>
              <w:left w:val="nil"/>
              <w:right w:val="nil"/>
            </w:tcBorders>
            <w:shd w:val="clear" w:color="auto" w:fill="C6D9F1" w:themeFill="text2" w:themeFillTint="33"/>
          </w:tcPr>
          <w:p w14:paraId="697BCFF1" w14:textId="77777777" w:rsidR="00A04AA1" w:rsidRPr="00836B4D" w:rsidRDefault="00A04AA1" w:rsidP="00836B4D">
            <w:pPr>
              <w:spacing w:line="240" w:lineRule="auto"/>
              <w:jc w:val="both"/>
              <w:rPr>
                <w:b/>
                <w:bCs/>
                <w:sz w:val="20"/>
                <w:szCs w:val="20"/>
                <w:lang w:eastAsia="zh-CN"/>
              </w:rPr>
            </w:pPr>
            <w:r>
              <w:rPr>
                <w:b/>
                <w:bCs/>
                <w:sz w:val="20"/>
                <w:szCs w:val="20"/>
                <w:lang w:eastAsia="zh-CN"/>
              </w:rPr>
              <w:t>Método de amostragem</w:t>
            </w:r>
          </w:p>
        </w:tc>
      </w:tr>
      <w:tr w:rsidR="00F540F9" w14:paraId="2468144A" w14:textId="77777777" w:rsidTr="00105142">
        <w:trPr>
          <w:trHeight w:val="474"/>
          <w:jc w:val="center"/>
        </w:trPr>
        <w:tc>
          <w:tcPr>
            <w:tcW w:w="3212" w:type="dxa"/>
            <w:tcBorders>
              <w:left w:val="nil"/>
            </w:tcBorders>
          </w:tcPr>
          <w:p w14:paraId="3040DF66" w14:textId="4F8908AC" w:rsidR="00F540F9" w:rsidRDefault="00F540F9" w:rsidP="00D73DB8">
            <w:pPr>
              <w:spacing w:line="240" w:lineRule="auto"/>
              <w:jc w:val="both"/>
              <w:rPr>
                <w:sz w:val="20"/>
                <w:szCs w:val="20"/>
                <w:lang w:eastAsia="zh-CN"/>
              </w:rPr>
            </w:pPr>
            <w:r>
              <w:rPr>
                <w:sz w:val="20"/>
                <w:szCs w:val="20"/>
                <w:lang w:eastAsia="zh-CN"/>
              </w:rPr>
              <w:t>Rede de plâncton</w:t>
            </w:r>
          </w:p>
        </w:tc>
        <w:tc>
          <w:tcPr>
            <w:tcW w:w="1528" w:type="dxa"/>
          </w:tcPr>
          <w:p w14:paraId="43C70C1E" w14:textId="402C30FA" w:rsidR="00F540F9" w:rsidRDefault="00F540F9" w:rsidP="00D73DB8">
            <w:pPr>
              <w:spacing w:line="240" w:lineRule="auto"/>
              <w:jc w:val="both"/>
              <w:rPr>
                <w:sz w:val="20"/>
                <w:szCs w:val="20"/>
                <w:lang w:eastAsia="zh-CN"/>
              </w:rPr>
            </w:pPr>
            <w:r>
              <w:rPr>
                <w:sz w:val="20"/>
                <w:szCs w:val="20"/>
                <w:lang w:eastAsia="zh-CN"/>
              </w:rPr>
              <w:t>31</w:t>
            </w:r>
          </w:p>
        </w:tc>
        <w:tc>
          <w:tcPr>
            <w:tcW w:w="1706" w:type="dxa"/>
            <w:tcBorders>
              <w:right w:val="nil"/>
            </w:tcBorders>
          </w:tcPr>
          <w:p w14:paraId="4628C05A" w14:textId="7A06D1CA" w:rsidR="00F540F9" w:rsidRDefault="00F540F9" w:rsidP="00D73DB8">
            <w:pPr>
              <w:spacing w:line="240" w:lineRule="auto"/>
              <w:jc w:val="both"/>
              <w:rPr>
                <w:sz w:val="20"/>
                <w:szCs w:val="20"/>
                <w:lang w:eastAsia="zh-CN"/>
              </w:rPr>
            </w:pPr>
            <w:r>
              <w:rPr>
                <w:sz w:val="20"/>
                <w:szCs w:val="20"/>
                <w:lang w:eastAsia="zh-CN"/>
              </w:rPr>
              <w:t>51</w:t>
            </w:r>
          </w:p>
        </w:tc>
      </w:tr>
      <w:tr w:rsidR="00F540F9" w14:paraId="61269679" w14:textId="77777777" w:rsidTr="00105142">
        <w:trPr>
          <w:trHeight w:val="474"/>
          <w:jc w:val="center"/>
        </w:trPr>
        <w:tc>
          <w:tcPr>
            <w:tcW w:w="3212" w:type="dxa"/>
            <w:tcBorders>
              <w:left w:val="nil"/>
            </w:tcBorders>
          </w:tcPr>
          <w:p w14:paraId="47DF1B52" w14:textId="66A82E33" w:rsidR="00F540F9" w:rsidRDefault="00F540F9" w:rsidP="00D73DB8">
            <w:pPr>
              <w:spacing w:line="240" w:lineRule="auto"/>
              <w:jc w:val="both"/>
              <w:rPr>
                <w:sz w:val="20"/>
                <w:szCs w:val="20"/>
                <w:lang w:eastAsia="zh-CN"/>
              </w:rPr>
            </w:pPr>
            <w:r>
              <w:rPr>
                <w:sz w:val="20"/>
                <w:szCs w:val="20"/>
                <w:lang w:eastAsia="zh-CN"/>
              </w:rPr>
              <w:t xml:space="preserve">Garrafa de Van </w:t>
            </w:r>
            <w:proofErr w:type="spellStart"/>
            <w:r>
              <w:rPr>
                <w:sz w:val="20"/>
                <w:szCs w:val="20"/>
                <w:lang w:eastAsia="zh-CN"/>
              </w:rPr>
              <w:t>Dorn</w:t>
            </w:r>
            <w:proofErr w:type="spellEnd"/>
          </w:p>
        </w:tc>
        <w:tc>
          <w:tcPr>
            <w:tcW w:w="1528" w:type="dxa"/>
          </w:tcPr>
          <w:p w14:paraId="5527FAB8" w14:textId="4738D40C" w:rsidR="00F540F9" w:rsidRDefault="00F540F9" w:rsidP="00D73DB8">
            <w:pPr>
              <w:spacing w:line="240" w:lineRule="auto"/>
              <w:jc w:val="both"/>
              <w:rPr>
                <w:sz w:val="20"/>
                <w:szCs w:val="20"/>
                <w:lang w:eastAsia="zh-CN"/>
              </w:rPr>
            </w:pPr>
            <w:r>
              <w:rPr>
                <w:sz w:val="20"/>
                <w:szCs w:val="20"/>
                <w:lang w:eastAsia="zh-CN"/>
              </w:rPr>
              <w:t>1</w:t>
            </w:r>
          </w:p>
        </w:tc>
        <w:tc>
          <w:tcPr>
            <w:tcW w:w="1706" w:type="dxa"/>
            <w:tcBorders>
              <w:right w:val="nil"/>
            </w:tcBorders>
          </w:tcPr>
          <w:p w14:paraId="79CA4E31" w14:textId="2E36E306" w:rsidR="00F540F9" w:rsidRDefault="00F540F9" w:rsidP="00D73DB8">
            <w:pPr>
              <w:spacing w:line="240" w:lineRule="auto"/>
              <w:jc w:val="both"/>
              <w:rPr>
                <w:sz w:val="20"/>
                <w:szCs w:val="20"/>
                <w:lang w:eastAsia="zh-CN"/>
              </w:rPr>
            </w:pPr>
            <w:r>
              <w:rPr>
                <w:sz w:val="20"/>
                <w:szCs w:val="20"/>
                <w:lang w:eastAsia="zh-CN"/>
              </w:rPr>
              <w:t>14</w:t>
            </w:r>
          </w:p>
        </w:tc>
      </w:tr>
      <w:tr w:rsidR="00F540F9" w14:paraId="3B8EEADA" w14:textId="77777777" w:rsidTr="00105142">
        <w:trPr>
          <w:trHeight w:val="474"/>
          <w:jc w:val="center"/>
        </w:trPr>
        <w:tc>
          <w:tcPr>
            <w:tcW w:w="6446" w:type="dxa"/>
            <w:gridSpan w:val="3"/>
            <w:tcBorders>
              <w:left w:val="nil"/>
              <w:right w:val="nil"/>
            </w:tcBorders>
            <w:shd w:val="clear" w:color="auto" w:fill="C6D9F1" w:themeFill="text2" w:themeFillTint="33"/>
          </w:tcPr>
          <w:p w14:paraId="4D5E73D7" w14:textId="077C281C" w:rsidR="00F540F9" w:rsidRPr="00105142" w:rsidRDefault="00F540F9" w:rsidP="00D73DB8">
            <w:pPr>
              <w:spacing w:line="240" w:lineRule="auto"/>
              <w:jc w:val="both"/>
              <w:rPr>
                <w:b/>
                <w:bCs/>
                <w:sz w:val="20"/>
                <w:szCs w:val="20"/>
                <w:lang w:eastAsia="zh-CN"/>
              </w:rPr>
            </w:pPr>
            <w:r w:rsidRPr="00105142">
              <w:rPr>
                <w:b/>
                <w:bCs/>
                <w:sz w:val="20"/>
                <w:szCs w:val="20"/>
                <w:lang w:eastAsia="zh-CN"/>
              </w:rPr>
              <w:t>Forma de amostragem</w:t>
            </w:r>
          </w:p>
        </w:tc>
      </w:tr>
      <w:tr w:rsidR="00F540F9" w14:paraId="30A5DB76" w14:textId="77777777" w:rsidTr="00105142">
        <w:trPr>
          <w:trHeight w:val="474"/>
          <w:jc w:val="center"/>
        </w:trPr>
        <w:tc>
          <w:tcPr>
            <w:tcW w:w="3212" w:type="dxa"/>
            <w:tcBorders>
              <w:left w:val="nil"/>
            </w:tcBorders>
          </w:tcPr>
          <w:p w14:paraId="74D48EAD" w14:textId="65093F69" w:rsidR="00F540F9" w:rsidRDefault="00A04AA1" w:rsidP="00D73DB8">
            <w:pPr>
              <w:spacing w:line="240" w:lineRule="auto"/>
              <w:jc w:val="both"/>
              <w:rPr>
                <w:sz w:val="20"/>
                <w:szCs w:val="20"/>
                <w:lang w:eastAsia="zh-CN"/>
              </w:rPr>
            </w:pPr>
            <w:r>
              <w:rPr>
                <w:sz w:val="20"/>
                <w:szCs w:val="20"/>
                <w:lang w:eastAsia="zh-CN"/>
              </w:rPr>
              <w:t>Arrasto horizontal</w:t>
            </w:r>
          </w:p>
        </w:tc>
        <w:tc>
          <w:tcPr>
            <w:tcW w:w="1528" w:type="dxa"/>
          </w:tcPr>
          <w:p w14:paraId="197268C1" w14:textId="518F6E8B" w:rsidR="00F540F9" w:rsidRDefault="00A04AA1" w:rsidP="00D73DB8">
            <w:pPr>
              <w:spacing w:line="240" w:lineRule="auto"/>
              <w:jc w:val="both"/>
              <w:rPr>
                <w:sz w:val="20"/>
                <w:szCs w:val="20"/>
                <w:lang w:eastAsia="zh-CN"/>
              </w:rPr>
            </w:pPr>
            <w:r>
              <w:rPr>
                <w:sz w:val="20"/>
                <w:szCs w:val="20"/>
                <w:lang w:eastAsia="zh-CN"/>
              </w:rPr>
              <w:t>31</w:t>
            </w:r>
          </w:p>
        </w:tc>
        <w:tc>
          <w:tcPr>
            <w:tcW w:w="1706" w:type="dxa"/>
            <w:tcBorders>
              <w:right w:val="nil"/>
            </w:tcBorders>
          </w:tcPr>
          <w:p w14:paraId="552968C9" w14:textId="72CDAED0" w:rsidR="00F540F9" w:rsidRDefault="00A04AA1" w:rsidP="00D73DB8">
            <w:pPr>
              <w:spacing w:line="240" w:lineRule="auto"/>
              <w:jc w:val="both"/>
              <w:rPr>
                <w:sz w:val="20"/>
                <w:szCs w:val="20"/>
                <w:lang w:eastAsia="zh-CN"/>
              </w:rPr>
            </w:pPr>
            <w:r>
              <w:rPr>
                <w:sz w:val="20"/>
                <w:szCs w:val="20"/>
                <w:lang w:eastAsia="zh-CN"/>
              </w:rPr>
              <w:t>50</w:t>
            </w:r>
          </w:p>
        </w:tc>
      </w:tr>
      <w:tr w:rsidR="00F540F9" w14:paraId="62C9EE4D" w14:textId="77777777" w:rsidTr="00105142">
        <w:trPr>
          <w:trHeight w:val="474"/>
          <w:jc w:val="center"/>
        </w:trPr>
        <w:tc>
          <w:tcPr>
            <w:tcW w:w="6446" w:type="dxa"/>
            <w:gridSpan w:val="3"/>
            <w:tcBorders>
              <w:left w:val="nil"/>
              <w:right w:val="nil"/>
            </w:tcBorders>
            <w:shd w:val="clear" w:color="auto" w:fill="C6D9F1" w:themeFill="text2" w:themeFillTint="33"/>
          </w:tcPr>
          <w:p w14:paraId="203D17E2" w14:textId="01069D98" w:rsidR="00F540F9" w:rsidRPr="00105142" w:rsidRDefault="00F540F9" w:rsidP="00D73DB8">
            <w:pPr>
              <w:spacing w:line="240" w:lineRule="auto"/>
              <w:jc w:val="both"/>
              <w:rPr>
                <w:b/>
                <w:bCs/>
                <w:sz w:val="20"/>
                <w:szCs w:val="20"/>
                <w:lang w:eastAsia="zh-CN"/>
              </w:rPr>
            </w:pPr>
            <w:r>
              <w:rPr>
                <w:b/>
                <w:bCs/>
                <w:sz w:val="20"/>
                <w:szCs w:val="20"/>
                <w:lang w:eastAsia="zh-CN"/>
              </w:rPr>
              <w:t>Outros utensílios</w:t>
            </w:r>
          </w:p>
        </w:tc>
      </w:tr>
      <w:tr w:rsidR="00F540F9" w14:paraId="4ED86722" w14:textId="77777777" w:rsidTr="00105142">
        <w:trPr>
          <w:trHeight w:val="474"/>
          <w:jc w:val="center"/>
        </w:trPr>
        <w:tc>
          <w:tcPr>
            <w:tcW w:w="3212" w:type="dxa"/>
            <w:tcBorders>
              <w:left w:val="nil"/>
            </w:tcBorders>
          </w:tcPr>
          <w:p w14:paraId="77C7EF76" w14:textId="6AD81761" w:rsidR="00F540F9" w:rsidRDefault="00A04AA1" w:rsidP="00D73DB8">
            <w:pPr>
              <w:spacing w:line="240" w:lineRule="auto"/>
              <w:jc w:val="both"/>
              <w:rPr>
                <w:sz w:val="20"/>
                <w:szCs w:val="20"/>
                <w:lang w:eastAsia="zh-CN"/>
              </w:rPr>
            </w:pPr>
            <w:r>
              <w:rPr>
                <w:sz w:val="20"/>
                <w:szCs w:val="20"/>
                <w:lang w:eastAsia="zh-CN"/>
              </w:rPr>
              <w:t>Balde graduado</w:t>
            </w:r>
          </w:p>
        </w:tc>
        <w:tc>
          <w:tcPr>
            <w:tcW w:w="1528" w:type="dxa"/>
          </w:tcPr>
          <w:p w14:paraId="4C3A8CDC" w14:textId="0827AA10" w:rsidR="00F540F9" w:rsidRDefault="00A04AA1" w:rsidP="00D73DB8">
            <w:pPr>
              <w:spacing w:line="240" w:lineRule="auto"/>
              <w:jc w:val="both"/>
              <w:rPr>
                <w:sz w:val="20"/>
                <w:szCs w:val="20"/>
                <w:lang w:eastAsia="zh-CN"/>
              </w:rPr>
            </w:pPr>
            <w:r>
              <w:rPr>
                <w:sz w:val="20"/>
                <w:szCs w:val="20"/>
                <w:lang w:eastAsia="zh-CN"/>
              </w:rPr>
              <w:t>1</w:t>
            </w:r>
          </w:p>
        </w:tc>
        <w:tc>
          <w:tcPr>
            <w:tcW w:w="1706" w:type="dxa"/>
            <w:tcBorders>
              <w:right w:val="nil"/>
            </w:tcBorders>
          </w:tcPr>
          <w:p w14:paraId="7D3AABA9" w14:textId="5D179F86" w:rsidR="00F540F9" w:rsidRDefault="00A04AA1" w:rsidP="00105142">
            <w:pPr>
              <w:keepNext/>
              <w:spacing w:line="240" w:lineRule="auto"/>
              <w:jc w:val="both"/>
              <w:rPr>
                <w:sz w:val="20"/>
                <w:szCs w:val="20"/>
                <w:lang w:eastAsia="zh-CN"/>
              </w:rPr>
            </w:pPr>
            <w:r>
              <w:rPr>
                <w:sz w:val="20"/>
                <w:szCs w:val="20"/>
                <w:lang w:eastAsia="zh-CN"/>
              </w:rPr>
              <w:t>2</w:t>
            </w:r>
          </w:p>
        </w:tc>
      </w:tr>
    </w:tbl>
    <w:p w14:paraId="3C41476D" w14:textId="4D3939C0" w:rsidR="00DA13F6" w:rsidRPr="00433339" w:rsidRDefault="00032F80" w:rsidP="00105142">
      <w:pPr>
        <w:pStyle w:val="Legenda"/>
        <w:jc w:val="center"/>
        <w:rPr>
          <w:i w:val="0"/>
          <w:iCs w:val="0"/>
          <w:color w:val="000000" w:themeColor="text1"/>
          <w:sz w:val="20"/>
          <w:szCs w:val="20"/>
          <w:lang w:eastAsia="zh-CN"/>
        </w:rPr>
      </w:pPr>
      <w:r w:rsidRPr="00433339">
        <w:rPr>
          <w:i w:val="0"/>
          <w:iCs w:val="0"/>
          <w:color w:val="000000" w:themeColor="text1"/>
          <w:sz w:val="20"/>
          <w:szCs w:val="20"/>
        </w:rPr>
        <w:t xml:space="preserve">Tabela </w:t>
      </w:r>
      <w:r w:rsidRPr="00433339">
        <w:rPr>
          <w:i w:val="0"/>
          <w:iCs w:val="0"/>
          <w:color w:val="000000" w:themeColor="text1"/>
          <w:sz w:val="20"/>
          <w:szCs w:val="20"/>
        </w:rPr>
        <w:fldChar w:fldCharType="begin"/>
      </w:r>
      <w:r w:rsidRPr="00433339">
        <w:rPr>
          <w:i w:val="0"/>
          <w:iCs w:val="0"/>
          <w:color w:val="000000" w:themeColor="text1"/>
          <w:sz w:val="20"/>
          <w:szCs w:val="20"/>
        </w:rPr>
        <w:instrText xml:space="preserve"> SEQ Tabela \* ARABIC \s 1 </w:instrText>
      </w:r>
      <w:r w:rsidRPr="00433339">
        <w:rPr>
          <w:i w:val="0"/>
          <w:iCs w:val="0"/>
          <w:color w:val="000000" w:themeColor="text1"/>
          <w:sz w:val="20"/>
          <w:szCs w:val="20"/>
        </w:rPr>
        <w:fldChar w:fldCharType="separate"/>
      </w:r>
      <w:r w:rsidRPr="00433339">
        <w:rPr>
          <w:i w:val="0"/>
          <w:iCs w:val="0"/>
          <w:noProof/>
          <w:color w:val="000000" w:themeColor="text1"/>
          <w:sz w:val="20"/>
          <w:szCs w:val="20"/>
        </w:rPr>
        <w:t>1</w:t>
      </w:r>
      <w:r w:rsidRPr="00433339">
        <w:rPr>
          <w:i w:val="0"/>
          <w:iCs w:val="0"/>
          <w:color w:val="000000" w:themeColor="text1"/>
          <w:sz w:val="20"/>
          <w:szCs w:val="20"/>
        </w:rPr>
        <w:fldChar w:fldCharType="end"/>
      </w:r>
      <w:r w:rsidR="00105142" w:rsidRPr="00433339">
        <w:rPr>
          <w:i w:val="0"/>
          <w:iCs w:val="0"/>
          <w:color w:val="000000" w:themeColor="text1"/>
          <w:sz w:val="20"/>
          <w:szCs w:val="20"/>
        </w:rPr>
        <w:t xml:space="preserve">. </w:t>
      </w:r>
      <w:r w:rsidRPr="00433339">
        <w:rPr>
          <w:i w:val="0"/>
          <w:iCs w:val="0"/>
          <w:color w:val="000000" w:themeColor="text1"/>
          <w:sz w:val="20"/>
          <w:szCs w:val="20"/>
        </w:rPr>
        <w:t xml:space="preserve">Metodologias amostrais mais utilizadas em estudos </w:t>
      </w:r>
      <w:proofErr w:type="spellStart"/>
      <w:r w:rsidRPr="00433339">
        <w:rPr>
          <w:i w:val="0"/>
          <w:iCs w:val="0"/>
          <w:color w:val="000000" w:themeColor="text1"/>
          <w:sz w:val="20"/>
          <w:szCs w:val="20"/>
        </w:rPr>
        <w:t>zooplanctônicos</w:t>
      </w:r>
      <w:proofErr w:type="spellEnd"/>
      <w:r w:rsidRPr="00433339">
        <w:rPr>
          <w:i w:val="0"/>
          <w:iCs w:val="0"/>
          <w:color w:val="000000" w:themeColor="text1"/>
          <w:sz w:val="20"/>
          <w:szCs w:val="20"/>
        </w:rPr>
        <w:t xml:space="preserve"> e comparação com a de todos os estudos no levantamento.</w:t>
      </w:r>
    </w:p>
    <w:p w14:paraId="7F5D49EE" w14:textId="03782002" w:rsidR="00674CA6" w:rsidRDefault="005F67A2" w:rsidP="00C86D5D">
      <w:pPr>
        <w:spacing w:line="240" w:lineRule="auto"/>
        <w:ind w:firstLine="567"/>
        <w:jc w:val="both"/>
        <w:rPr>
          <w:sz w:val="20"/>
          <w:szCs w:val="20"/>
          <w:lang w:eastAsia="zh-CN"/>
        </w:rPr>
      </w:pPr>
      <w:bookmarkStart w:id="5" w:name="_Hlk143636185"/>
      <w:r>
        <w:rPr>
          <w:sz w:val="20"/>
          <w:szCs w:val="20"/>
          <w:lang w:eastAsia="zh-CN"/>
        </w:rPr>
        <w:t>Os dados abióticos</w:t>
      </w:r>
      <w:r w:rsidR="00580988">
        <w:rPr>
          <w:sz w:val="20"/>
          <w:szCs w:val="20"/>
          <w:lang w:eastAsia="zh-CN"/>
        </w:rPr>
        <w:t>, por não aparecerem em todos os estudos, o que dificulta a comparação média efetivamente, foram classificados apenas pela sua presença ou ausência nas pesquisas, posteriormente sendo comparados com estudos voltados ao fitoplâncton</w:t>
      </w:r>
      <w:r w:rsidR="00FA71E4">
        <w:rPr>
          <w:sz w:val="20"/>
          <w:szCs w:val="20"/>
          <w:lang w:eastAsia="zh-CN"/>
        </w:rPr>
        <w:t xml:space="preserve"> apenas para fins comparativos</w:t>
      </w:r>
      <w:r w:rsidR="00580988">
        <w:rPr>
          <w:sz w:val="20"/>
          <w:szCs w:val="20"/>
          <w:lang w:eastAsia="zh-CN"/>
        </w:rPr>
        <w:t xml:space="preserve">. </w:t>
      </w:r>
      <w:r w:rsidR="002A0D81">
        <w:rPr>
          <w:sz w:val="20"/>
          <w:szCs w:val="20"/>
          <w:lang w:eastAsia="zh-CN"/>
        </w:rPr>
        <w:t xml:space="preserve">Desta forma percebeu-se temperatura e salinidade são os dados mais </w:t>
      </w:r>
      <w:r w:rsidR="00254230">
        <w:rPr>
          <w:sz w:val="20"/>
          <w:szCs w:val="20"/>
          <w:lang w:eastAsia="zh-CN"/>
        </w:rPr>
        <w:t>mensurados no momento da coleta</w:t>
      </w:r>
      <w:r w:rsidR="002A0D81">
        <w:rPr>
          <w:sz w:val="20"/>
          <w:szCs w:val="20"/>
          <w:lang w:eastAsia="zh-CN"/>
        </w:rPr>
        <w:t xml:space="preserve"> </w:t>
      </w:r>
      <w:r w:rsidR="00254230">
        <w:rPr>
          <w:sz w:val="20"/>
          <w:szCs w:val="20"/>
          <w:lang w:eastAsia="zh-CN"/>
        </w:rPr>
        <w:t>d</w:t>
      </w:r>
      <w:r w:rsidR="002A0D81">
        <w:rPr>
          <w:sz w:val="20"/>
          <w:szCs w:val="20"/>
          <w:lang w:eastAsia="zh-CN"/>
        </w:rPr>
        <w:t xml:space="preserve">os estudos voltados a comunidade </w:t>
      </w:r>
      <w:proofErr w:type="spellStart"/>
      <w:r w:rsidR="002A0D81">
        <w:rPr>
          <w:sz w:val="20"/>
          <w:szCs w:val="20"/>
          <w:lang w:eastAsia="zh-CN"/>
        </w:rPr>
        <w:t>zooplanctônica</w:t>
      </w:r>
      <w:bookmarkEnd w:id="5"/>
      <w:proofErr w:type="spellEnd"/>
      <w:r w:rsidR="00095685">
        <w:rPr>
          <w:sz w:val="20"/>
          <w:szCs w:val="20"/>
          <w:lang w:eastAsia="zh-CN"/>
        </w:rPr>
        <w:t xml:space="preserve"> (</w:t>
      </w:r>
      <w:proofErr w:type="spellStart"/>
      <w:r w:rsidR="00580988">
        <w:rPr>
          <w:sz w:val="20"/>
          <w:szCs w:val="20"/>
          <w:lang w:eastAsia="zh-CN"/>
        </w:rPr>
        <w:t>Fig</w:t>
      </w:r>
      <w:proofErr w:type="spellEnd"/>
      <w:r w:rsidR="00580988">
        <w:rPr>
          <w:sz w:val="20"/>
          <w:szCs w:val="20"/>
          <w:lang w:eastAsia="zh-CN"/>
        </w:rPr>
        <w:t xml:space="preserve"> 1). </w:t>
      </w:r>
    </w:p>
    <w:p w14:paraId="3CDAEED7" w14:textId="77777777" w:rsidR="00105142" w:rsidRDefault="00105142" w:rsidP="006C1842">
      <w:pPr>
        <w:spacing w:line="240" w:lineRule="auto"/>
        <w:ind w:firstLine="567"/>
        <w:jc w:val="both"/>
        <w:rPr>
          <w:sz w:val="20"/>
          <w:szCs w:val="20"/>
          <w:lang w:eastAsia="zh-CN"/>
        </w:rPr>
      </w:pPr>
    </w:p>
    <w:p w14:paraId="7D8DA3E8" w14:textId="6D47C091" w:rsidR="00DA13F6" w:rsidRDefault="00C86D5D" w:rsidP="00105142">
      <w:pPr>
        <w:keepNext/>
        <w:spacing w:line="240" w:lineRule="auto"/>
        <w:ind w:firstLine="567"/>
        <w:jc w:val="center"/>
      </w:pPr>
      <w:r>
        <w:rPr>
          <w:noProof/>
        </w:rPr>
        <w:drawing>
          <wp:inline distT="0" distB="0" distL="0" distR="0" wp14:anchorId="60AAB163" wp14:editId="79958442">
            <wp:extent cx="4125656" cy="2479964"/>
            <wp:effectExtent l="0" t="0" r="1905" b="0"/>
            <wp:docPr id="180628216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61805" cy="2501694"/>
                    </a:xfrm>
                    <a:prstGeom prst="rect">
                      <a:avLst/>
                    </a:prstGeom>
                    <a:noFill/>
                  </pic:spPr>
                </pic:pic>
              </a:graphicData>
            </a:graphic>
          </wp:inline>
        </w:drawing>
      </w:r>
    </w:p>
    <w:p w14:paraId="5E536EB1" w14:textId="164F4244" w:rsidR="00105142" w:rsidRPr="00433339" w:rsidRDefault="00DA13F6" w:rsidP="000058A1">
      <w:pPr>
        <w:pStyle w:val="Legenda"/>
        <w:jc w:val="center"/>
        <w:rPr>
          <w:i w:val="0"/>
          <w:iCs w:val="0"/>
          <w:noProof/>
          <w:sz w:val="20"/>
          <w:szCs w:val="20"/>
          <w:lang w:eastAsia="zh-CN"/>
        </w:rPr>
      </w:pPr>
      <w:r w:rsidRPr="00433339">
        <w:rPr>
          <w:i w:val="0"/>
          <w:iCs w:val="0"/>
          <w:color w:val="000000" w:themeColor="text1"/>
          <w:sz w:val="20"/>
          <w:szCs w:val="20"/>
        </w:rPr>
        <w:t>Figur</w:t>
      </w:r>
      <w:r w:rsidR="00105142" w:rsidRPr="00433339">
        <w:rPr>
          <w:i w:val="0"/>
          <w:iCs w:val="0"/>
          <w:color w:val="000000" w:themeColor="text1"/>
          <w:sz w:val="20"/>
          <w:szCs w:val="20"/>
        </w:rPr>
        <w:t>a</w:t>
      </w:r>
      <w:r w:rsidRPr="00433339">
        <w:rPr>
          <w:i w:val="0"/>
          <w:iCs w:val="0"/>
          <w:color w:val="000000" w:themeColor="text1"/>
          <w:sz w:val="20"/>
          <w:szCs w:val="20"/>
        </w:rPr>
        <w:t xml:space="preserve"> </w:t>
      </w:r>
      <w:r w:rsidRPr="00433339">
        <w:rPr>
          <w:i w:val="0"/>
          <w:iCs w:val="0"/>
          <w:color w:val="000000" w:themeColor="text1"/>
          <w:sz w:val="20"/>
          <w:szCs w:val="20"/>
        </w:rPr>
        <w:fldChar w:fldCharType="begin"/>
      </w:r>
      <w:r w:rsidRPr="00433339">
        <w:rPr>
          <w:i w:val="0"/>
          <w:iCs w:val="0"/>
          <w:color w:val="000000" w:themeColor="text1"/>
          <w:sz w:val="20"/>
          <w:szCs w:val="20"/>
        </w:rPr>
        <w:instrText xml:space="preserve"> SEQ Figure \* ARABIC </w:instrText>
      </w:r>
      <w:r w:rsidRPr="00433339">
        <w:rPr>
          <w:i w:val="0"/>
          <w:iCs w:val="0"/>
          <w:color w:val="000000" w:themeColor="text1"/>
          <w:sz w:val="20"/>
          <w:szCs w:val="20"/>
        </w:rPr>
        <w:fldChar w:fldCharType="separate"/>
      </w:r>
      <w:r w:rsidRPr="00433339">
        <w:rPr>
          <w:i w:val="0"/>
          <w:iCs w:val="0"/>
          <w:noProof/>
          <w:color w:val="000000" w:themeColor="text1"/>
          <w:sz w:val="20"/>
          <w:szCs w:val="20"/>
        </w:rPr>
        <w:t>1</w:t>
      </w:r>
      <w:r w:rsidRPr="00433339">
        <w:rPr>
          <w:i w:val="0"/>
          <w:iCs w:val="0"/>
          <w:color w:val="000000" w:themeColor="text1"/>
          <w:sz w:val="20"/>
          <w:szCs w:val="20"/>
        </w:rPr>
        <w:fldChar w:fldCharType="end"/>
      </w:r>
      <w:r w:rsidR="00433339">
        <w:rPr>
          <w:i w:val="0"/>
          <w:iCs w:val="0"/>
          <w:color w:val="000000" w:themeColor="text1"/>
          <w:sz w:val="20"/>
          <w:szCs w:val="20"/>
        </w:rPr>
        <w:t>.</w:t>
      </w:r>
      <w:r w:rsidRPr="00433339">
        <w:rPr>
          <w:i w:val="0"/>
          <w:iCs w:val="0"/>
          <w:color w:val="000000" w:themeColor="text1"/>
          <w:sz w:val="20"/>
          <w:szCs w:val="20"/>
        </w:rPr>
        <w:t xml:space="preserve"> </w:t>
      </w:r>
      <w:r w:rsidR="00433339">
        <w:rPr>
          <w:i w:val="0"/>
          <w:iCs w:val="0"/>
          <w:color w:val="000000" w:themeColor="text1"/>
          <w:sz w:val="20"/>
          <w:szCs w:val="20"/>
        </w:rPr>
        <w:t>Número de artigos em que os</w:t>
      </w:r>
      <w:r w:rsidRPr="00433339">
        <w:rPr>
          <w:i w:val="0"/>
          <w:iCs w:val="0"/>
          <w:color w:val="000000" w:themeColor="text1"/>
          <w:sz w:val="20"/>
          <w:szCs w:val="20"/>
        </w:rPr>
        <w:t xml:space="preserve"> dados abióticos </w:t>
      </w:r>
      <w:r w:rsidR="00433339">
        <w:rPr>
          <w:i w:val="0"/>
          <w:iCs w:val="0"/>
          <w:color w:val="000000" w:themeColor="text1"/>
          <w:sz w:val="20"/>
          <w:szCs w:val="20"/>
        </w:rPr>
        <w:t xml:space="preserve">foram citados nos </w:t>
      </w:r>
      <w:r w:rsidRPr="00433339">
        <w:rPr>
          <w:i w:val="0"/>
          <w:iCs w:val="0"/>
          <w:color w:val="000000" w:themeColor="text1"/>
          <w:sz w:val="20"/>
          <w:szCs w:val="20"/>
        </w:rPr>
        <w:t xml:space="preserve">estudos sobre o </w:t>
      </w:r>
      <w:proofErr w:type="spellStart"/>
      <w:r w:rsidRPr="00433339">
        <w:rPr>
          <w:i w:val="0"/>
          <w:iCs w:val="0"/>
          <w:color w:val="000000" w:themeColor="text1"/>
          <w:sz w:val="20"/>
          <w:szCs w:val="20"/>
        </w:rPr>
        <w:t>zooplâncton</w:t>
      </w:r>
      <w:proofErr w:type="spellEnd"/>
      <w:r w:rsidRPr="00433339">
        <w:rPr>
          <w:i w:val="0"/>
          <w:iCs w:val="0"/>
          <w:color w:val="000000" w:themeColor="text1"/>
          <w:sz w:val="20"/>
          <w:szCs w:val="20"/>
        </w:rPr>
        <w:t xml:space="preserve"> e fitoplâncton.</w:t>
      </w:r>
    </w:p>
    <w:p w14:paraId="1E0063D3" w14:textId="62A02CED" w:rsidR="0072485F" w:rsidRPr="0072485F" w:rsidRDefault="00B1788E" w:rsidP="0072485F">
      <w:pPr>
        <w:spacing w:line="240" w:lineRule="auto"/>
        <w:jc w:val="both"/>
        <w:rPr>
          <w:rFonts w:eastAsia="Times New Roman"/>
          <w:b/>
          <w:sz w:val="20"/>
          <w:szCs w:val="20"/>
        </w:rPr>
      </w:pPr>
      <w:r w:rsidRPr="00BE0CEC">
        <w:rPr>
          <w:rFonts w:eastAsia="Times New Roman"/>
          <w:b/>
          <w:sz w:val="20"/>
          <w:szCs w:val="20"/>
        </w:rPr>
        <w:lastRenderedPageBreak/>
        <w:t>CONCLUSÕES</w:t>
      </w:r>
    </w:p>
    <w:p w14:paraId="719A67F0" w14:textId="67EFF1F0" w:rsidR="0072485F" w:rsidRDefault="0072485F">
      <w:pPr>
        <w:spacing w:line="240" w:lineRule="auto"/>
        <w:ind w:firstLine="567"/>
        <w:jc w:val="both"/>
        <w:rPr>
          <w:rFonts w:eastAsia="Times New Roman"/>
          <w:sz w:val="20"/>
          <w:szCs w:val="20"/>
        </w:rPr>
      </w:pPr>
      <w:bookmarkStart w:id="6" w:name="_Hlk143636289"/>
      <w:r>
        <w:rPr>
          <w:rFonts w:eastAsia="Times New Roman"/>
          <w:sz w:val="20"/>
          <w:szCs w:val="20"/>
        </w:rPr>
        <w:t>Dos estudos</w:t>
      </w:r>
      <w:r w:rsidR="005F41AF">
        <w:rPr>
          <w:rFonts w:eastAsia="Times New Roman"/>
          <w:sz w:val="20"/>
          <w:szCs w:val="20"/>
        </w:rPr>
        <w:t xml:space="preserve"> sobre o</w:t>
      </w:r>
      <w:r>
        <w:rPr>
          <w:rFonts w:eastAsia="Times New Roman"/>
          <w:sz w:val="20"/>
          <w:szCs w:val="20"/>
        </w:rPr>
        <w:t xml:space="preserve"> zooplâncton</w:t>
      </w:r>
      <w:r w:rsidR="005F41AF">
        <w:rPr>
          <w:rFonts w:eastAsia="Times New Roman"/>
          <w:sz w:val="20"/>
          <w:szCs w:val="20"/>
        </w:rPr>
        <w:t xml:space="preserve"> costeiro de Pernambuco</w:t>
      </w:r>
      <w:r>
        <w:rPr>
          <w:rFonts w:eastAsia="Times New Roman"/>
          <w:sz w:val="20"/>
          <w:szCs w:val="20"/>
        </w:rPr>
        <w:t>, a maioria foi r</w:t>
      </w:r>
      <w:r w:rsidRPr="00010F36">
        <w:rPr>
          <w:rFonts w:eastAsia="Times New Roman"/>
          <w:sz w:val="20"/>
          <w:szCs w:val="20"/>
        </w:rPr>
        <w:t>ealizada em estuário</w:t>
      </w:r>
      <w:r w:rsidR="005F41AF">
        <w:rPr>
          <w:rFonts w:eastAsia="Times New Roman"/>
          <w:sz w:val="20"/>
          <w:szCs w:val="20"/>
        </w:rPr>
        <w:t>s, destacando-se os do Canal de Santa Cruz</w:t>
      </w:r>
      <w:r w:rsidR="00F3477C">
        <w:rPr>
          <w:rFonts w:eastAsia="Times New Roman"/>
          <w:sz w:val="20"/>
          <w:szCs w:val="20"/>
        </w:rPr>
        <w:t>.</w:t>
      </w:r>
    </w:p>
    <w:p w14:paraId="53A12385" w14:textId="5DF9893B" w:rsidR="00F3477C" w:rsidRDefault="00254230">
      <w:pPr>
        <w:spacing w:line="240" w:lineRule="auto"/>
        <w:ind w:firstLine="567"/>
        <w:jc w:val="both"/>
        <w:rPr>
          <w:rFonts w:eastAsia="Times New Roman"/>
          <w:sz w:val="20"/>
          <w:szCs w:val="20"/>
        </w:rPr>
      </w:pPr>
      <w:r>
        <w:rPr>
          <w:rFonts w:eastAsia="Times New Roman"/>
          <w:sz w:val="20"/>
          <w:szCs w:val="20"/>
        </w:rPr>
        <w:t xml:space="preserve">Dentre os dados abióticos </w:t>
      </w:r>
      <w:r w:rsidR="00BC6CC7">
        <w:rPr>
          <w:rFonts w:eastAsia="Times New Roman"/>
          <w:sz w:val="20"/>
          <w:szCs w:val="20"/>
        </w:rPr>
        <w:t>vinculados aos estudos de zooplâncton</w:t>
      </w:r>
      <w:r>
        <w:rPr>
          <w:rFonts w:eastAsia="Times New Roman"/>
          <w:sz w:val="20"/>
          <w:szCs w:val="20"/>
        </w:rPr>
        <w:t xml:space="preserve">, os mais </w:t>
      </w:r>
      <w:r w:rsidR="00BC6CC7">
        <w:rPr>
          <w:rFonts w:eastAsia="Times New Roman"/>
          <w:sz w:val="20"/>
          <w:szCs w:val="20"/>
        </w:rPr>
        <w:t>mensurados e explorados</w:t>
      </w:r>
      <w:r>
        <w:rPr>
          <w:rFonts w:eastAsia="Times New Roman"/>
          <w:sz w:val="20"/>
          <w:szCs w:val="20"/>
        </w:rPr>
        <w:t xml:space="preserve"> foram o de temperatura e salinidade</w:t>
      </w:r>
      <w:r w:rsidR="00DA13F6">
        <w:rPr>
          <w:rFonts w:eastAsia="Times New Roman"/>
          <w:sz w:val="20"/>
          <w:szCs w:val="20"/>
        </w:rPr>
        <w:t xml:space="preserve">, mas não </w:t>
      </w:r>
      <w:r w:rsidR="00BC6CC7">
        <w:rPr>
          <w:rFonts w:eastAsia="Times New Roman"/>
          <w:sz w:val="20"/>
          <w:szCs w:val="20"/>
        </w:rPr>
        <w:t>foram verificados</w:t>
      </w:r>
      <w:r w:rsidR="00DA13F6">
        <w:rPr>
          <w:rFonts w:eastAsia="Times New Roman"/>
          <w:sz w:val="20"/>
          <w:szCs w:val="20"/>
        </w:rPr>
        <w:t xml:space="preserve"> </w:t>
      </w:r>
      <w:r w:rsidR="00032F80">
        <w:rPr>
          <w:rFonts w:eastAsia="Times New Roman"/>
          <w:sz w:val="20"/>
          <w:szCs w:val="20"/>
        </w:rPr>
        <w:t>em todos os</w:t>
      </w:r>
      <w:r w:rsidR="00DA13F6">
        <w:rPr>
          <w:rFonts w:eastAsia="Times New Roman"/>
          <w:sz w:val="20"/>
          <w:szCs w:val="20"/>
        </w:rPr>
        <w:t xml:space="preserve"> estudos.</w:t>
      </w:r>
    </w:p>
    <w:bookmarkEnd w:id="6"/>
    <w:p w14:paraId="49205099" w14:textId="77777777" w:rsidR="00B555C8" w:rsidRPr="00BE0CEC" w:rsidRDefault="00B555C8" w:rsidP="001E1DC0">
      <w:pPr>
        <w:spacing w:line="240" w:lineRule="auto"/>
        <w:jc w:val="both"/>
        <w:rPr>
          <w:rFonts w:eastAsia="Times New Roman"/>
          <w:sz w:val="20"/>
          <w:szCs w:val="20"/>
        </w:rPr>
      </w:pPr>
    </w:p>
    <w:p w14:paraId="77C0E61B" w14:textId="77777777" w:rsidR="00B555C8" w:rsidRPr="00BE0CEC" w:rsidRDefault="00B1788E">
      <w:pPr>
        <w:spacing w:line="240" w:lineRule="auto"/>
        <w:jc w:val="both"/>
        <w:rPr>
          <w:rFonts w:eastAsia="Times New Roman"/>
          <w:b/>
          <w:sz w:val="20"/>
          <w:szCs w:val="20"/>
        </w:rPr>
      </w:pPr>
      <w:r w:rsidRPr="00BE0CEC">
        <w:rPr>
          <w:rFonts w:eastAsia="Times New Roman"/>
          <w:b/>
          <w:sz w:val="20"/>
          <w:szCs w:val="20"/>
        </w:rPr>
        <w:t xml:space="preserve">REFERÊNCIAS </w:t>
      </w:r>
    </w:p>
    <w:p w14:paraId="69CA3DC5" w14:textId="5092ACE2" w:rsidR="0004062C" w:rsidRPr="00713426" w:rsidRDefault="0004062C">
      <w:pPr>
        <w:spacing w:line="240" w:lineRule="auto"/>
        <w:jc w:val="both"/>
        <w:rPr>
          <w:rFonts w:eastAsia="Times New Roman"/>
          <w:sz w:val="20"/>
          <w:szCs w:val="20"/>
        </w:rPr>
      </w:pPr>
      <w:r w:rsidRPr="00713426">
        <w:rPr>
          <w:rFonts w:eastAsia="Times New Roman"/>
          <w:sz w:val="20"/>
          <w:szCs w:val="20"/>
        </w:rPr>
        <w:t xml:space="preserve">Nogueira, J.M.; Costa, M.D. de P. 2019. Zooplâncton da Baía da </w:t>
      </w:r>
      <w:proofErr w:type="spellStart"/>
      <w:r w:rsidRPr="00713426">
        <w:rPr>
          <w:rFonts w:eastAsia="Times New Roman"/>
          <w:sz w:val="20"/>
          <w:szCs w:val="20"/>
        </w:rPr>
        <w:t>Babitonga</w:t>
      </w:r>
      <w:proofErr w:type="spellEnd"/>
      <w:r w:rsidRPr="00713426">
        <w:rPr>
          <w:rFonts w:eastAsia="Times New Roman"/>
          <w:sz w:val="20"/>
          <w:szCs w:val="20"/>
        </w:rPr>
        <w:t xml:space="preserve"> e plataforma continental adjacente: diagnóstico e revisão bibliográfica. Revista CEPSUL – Biodiversidade e Conservação Marinha</w:t>
      </w:r>
      <w:r w:rsidR="00CC4DCD" w:rsidRPr="00713426">
        <w:rPr>
          <w:rFonts w:eastAsia="Times New Roman"/>
          <w:sz w:val="20"/>
          <w:szCs w:val="20"/>
        </w:rPr>
        <w:t xml:space="preserve">, Rio de Janeiro, </w:t>
      </w:r>
      <w:r w:rsidR="00577CE5">
        <w:rPr>
          <w:rFonts w:eastAsia="Times New Roman"/>
          <w:sz w:val="20"/>
          <w:szCs w:val="20"/>
        </w:rPr>
        <w:t>8, p.</w:t>
      </w:r>
    </w:p>
    <w:p w14:paraId="66B51727" w14:textId="2B4526A4" w:rsidR="0004062C" w:rsidRPr="00105142" w:rsidRDefault="001E1DC0">
      <w:pPr>
        <w:spacing w:line="240" w:lineRule="auto"/>
        <w:jc w:val="both"/>
        <w:rPr>
          <w:rFonts w:eastAsia="Times New Roman"/>
          <w:sz w:val="20"/>
          <w:szCs w:val="20"/>
          <w:lang w:val="en-US"/>
        </w:rPr>
      </w:pPr>
      <w:r w:rsidRPr="00105142">
        <w:rPr>
          <w:rFonts w:eastAsia="Times New Roman"/>
          <w:sz w:val="20"/>
          <w:szCs w:val="20"/>
          <w:lang w:val="en-US"/>
        </w:rPr>
        <w:t>Nixon, S. et al</w:t>
      </w:r>
      <w:r w:rsidR="00713426" w:rsidRPr="00105142">
        <w:rPr>
          <w:rFonts w:eastAsia="Times New Roman"/>
          <w:sz w:val="20"/>
          <w:szCs w:val="20"/>
          <w:lang w:val="en-US"/>
        </w:rPr>
        <w:t xml:space="preserve">. 1986. </w:t>
      </w:r>
      <w:r w:rsidR="00713426" w:rsidRPr="00713426">
        <w:rPr>
          <w:sz w:val="20"/>
          <w:szCs w:val="20"/>
          <w:lang w:val="en-US"/>
        </w:rPr>
        <w:t>Nutrients and the productivity of estuarine and coastal marine ecosystems. Journal of the Limnological Society of Southern Africa, 12, (1-2) 43-71.</w:t>
      </w:r>
    </w:p>
    <w:p w14:paraId="46155BFF" w14:textId="197E4767" w:rsidR="00713426" w:rsidRDefault="00713426" w:rsidP="00713426">
      <w:pPr>
        <w:spacing w:line="240" w:lineRule="auto"/>
        <w:jc w:val="both"/>
        <w:rPr>
          <w:rFonts w:eastAsia="Times New Roman"/>
          <w:sz w:val="20"/>
          <w:szCs w:val="20"/>
        </w:rPr>
      </w:pPr>
      <w:r w:rsidRPr="00105142">
        <w:rPr>
          <w:rFonts w:eastAsia="Times New Roman"/>
          <w:sz w:val="20"/>
          <w:szCs w:val="20"/>
          <w:lang w:val="en-US"/>
        </w:rPr>
        <w:t xml:space="preserve">Hayashi, C. 2020. </w:t>
      </w:r>
      <w:r>
        <w:rPr>
          <w:rFonts w:eastAsia="Times New Roman"/>
          <w:sz w:val="20"/>
          <w:szCs w:val="20"/>
        </w:rPr>
        <w:t>Ciências Ambientais: Recursos Hídricos</w:t>
      </w:r>
      <w:r w:rsidRPr="00BE0CEC">
        <w:rPr>
          <w:rFonts w:eastAsia="Times New Roman"/>
          <w:sz w:val="20"/>
          <w:szCs w:val="20"/>
        </w:rPr>
        <w:t xml:space="preserve">, p. </w:t>
      </w:r>
      <w:r>
        <w:rPr>
          <w:rFonts w:eastAsia="Times New Roman"/>
          <w:sz w:val="20"/>
          <w:szCs w:val="20"/>
        </w:rPr>
        <w:t>184 - 197</w:t>
      </w:r>
      <w:r w:rsidRPr="00BE0CEC">
        <w:rPr>
          <w:rFonts w:eastAsia="Times New Roman"/>
          <w:sz w:val="20"/>
          <w:szCs w:val="20"/>
        </w:rPr>
        <w:t xml:space="preserve">. In: </w:t>
      </w:r>
      <w:r w:rsidR="0044551D">
        <w:rPr>
          <w:rFonts w:eastAsia="Times New Roman"/>
          <w:sz w:val="20"/>
          <w:szCs w:val="20"/>
        </w:rPr>
        <w:t>C</w:t>
      </w:r>
      <w:r w:rsidRPr="00BE0CEC">
        <w:rPr>
          <w:rFonts w:eastAsia="Times New Roman"/>
          <w:sz w:val="20"/>
          <w:szCs w:val="20"/>
        </w:rPr>
        <w:t xml:space="preserve">. </w:t>
      </w:r>
      <w:proofErr w:type="spellStart"/>
      <w:r w:rsidR="0044551D">
        <w:rPr>
          <w:rFonts w:eastAsia="Times New Roman"/>
          <w:sz w:val="20"/>
          <w:szCs w:val="20"/>
        </w:rPr>
        <w:t>Hayshi</w:t>
      </w:r>
      <w:proofErr w:type="spellEnd"/>
      <w:r w:rsidRPr="00BE0CEC">
        <w:rPr>
          <w:rFonts w:eastAsia="Times New Roman"/>
          <w:sz w:val="20"/>
          <w:szCs w:val="20"/>
        </w:rPr>
        <w:t xml:space="preserve"> (Ed.). </w:t>
      </w:r>
      <w:r w:rsidR="0044551D">
        <w:rPr>
          <w:rFonts w:eastAsia="Times New Roman"/>
          <w:sz w:val="20"/>
          <w:szCs w:val="20"/>
        </w:rPr>
        <w:t>Ciências Ambientais: Recursos Hídricos.</w:t>
      </w:r>
      <w:r w:rsidR="0044551D" w:rsidRPr="00BE0CEC">
        <w:rPr>
          <w:rFonts w:eastAsia="Times New Roman"/>
          <w:sz w:val="20"/>
          <w:szCs w:val="20"/>
        </w:rPr>
        <w:t xml:space="preserve"> </w:t>
      </w:r>
      <w:r w:rsidR="0044551D">
        <w:rPr>
          <w:rFonts w:eastAsia="Times New Roman"/>
          <w:sz w:val="20"/>
          <w:szCs w:val="20"/>
        </w:rPr>
        <w:t>Ribeirão Preto, SP</w:t>
      </w:r>
      <w:r w:rsidRPr="00BE0CEC">
        <w:rPr>
          <w:rFonts w:eastAsia="Times New Roman"/>
          <w:sz w:val="20"/>
          <w:szCs w:val="20"/>
        </w:rPr>
        <w:t xml:space="preserve">, IV+505p. </w:t>
      </w:r>
    </w:p>
    <w:p w14:paraId="3744833B" w14:textId="7BBC79D9" w:rsidR="006F5533" w:rsidRPr="00BE0CEC" w:rsidRDefault="006F5533" w:rsidP="00713426">
      <w:pPr>
        <w:spacing w:line="240" w:lineRule="auto"/>
        <w:jc w:val="both"/>
        <w:rPr>
          <w:rFonts w:eastAsia="Times New Roman"/>
          <w:sz w:val="20"/>
          <w:szCs w:val="20"/>
        </w:rPr>
      </w:pPr>
      <w:r w:rsidRPr="00105142">
        <w:rPr>
          <w:rFonts w:eastAsia="Times New Roman"/>
          <w:sz w:val="20"/>
          <w:szCs w:val="20"/>
          <w:lang w:val="en-US"/>
        </w:rPr>
        <w:t xml:space="preserve">Day JR, R. F. et al. 2012. Introduction to estuarine ecology, p. 1 – 18. In: </w:t>
      </w:r>
      <w:r w:rsidR="00B81A93" w:rsidRPr="00105142">
        <w:rPr>
          <w:rFonts w:eastAsia="Times New Roman"/>
          <w:sz w:val="20"/>
          <w:szCs w:val="20"/>
          <w:lang w:val="en-US"/>
        </w:rPr>
        <w:t>J. W. Dat et al (Ed). Wiley-</w:t>
      </w:r>
      <w:proofErr w:type="spellStart"/>
      <w:r w:rsidR="00B81A93" w:rsidRPr="00105142">
        <w:rPr>
          <w:rFonts w:eastAsia="Times New Roman"/>
          <w:sz w:val="20"/>
          <w:szCs w:val="20"/>
          <w:lang w:val="en-US"/>
        </w:rPr>
        <w:t>blackwell</w:t>
      </w:r>
      <w:proofErr w:type="spellEnd"/>
      <w:r w:rsidR="00B81A93" w:rsidRPr="00105142">
        <w:rPr>
          <w:rFonts w:eastAsia="Times New Roman"/>
          <w:sz w:val="20"/>
          <w:szCs w:val="20"/>
          <w:lang w:val="en-US"/>
        </w:rPr>
        <w:t xml:space="preserve"> (</w:t>
      </w:r>
      <w:proofErr w:type="spellStart"/>
      <w:r w:rsidR="00B81A93" w:rsidRPr="00105142">
        <w:rPr>
          <w:rFonts w:eastAsia="Times New Roman"/>
          <w:sz w:val="20"/>
          <w:szCs w:val="20"/>
          <w:lang w:val="en-US"/>
        </w:rPr>
        <w:t>inc</w:t>
      </w:r>
      <w:proofErr w:type="spellEnd"/>
      <w:r w:rsidR="00B81A93" w:rsidRPr="00105142">
        <w:rPr>
          <w:rFonts w:eastAsia="Times New Roman"/>
          <w:sz w:val="20"/>
          <w:szCs w:val="20"/>
          <w:lang w:val="en-US"/>
        </w:rPr>
        <w:t xml:space="preserve">). </w:t>
      </w:r>
      <w:proofErr w:type="spellStart"/>
      <w:r w:rsidR="00B81A93">
        <w:rPr>
          <w:rFonts w:eastAsia="Times New Roman"/>
          <w:sz w:val="20"/>
          <w:szCs w:val="20"/>
        </w:rPr>
        <w:t>Hoboken</w:t>
      </w:r>
      <w:proofErr w:type="spellEnd"/>
      <w:r w:rsidR="00B81A93">
        <w:rPr>
          <w:rFonts w:eastAsia="Times New Roman"/>
          <w:sz w:val="20"/>
          <w:szCs w:val="20"/>
        </w:rPr>
        <w:t>, New Jersey</w:t>
      </w:r>
    </w:p>
    <w:p w14:paraId="6C8B33F0" w14:textId="77777777" w:rsidR="00B555C8" w:rsidRPr="00BE0CEC" w:rsidRDefault="00B555C8">
      <w:pPr>
        <w:spacing w:line="240" w:lineRule="auto"/>
        <w:jc w:val="both"/>
        <w:rPr>
          <w:rFonts w:eastAsia="Times New Roman"/>
          <w:b/>
          <w:sz w:val="20"/>
          <w:szCs w:val="20"/>
        </w:rPr>
      </w:pPr>
    </w:p>
    <w:p w14:paraId="33546C1C" w14:textId="77777777" w:rsidR="00B555C8" w:rsidRDefault="00B555C8">
      <w:pPr>
        <w:spacing w:line="240" w:lineRule="auto"/>
        <w:rPr>
          <w:sz w:val="20"/>
          <w:szCs w:val="20"/>
        </w:rPr>
      </w:pPr>
    </w:p>
    <w:sectPr w:rsidR="00B555C8" w:rsidSect="002126C3">
      <w:headerReference w:type="default" r:id="rId8"/>
      <w:type w:val="continuous"/>
      <w:pgSz w:w="11909" w:h="16834"/>
      <w:pgMar w:top="25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6F1C05" w14:textId="77777777" w:rsidR="006820B7" w:rsidRPr="00BE0CEC" w:rsidRDefault="006820B7">
      <w:pPr>
        <w:spacing w:line="240" w:lineRule="auto"/>
      </w:pPr>
      <w:r w:rsidRPr="00BE0CEC">
        <w:separator/>
      </w:r>
    </w:p>
  </w:endnote>
  <w:endnote w:type="continuationSeparator" w:id="0">
    <w:p w14:paraId="076490CC" w14:textId="77777777" w:rsidR="006820B7" w:rsidRPr="00BE0CEC" w:rsidRDefault="006820B7">
      <w:pPr>
        <w:spacing w:line="240" w:lineRule="auto"/>
      </w:pPr>
      <w:r w:rsidRPr="00BE0CE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E4FDEE" w14:textId="77777777" w:rsidR="006820B7" w:rsidRPr="00BE0CEC" w:rsidRDefault="006820B7">
      <w:r w:rsidRPr="00BE0CEC">
        <w:separator/>
      </w:r>
    </w:p>
  </w:footnote>
  <w:footnote w:type="continuationSeparator" w:id="0">
    <w:p w14:paraId="62FD7C75" w14:textId="77777777" w:rsidR="006820B7" w:rsidRPr="00BE0CEC" w:rsidRDefault="006820B7">
      <w:r w:rsidRPr="00BE0CE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CDE8F" w14:textId="77777777" w:rsidR="00B555C8" w:rsidRPr="00BE0CEC" w:rsidRDefault="00B1788E">
    <w:pPr>
      <w:tabs>
        <w:tab w:val="center" w:pos="4252"/>
        <w:tab w:val="right" w:pos="8504"/>
      </w:tabs>
      <w:spacing w:before="708" w:line="240" w:lineRule="auto"/>
      <w:jc w:val="both"/>
    </w:pPr>
    <w:r w:rsidRPr="00BE0CEC">
      <w:rPr>
        <w:rFonts w:ascii="Calibri" w:eastAsia="Calibri" w:hAnsi="Calibri" w:cs="Calibri"/>
        <w:noProof/>
        <w:color w:val="FFFFFF"/>
      </w:rPr>
      <w:drawing>
        <wp:inline distT="0" distB="0" distL="114300" distR="114300" wp14:anchorId="4ACF08C2" wp14:editId="038FE09C">
          <wp:extent cx="1776095" cy="798195"/>
          <wp:effectExtent l="0" t="0" r="6985" b="9525"/>
          <wp:docPr id="1493595078" name="Imagem 1493595078" descr="Logo_COR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Logo_CORR 1"/>
                  <pic:cNvPicPr>
                    <a:picLocks noChangeAspect="1"/>
                  </pic:cNvPicPr>
                </pic:nvPicPr>
                <pic:blipFill>
                  <a:blip r:embed="rId1"/>
                  <a:stretch>
                    <a:fillRect/>
                  </a:stretch>
                </pic:blipFill>
                <pic:spPr>
                  <a:xfrm>
                    <a:off x="0" y="0"/>
                    <a:ext cx="1776095" cy="798195"/>
                  </a:xfrm>
                  <a:prstGeom prst="rect">
                    <a:avLst/>
                  </a:prstGeom>
                </pic:spPr>
              </pic:pic>
            </a:graphicData>
          </a:graphic>
        </wp:inline>
      </w:drawing>
    </w:r>
    <w:r w:rsidRPr="00BE0CEC">
      <w:rPr>
        <w:rFonts w:ascii="Calibri" w:eastAsia="Calibri" w:hAnsi="Calibri" w:cs="Calibri"/>
        <w:color w:val="FFFFF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5C8"/>
    <w:rsid w:val="000058A1"/>
    <w:rsid w:val="00010F36"/>
    <w:rsid w:val="00032F80"/>
    <w:rsid w:val="0004062C"/>
    <w:rsid w:val="00043683"/>
    <w:rsid w:val="00094C27"/>
    <w:rsid w:val="00095685"/>
    <w:rsid w:val="000A2F47"/>
    <w:rsid w:val="000D514D"/>
    <w:rsid w:val="000D6979"/>
    <w:rsid w:val="000E2E3D"/>
    <w:rsid w:val="00105142"/>
    <w:rsid w:val="001B45B6"/>
    <w:rsid w:val="001E1DC0"/>
    <w:rsid w:val="001E5111"/>
    <w:rsid w:val="002126C3"/>
    <w:rsid w:val="00236F57"/>
    <w:rsid w:val="00254230"/>
    <w:rsid w:val="00255AA5"/>
    <w:rsid w:val="00281FC0"/>
    <w:rsid w:val="002A0D81"/>
    <w:rsid w:val="002A20EA"/>
    <w:rsid w:val="002D06DD"/>
    <w:rsid w:val="003478A2"/>
    <w:rsid w:val="00347920"/>
    <w:rsid w:val="0038709F"/>
    <w:rsid w:val="00394F94"/>
    <w:rsid w:val="003D2FBC"/>
    <w:rsid w:val="00433339"/>
    <w:rsid w:val="0044551D"/>
    <w:rsid w:val="00457413"/>
    <w:rsid w:val="00481618"/>
    <w:rsid w:val="004845C3"/>
    <w:rsid w:val="00484676"/>
    <w:rsid w:val="004A42F1"/>
    <w:rsid w:val="004E2FD2"/>
    <w:rsid w:val="00500592"/>
    <w:rsid w:val="00577CE5"/>
    <w:rsid w:val="00580988"/>
    <w:rsid w:val="00593641"/>
    <w:rsid w:val="005A1F6B"/>
    <w:rsid w:val="005D546F"/>
    <w:rsid w:val="005F41AF"/>
    <w:rsid w:val="005F5401"/>
    <w:rsid w:val="005F67A2"/>
    <w:rsid w:val="00674CA6"/>
    <w:rsid w:val="006820B7"/>
    <w:rsid w:val="00693BC7"/>
    <w:rsid w:val="006C1842"/>
    <w:rsid w:val="006C7D4A"/>
    <w:rsid w:val="006D2408"/>
    <w:rsid w:val="006F3023"/>
    <w:rsid w:val="006F5533"/>
    <w:rsid w:val="00713426"/>
    <w:rsid w:val="00723D0B"/>
    <w:rsid w:val="0072485F"/>
    <w:rsid w:val="007673DC"/>
    <w:rsid w:val="00786A11"/>
    <w:rsid w:val="007C6292"/>
    <w:rsid w:val="007C7A65"/>
    <w:rsid w:val="00803104"/>
    <w:rsid w:val="008366F2"/>
    <w:rsid w:val="00841987"/>
    <w:rsid w:val="00867319"/>
    <w:rsid w:val="00894804"/>
    <w:rsid w:val="008A2341"/>
    <w:rsid w:val="008E3B39"/>
    <w:rsid w:val="009627E0"/>
    <w:rsid w:val="00A04AA1"/>
    <w:rsid w:val="00A11300"/>
    <w:rsid w:val="00A52713"/>
    <w:rsid w:val="00AB4CD7"/>
    <w:rsid w:val="00AE3683"/>
    <w:rsid w:val="00B1788E"/>
    <w:rsid w:val="00B555C8"/>
    <w:rsid w:val="00B723C5"/>
    <w:rsid w:val="00B802B4"/>
    <w:rsid w:val="00B81A93"/>
    <w:rsid w:val="00BC50B3"/>
    <w:rsid w:val="00BC6CC7"/>
    <w:rsid w:val="00BE0CEC"/>
    <w:rsid w:val="00C32F5D"/>
    <w:rsid w:val="00C504B9"/>
    <w:rsid w:val="00C53074"/>
    <w:rsid w:val="00C86D5D"/>
    <w:rsid w:val="00CC0285"/>
    <w:rsid w:val="00CC4DCD"/>
    <w:rsid w:val="00CE4003"/>
    <w:rsid w:val="00D07ECC"/>
    <w:rsid w:val="00D45D0B"/>
    <w:rsid w:val="00D55883"/>
    <w:rsid w:val="00D73DB8"/>
    <w:rsid w:val="00DA13F6"/>
    <w:rsid w:val="00DF236E"/>
    <w:rsid w:val="00E0642E"/>
    <w:rsid w:val="00E1011C"/>
    <w:rsid w:val="00E20481"/>
    <w:rsid w:val="00E63D67"/>
    <w:rsid w:val="00EA0CC0"/>
    <w:rsid w:val="00EB0B04"/>
    <w:rsid w:val="00F179AA"/>
    <w:rsid w:val="00F3477C"/>
    <w:rsid w:val="00F43797"/>
    <w:rsid w:val="00F540F9"/>
    <w:rsid w:val="00F60C41"/>
    <w:rsid w:val="00F77BAB"/>
    <w:rsid w:val="00F83D66"/>
    <w:rsid w:val="00FA57F9"/>
    <w:rsid w:val="00FA71E4"/>
    <w:rsid w:val="00FB2753"/>
    <w:rsid w:val="00FC6916"/>
    <w:rsid w:val="06AB2D99"/>
    <w:rsid w:val="0A2F1F5A"/>
    <w:rsid w:val="0CB662BA"/>
    <w:rsid w:val="167B494E"/>
    <w:rsid w:val="1CA26503"/>
    <w:rsid w:val="1F2C3C5E"/>
    <w:rsid w:val="251A3BA0"/>
    <w:rsid w:val="30B874AF"/>
    <w:rsid w:val="34C11F07"/>
    <w:rsid w:val="3533180D"/>
    <w:rsid w:val="371A057C"/>
    <w:rsid w:val="3CF24186"/>
    <w:rsid w:val="3E300685"/>
    <w:rsid w:val="499E328F"/>
    <w:rsid w:val="4AE65A17"/>
    <w:rsid w:val="527C4B7E"/>
    <w:rsid w:val="5ABF5100"/>
    <w:rsid w:val="5BF777B8"/>
    <w:rsid w:val="663764A0"/>
    <w:rsid w:val="6F814935"/>
    <w:rsid w:val="75DE6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CE38A"/>
  <w15:docId w15:val="{4F343EEA-C2BA-443E-B843-C91AE5CD2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Arial"/>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76" w:lineRule="auto"/>
    </w:pPr>
    <w:rPr>
      <w:sz w:val="22"/>
      <w:szCs w:val="22"/>
    </w:rPr>
  </w:style>
  <w:style w:type="paragraph" w:styleId="Ttulo1">
    <w:name w:val="heading 1"/>
    <w:basedOn w:val="Normal"/>
    <w:next w:val="Normal"/>
    <w:qFormat/>
    <w:pPr>
      <w:keepNext/>
      <w:keepLines/>
      <w:spacing w:before="400" w:after="120"/>
      <w:outlineLvl w:val="0"/>
    </w:pPr>
    <w:rPr>
      <w:sz w:val="40"/>
      <w:szCs w:val="40"/>
    </w:rPr>
  </w:style>
  <w:style w:type="paragraph" w:styleId="Ttulo2">
    <w:name w:val="heading 2"/>
    <w:basedOn w:val="Normal"/>
    <w:next w:val="Normal"/>
    <w:qFormat/>
    <w:pPr>
      <w:keepNext/>
      <w:keepLines/>
      <w:spacing w:before="360" w:after="120"/>
      <w:outlineLvl w:val="1"/>
    </w:pPr>
    <w:rPr>
      <w:sz w:val="32"/>
      <w:szCs w:val="32"/>
    </w:rPr>
  </w:style>
  <w:style w:type="paragraph" w:styleId="Ttulo3">
    <w:name w:val="heading 3"/>
    <w:basedOn w:val="Normal"/>
    <w:next w:val="Normal"/>
    <w:qFormat/>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qFormat/>
    <w:pPr>
      <w:keepNext/>
      <w:keepLines/>
      <w:spacing w:before="240" w:after="80"/>
      <w:outlineLvl w:val="4"/>
    </w:pPr>
    <w:rPr>
      <w:color w:val="666666"/>
    </w:rPr>
  </w:style>
  <w:style w:type="paragraph" w:styleId="Ttulo6">
    <w:name w:val="heading 6"/>
    <w:basedOn w:val="Normal"/>
    <w:next w:val="Normal"/>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qFormat/>
    <w:pPr>
      <w:keepNext/>
      <w:keepLines/>
      <w:spacing w:after="60"/>
    </w:pPr>
    <w:rPr>
      <w:sz w:val="52"/>
      <w:szCs w:val="52"/>
    </w:rPr>
  </w:style>
  <w:style w:type="paragraph" w:styleId="Rodap">
    <w:name w:val="footer"/>
    <w:basedOn w:val="Normal"/>
    <w:qFormat/>
    <w:pPr>
      <w:tabs>
        <w:tab w:val="center" w:pos="4252"/>
        <w:tab w:val="right" w:pos="8504"/>
      </w:tabs>
    </w:pPr>
  </w:style>
  <w:style w:type="paragraph" w:styleId="Subttulo">
    <w:name w:val="Subtitle"/>
    <w:basedOn w:val="Normal"/>
    <w:next w:val="Normal"/>
    <w:qFormat/>
    <w:pPr>
      <w:keepNext/>
      <w:keepLines/>
      <w:spacing w:after="320"/>
    </w:pPr>
    <w:rPr>
      <w:color w:val="666666"/>
      <w:sz w:val="30"/>
      <w:szCs w:val="30"/>
    </w:rPr>
  </w:style>
  <w:style w:type="table" w:customStyle="1" w:styleId="TableNormal">
    <w:name w:val="Table Normal"/>
    <w:qFormat/>
    <w:tblPr>
      <w:tblCellMar>
        <w:top w:w="0" w:type="dxa"/>
        <w:left w:w="0" w:type="dxa"/>
        <w:bottom w:w="0" w:type="dxa"/>
        <w:right w:w="0" w:type="dxa"/>
      </w:tblCellMar>
    </w:tblPr>
  </w:style>
  <w:style w:type="table" w:styleId="Tabelacomgrade">
    <w:name w:val="Table Grid"/>
    <w:basedOn w:val="Tabelanormal"/>
    <w:rsid w:val="00AB4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unhideWhenUsed/>
    <w:qFormat/>
    <w:rsid w:val="00580988"/>
    <w:pPr>
      <w:spacing w:after="200" w:line="240" w:lineRule="auto"/>
    </w:pPr>
    <w:rPr>
      <w:i/>
      <w:iCs/>
      <w:color w:val="1F497D" w:themeColor="text2"/>
      <w:sz w:val="18"/>
      <w:szCs w:val="18"/>
    </w:rPr>
  </w:style>
  <w:style w:type="paragraph" w:styleId="Textodebalo">
    <w:name w:val="Balloon Text"/>
    <w:basedOn w:val="Normal"/>
    <w:link w:val="TextodebaloChar"/>
    <w:rsid w:val="00FA57F9"/>
    <w:pPr>
      <w:spacing w:line="240" w:lineRule="auto"/>
    </w:pPr>
    <w:rPr>
      <w:rFonts w:ascii="Times New Roman" w:hAnsi="Times New Roman" w:cs="Times New Roman"/>
      <w:sz w:val="18"/>
      <w:szCs w:val="18"/>
    </w:rPr>
  </w:style>
  <w:style w:type="character" w:customStyle="1" w:styleId="TextodebaloChar">
    <w:name w:val="Texto de balão Char"/>
    <w:basedOn w:val="Fontepargpadro"/>
    <w:link w:val="Textodebalo"/>
    <w:rsid w:val="00FA57F9"/>
    <w:rPr>
      <w:rFonts w:ascii="Times New Roman" w:hAnsi="Times New Roman" w:cs="Times New Roman"/>
      <w:sz w:val="18"/>
      <w:szCs w:val="18"/>
    </w:rPr>
  </w:style>
  <w:style w:type="character" w:styleId="Refdecomentrio">
    <w:name w:val="annotation reference"/>
    <w:basedOn w:val="Fontepargpadro"/>
    <w:rsid w:val="00FA57F9"/>
    <w:rPr>
      <w:sz w:val="16"/>
      <w:szCs w:val="16"/>
    </w:rPr>
  </w:style>
  <w:style w:type="paragraph" w:styleId="Textodecomentrio">
    <w:name w:val="annotation text"/>
    <w:basedOn w:val="Normal"/>
    <w:link w:val="TextodecomentrioChar"/>
    <w:rsid w:val="00FA57F9"/>
    <w:pPr>
      <w:spacing w:line="240" w:lineRule="auto"/>
    </w:pPr>
    <w:rPr>
      <w:sz w:val="20"/>
      <w:szCs w:val="20"/>
    </w:rPr>
  </w:style>
  <w:style w:type="character" w:customStyle="1" w:styleId="TextodecomentrioChar">
    <w:name w:val="Texto de comentário Char"/>
    <w:basedOn w:val="Fontepargpadro"/>
    <w:link w:val="Textodecomentrio"/>
    <w:rsid w:val="00FA57F9"/>
  </w:style>
  <w:style w:type="paragraph" w:styleId="Assuntodocomentrio">
    <w:name w:val="annotation subject"/>
    <w:basedOn w:val="Textodecomentrio"/>
    <w:next w:val="Textodecomentrio"/>
    <w:link w:val="AssuntodocomentrioChar"/>
    <w:rsid w:val="00FA57F9"/>
    <w:rPr>
      <w:b/>
      <w:bCs/>
    </w:rPr>
  </w:style>
  <w:style w:type="character" w:customStyle="1" w:styleId="AssuntodocomentrioChar">
    <w:name w:val="Assunto do comentário Char"/>
    <w:basedOn w:val="TextodecomentrioChar"/>
    <w:link w:val="Assuntodocomentrio"/>
    <w:rsid w:val="00FA57F9"/>
    <w:rPr>
      <w:b/>
      <w:bCs/>
    </w:rPr>
  </w:style>
  <w:style w:type="paragraph" w:styleId="Reviso">
    <w:name w:val="Revision"/>
    <w:hidden/>
    <w:uiPriority w:val="99"/>
    <w:unhideWhenUsed/>
    <w:rsid w:val="0048467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5496063">
      <w:bodyDiv w:val="1"/>
      <w:marLeft w:val="0"/>
      <w:marRight w:val="0"/>
      <w:marTop w:val="0"/>
      <w:marBottom w:val="0"/>
      <w:divBdr>
        <w:top w:val="none" w:sz="0" w:space="0" w:color="auto"/>
        <w:left w:val="none" w:sz="0" w:space="0" w:color="auto"/>
        <w:bottom w:val="none" w:sz="0" w:space="0" w:color="auto"/>
        <w:right w:val="none" w:sz="0" w:space="0" w:color="auto"/>
      </w:divBdr>
    </w:div>
    <w:div w:id="1602763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50C2C-1EEA-4549-A6BD-770879927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1017</Words>
  <Characters>5498</Characters>
  <Application>Microsoft Office Word</Application>
  <DocSecurity>0</DocSecurity>
  <Lines>45</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jesse</dc:creator>
  <cp:lastModifiedBy>Mauro Melo Junior</cp:lastModifiedBy>
  <cp:revision>2</cp:revision>
  <dcterms:created xsi:type="dcterms:W3CDTF">2023-09-27T13:24:00Z</dcterms:created>
  <dcterms:modified xsi:type="dcterms:W3CDTF">2023-09-27T13:24:00Z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1046-11.2.0.11388</vt:lpwstr>
  </property>
  <property fmtid="{D5CDD505-2E9C-101B-9397-08002B2CF9AE}" pid="3" name="ICV">
    <vt:lpwstr>72DE21DEC1A84E559D7BB609DCEDA745</vt:lpwstr>
  </property>
  <property fmtid="{D5CDD505-2E9C-101B-9397-08002B2CF9AE}" pid="4" name="GrammarlyDocumentId">
    <vt:lpwstr>effd6cd44c9ef69f915020a947ce0ec4f367a8d184ba27a4b078de75c837e13a</vt:lpwstr>
  </property>
</Properties>
</file>