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90" w:rsidRDefault="008A4390">
      <w:pPr>
        <w:tabs>
          <w:tab w:val="center" w:pos="4252"/>
          <w:tab w:val="right" w:pos="8504"/>
          <w:tab w:val="left" w:pos="18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390" w:rsidRDefault="008A43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90" w:rsidRDefault="00E174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Pesquisa Colaborativa e Artefatos Digitais: a práxis do Grupo do Formar</w:t>
      </w:r>
    </w:p>
    <w:p w:rsidR="008A4390" w:rsidRDefault="008A43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4390" w:rsidRDefault="00E1742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Milano - Universidade Federal Fluminense</w:t>
      </w:r>
    </w:p>
    <w:p w:rsidR="008A4390" w:rsidRDefault="00E1742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Helen Pereira Ferreira - Universidade Federal Fluminense</w:t>
      </w:r>
    </w:p>
    <w:p w:rsidR="008A4390" w:rsidRDefault="00E1742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Monica dos Santos Toledo - Universidade Federal Fluminense</w:t>
      </w:r>
    </w:p>
    <w:p w:rsidR="008A4390" w:rsidRDefault="008A4390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4390" w:rsidRDefault="00E17423">
      <w:pPr>
        <w:spacing w:before="240"/>
        <w:ind w:right="-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é derivado de uma pesquisa desenvolvida pelo Grupo Formar-UFF, que investiga a relação entre a formação docente e as estratégias de professores iniciantes para superar desafios relacionados à docência. Trata-se de uma pesquisa amparada no conceito e na prática colaborativa desde sua concepção, ou seja, a primazia da mesma é que todo o processo seja realizado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coletivo, pautada em relações solidárias e integradoras. Trabalhamos os preceitos de colaboração na metodologia de pesquisa e na filosofia do grupo. Apresentamos um recorte sobre a inserção das práticas e produções do Formar em diversas ambiências digitais, explorando as tecnologias digitais de informação e comunicação (TDIC) como potência criativa capaz de agregar ao desenvolvimento e divulgação do trabalho científico. A base teórica inclui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Himanen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Lèvy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Fiorentini. Na fase atual, contamos com página no Instagram, Canal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repositório de armazenamento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site.</w:t>
      </w:r>
    </w:p>
    <w:bookmarkEnd w:id="0"/>
    <w:p w:rsidR="008A4390" w:rsidRDefault="008A43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390" w:rsidRDefault="00E174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Pesquisa Colaborativa. Artefatos Digitais.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Formação de Professores</w:t>
      </w:r>
    </w:p>
    <w:p w:rsidR="008A4390" w:rsidRDefault="008A43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4390" w:rsidRDefault="00E174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A4390" w:rsidRDefault="00E174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Diretividade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liberdade </w:t>
      </w:r>
    </w:p>
    <w:p w:rsidR="008A4390" w:rsidRDefault="00E17423">
      <w:pPr>
        <w:spacing w:before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busca refletir sobre os usos de artefatos digitais como potência criativa na dinâmica do Grupo Formar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 processo da pesquisa colaborativa. Não 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>conjeturamos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artefato digital como mera ferramenta ou método que auxilia o desenvolvimento da pesquisa, mas como um ecossistema digital - elemento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capaz de propiciar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práxis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Grupo Formar numa perspectiva colaborativa. No que tange a colaboração, o conceito, a prática e as relações são atravessadas pela mesma. Tal iniciativa esbarra com inúmeros desafios. O sistema educacional, a academia, a sala de aula e o próprio grupo de pesquisa se organizam de forma hierárquica, onde os papéis e funções estão definidos, mas não são limitadores. Freire nos alerta sobre o caráter diretivo do trabalho docente, mas ressalta: “Essa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é uma posição de comando, de “faça isso” ou “faça aquilo”, mas uma postura para dirigir um estudo sério sobre algum objeto” (1986, p.104). O grupo não deixa de ter uma coordenação pelo fato de trabalhar de forma horizontalizada e dialógica. A coordenadora tem a função de responder junto às instituições por toda parte burocrática relativa ao grupo. Nossos sistemas e instituições são pensadas para ter sempre o responsável, o autor, o chefe, o coordenador...quem assina! E como ficam as autorias e as funções quando um grupo assume uma prática colaborativa?</w:t>
      </w:r>
    </w:p>
    <w:p w:rsidR="008A4390" w:rsidRDefault="00E17423">
      <w:pPr>
        <w:spacing w:before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Freire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>
        <w:rPr>
          <w:rFonts w:ascii="Times New Roman" w:eastAsia="Times New Roman" w:hAnsi="Times New Roman" w:cs="Times New Roman"/>
          <w:sz w:val="24"/>
          <w:szCs w:val="24"/>
        </w:rPr>
        <w:t>), nos dá uma dica - “radical democracia”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liberdade ao mesmo tempo. Sem autoritarismo e sem licenciosidade entre todos os integrantes do grupo. Os papéis podem ser deliberados, mas na medida do possível, as funções podem e devem ser circulatórias e coletivas. Amparados na filosofia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hacker</w:t>
      </w:r>
      <w:r w:rsidR="003668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684F" w:rsidRPr="0036684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Himanen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percebemos que o trabalho e as relações estabelecidas no Formar provocam a reflexão sobre a construção de uma outra escola, com ênfase numa formação de professores onde possamos construir outras didáticas e práticas pedagógicas que possam unir a cultura escolar e a cultura digital, na promoção de uma sociedade mais solidária e colaborativa.</w:t>
      </w:r>
    </w:p>
    <w:p w:rsidR="008A4390" w:rsidRDefault="00E17423" w:rsidP="0036684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Cabe ressaltar que nosso intuito u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>ltrapassa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legítima divulgação da produção científica; ocorre que também almejamos tal ação como processo formativo para os integrantes do grupo: professores e futuros professores. Para tanto, o Grupo Formar uniu os preceitos de pesquisa colaborativa com os princípios de colaboração da filosofia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4390" w:rsidRDefault="008A43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90" w:rsidRDefault="00E1742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Entrelaçando pesquisa colaborativa e filosofia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hacker</w:t>
      </w:r>
    </w:p>
    <w:p w:rsidR="008A4390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Grupo Formar-UFF (Grupo de Pesquisa em Didática, Formação de Professores e Práticas Pedagógicas), vinculado à Faculdade de Educação da Universidade Federal Fluminense, se dedica, desde o ano 2017, a estudar temas relacionados à docência e nasce com o objetivo de "[...] desenvolver investigações relacionadas à formação docente e suas relações com a adoção de práticas que rompem com o modelo tradicional” (Vasconcellos; Santiago, 2018, p. 37). Participam do grupo, além de professores da universidade e da escola básica, estudantes de diferentes lice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>nciaturas da mesma universidade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684F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longo de sua trajetória, o Grupo Formar vem se aproximando de uma compreensão sobre a colaboração enquanto um princípio basilar da profissão docente (Toledo; Vasconcellos, 2023), buscando consolidar suas ações a partir de uma perspectiva colaborativa que se faz presente nas pesquisas desenvolvidas, na formação de professores e na própria dinâmica interna do grupo. </w:t>
      </w:r>
    </w:p>
    <w:p w:rsidR="008A4390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Mais recentemente, no ano de 2023, o grupo se debruçou fortemente sobre a elaboração de um novo projeto de pesquisa. Como temas principais, vinham se apresentando a formação de professores em perspectiva colaborativa, com enfoque específico no início da carreira docente. Tema este que a líder do grupo se dedicou durante e após o seu doutoramento, cuja sugestão ao Formar foi feita em uma reunião realizada, ainda em 2022, quando este coletivo se dedicou mais intensamente a refletir e a propor novos horizontes de pesquisa. Por sua experiência anterior, por se mostrar como temática emergente no cenário educacional e acadêmico e por ser significativo para o contexto do grupo que reúne professores em formação inicial e continuada, após manifestações de entusiasmo e apoio, o coletivo decidiu que o novo projeto de pesquisa o enfocaria.</w:t>
      </w:r>
    </w:p>
    <w:p w:rsidR="008A4390" w:rsidRDefault="00E174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Assim, a pesquisa intitulada “Com a palavra, os professores iniciantes! Relações entre processos formativos e os saberes docentes originados sob a perspectiva colaborativa” nasceu com a proposta de investigar relações entre os processos de formação docente e o início da carreira, a partir de epistemologias colaborativas que contribuam com enfrentamento e/ou superação das dificuldades encontradas no período de entrada na profissão. Ao longo das fases previstas, a investigação envolve professores da Educação Básica, do Ensino Superior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vinculados ao Grupo Formar em estudos e ações pedagógicas que contribuam com o trabalho desenvolvido na fase de inserção profissional, tomando por referência os desafios e as reais possibilidades encontradas pelos envolvidos nas escolas nas quais atuam. </w:t>
      </w:r>
    </w:p>
    <w:p w:rsidR="008A4390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contexto desse estudo, entendemos que a participação em um grupo colaborativo pode ser um forte indicativo de amenização dos problemas enfrentados por professores e futuros professores, na medida em que proporciona aos participantes a chance de discutir e relatar seus anseios, compartilhar experiências e conhecimentos por meio de percursos que ajudam a ampliar o repertório profissional dos/as envolvidos, auxiliando-os na busca de respostas às dificuldades que são/serão enfrentadas. </w:t>
      </w:r>
    </w:p>
    <w:p w:rsidR="0036684F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Concordamos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(2009), quando faz uma defesa pelo magistério enquanto uma profissão que se exerce no coletivo, cujos saberes que o constituem são gerados ainda no período escolar do/a futuro/a professor/a. Para isso, é fundamental pensarmos a formação de professores referenciada no diálogo, na colegialidade e na partilha de saberes e fazeres enquanto compromissos éticos da profissão docente. Avançando no debate, o autor se refere ao compromisso social dos professores, mediante a compreensão da escola enquanto espaço público de educação. </w:t>
      </w:r>
    </w:p>
    <w:p w:rsidR="008A4390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Atentos a essa discussão que se articula aos desafios que se apresentam à profissão em um cenário de celeridade e mudanças, percebemos a necessidade de reflexão sobre os artefatos digitais e Educação, também uma imersão nos usos, ou seja, na experimentação. Entendemos as ambiências do ciberespaço como “[...] espaços que propiciam compartilhamento e escambo de informações, assim como, o trabalho colaborativo vem facilitar a descentralização de informações e conhecimentos” (Ferreira, 2016, p. 56)</w:t>
      </w:r>
      <w:r>
        <w:rPr>
          <w:rFonts w:ascii="Times New Roman" w:eastAsia="Times New Roman" w:hAnsi="Times New Roman" w:cs="Times New Roman"/>
        </w:rPr>
        <w:t>.</w:t>
      </w:r>
    </w:p>
    <w:p w:rsidR="008A4390" w:rsidRDefault="00E1742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metodologia deste “braço” da pesquisa já citada anteriormente, considera a imprevisibilidade, a complexidade e os desafios inerentes aos recursos digitais. Portanto, trata-se de uma abordagem metodológica aberta, apesar de traçarmos e organizarmos planos de trabalhos, agenda de execução etc. O engajamento dos integrantes do Grupo e o fluxo dos trabalhos desenvolvidos vão desenhando os caminhos e sinalizando novos trajetos.  </w:t>
      </w:r>
    </w:p>
    <w:p w:rsidR="008A4390" w:rsidRDefault="00E1742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nos propusemos, no contexto do Grupo Formar, repensar os modos de ser e fazer ensino, pesquisa e extensão, trazendo à tona o uso de redes sociais e outras ambiências como fomentadoras do tripé universitário. Exemplo, nossa página no Instagram cumpre o papel de divulgar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práticas e produções do Grupo. O site cumpre a função de divulgação e interatividade com uso de múltiplas linguagens.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cumpre a função de repositório e organização da agenda.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propaga conhecimento através de produções audiovisuais, atingindo os pares e também a população de modo geral. O grupo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promove a interação entre os componentes. Há um leque de possibilidades que pretendemos experimentar e problematizar. </w:t>
      </w:r>
    </w:p>
    <w:p w:rsidR="008A4390" w:rsidRDefault="008A43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90" w:rsidRDefault="00E174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Concluir ou atualizar?</w:t>
      </w:r>
    </w:p>
    <w:p w:rsidR="008A4390" w:rsidRDefault="00E174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práticas culturais na contemporaneidade estão imersas em artefatos digitais - estes não se resumem à tarefa de comunicar, mas constituem outros modos de ensinar e aprender, além da ampliação do acesso à informação. Logo, sinalizamos a necessidade de outras didáticas e práticas pedagógicas. No que implica o desenvolvimento de pesquisas, perpassa o uso para captação, análise e banco de dados. Como podemos contar, a experiência do Grupo Formar-UFF é inovadora pelo uso de artefatos digitais como proposta de enriquecer as relações e práticas do grupo. </w:t>
      </w:r>
    </w:p>
    <w:p w:rsidR="008A4390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Quando realizamos uma produção de texto em duplas ou trios, no geral composto por discentes e docentes, recorremos a recursos,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ferramenta projetada para que os integrantes de um projeto possam colaborar na construção/criação e compartilhamento de documentos e outros materiais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 w:rsidR="003668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="003668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uma forma rápida e dinâmica dos integrantes participarem com soluções e socialização de ideias e conhecimentos - sem hierarquização - onde cada qual vai contribuindo na construção do todo. </w:t>
      </w:r>
    </w:p>
    <w:p w:rsidR="008A4390" w:rsidRDefault="00E17423" w:rsidP="0036684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necessidade de continuar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)inventado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é um desejo humano. Enquanto grupo de pesquisa comprometido com as demandas de equidade e direito das diversas camadas sociais, especificamente com as classes 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>populares, estamos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constante produção de conhecimento. Não se trata do conhecimento verdadeiro, tão criticado por Nietzsche, tampouco para confirmar e engrossar o coro padronizado e seriado das confrarias acadêmicas, nem para reproduzir esquemas e forçar um pensamento copiado dos grandes teóricos, “mas para criar campos e promover encontros, para criar linhas de fuga, afetações e poder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cartografá-los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Cartografar a produção da vida, expressando o contexto histórico em que as coisas se dão” (Ferreira, 2016, p.188).</w:t>
      </w:r>
    </w:p>
    <w:p w:rsidR="008A4390" w:rsidRDefault="00E174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das experiências com as mídias digitais e o compromisso com uma Educação Inclusiva em todas as instâncias, temos como meta a construção de um livro sobre os memoriais construídos no seio do Grupo Formar, fruto da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 xml:space="preserve"> pesquisa em andamento. Almejamos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publicação do livro e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 xml:space="preserve">m formato impresso, porém com </w:t>
      </w:r>
      <w:r>
        <w:rPr>
          <w:rFonts w:ascii="Times New Roman" w:eastAsia="Times New Roman" w:hAnsi="Times New Roman" w:cs="Times New Roman"/>
          <w:sz w:val="24"/>
          <w:szCs w:val="24"/>
        </w:rPr>
        <w:t>recursos que oferecem ao l</w:t>
      </w:r>
      <w:r w:rsidR="0036684F">
        <w:rPr>
          <w:rFonts w:ascii="Times New Roman" w:eastAsia="Times New Roman" w:hAnsi="Times New Roman" w:cs="Times New Roman"/>
          <w:sz w:val="24"/>
          <w:szCs w:val="24"/>
        </w:rPr>
        <w:t xml:space="preserve">eitor possibilidade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interatividade. Também uma versão 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hiperlinks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tornando a experiência da leitura mais densa e ampliada. Ainda vislumbramos versões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audiobook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em Língua Brasileira de Sinais (Libras), expandindo e atendendo públicos específicos que muitas vezes ficam à margem, sem ter acesso às publicações científicas. </w:t>
      </w:r>
    </w:p>
    <w:p w:rsidR="008A4390" w:rsidRDefault="008A43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390" w:rsidRDefault="00E174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Paulo; SHOR, Ira.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Medo e Ousadia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cotidiano do professor. Rio de Janeiro: Paz e Terra, 1986. 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FERREIRA, H.P.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Máquinas de Produção de Subjetividade: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tecnologias de informação e comunicação no cotidiano escolar. Tese (Doutorado) – Universidade Federal Fluminense, Faculdade de Educação, 2016. Bibliografia: f. 199-208.</w:t>
      </w:r>
    </w:p>
    <w:p w:rsidR="008A4390" w:rsidRDefault="00E17423" w:rsidP="0036684F">
      <w:pPr>
        <w:spacing w:before="280" w:after="28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HIMANEN,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ética dos hackers e o espírito da era da informação.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Janeiro: Editora Campus, 2001. 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LÉVY, Pierre.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Cibercultura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Trad. Carlos Irineu da Costa. São Paulo: Editora 34, 1999.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NÓVOA, A. Para uma formação de professores construída dentro da profissão. 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Madrid: 2009. 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PRETTO, Nelson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Educações, Culturas e hackers: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escritos e reflexões. Salvador: EDUFBA, 2017.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TOLEDO, M.; VASCONCELLOS, M. Da solidão ao encontro: argumentos em torno da formação de professores em perspectiva colaborativa.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Revista Ibero-Americana de Estudos em Educação</w:t>
      </w:r>
      <w:r>
        <w:rPr>
          <w:rFonts w:ascii="Times New Roman" w:eastAsia="Times New Roman" w:hAnsi="Times New Roman" w:cs="Times New Roman"/>
          <w:sz w:val="24"/>
          <w:szCs w:val="24"/>
        </w:rPr>
        <w:t>, Araraquara, v. 18, 2023.</w:t>
      </w:r>
    </w:p>
    <w:p w:rsidR="008A4390" w:rsidRDefault="00E17423" w:rsidP="0036684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VASCONCELLOS, M. SANTIAGO, M. Grupo de Pesquisa “FORMAR”: inovação ou reinvenção de saberes?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Educação e Fronteiras On-Line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Dourados/MS, v.8, n.22, p.35-46,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abr. 2018.</w:t>
      </w:r>
    </w:p>
    <w:sectPr w:rsidR="008A439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AD" w:rsidRDefault="00E674AD">
      <w:pPr>
        <w:spacing w:line="240" w:lineRule="auto"/>
      </w:pPr>
      <w:r>
        <w:separator/>
      </w:r>
    </w:p>
  </w:endnote>
  <w:endnote w:type="continuationSeparator" w:id="0">
    <w:p w:rsidR="00E674AD" w:rsidRDefault="00E67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AD" w:rsidRDefault="00E674AD">
      <w:pPr>
        <w:spacing w:line="240" w:lineRule="auto"/>
      </w:pPr>
      <w:r>
        <w:separator/>
      </w:r>
    </w:p>
  </w:footnote>
  <w:footnote w:type="continuationSeparator" w:id="0">
    <w:p w:rsidR="00E674AD" w:rsidRDefault="00E674AD">
      <w:pPr>
        <w:spacing w:line="240" w:lineRule="auto"/>
      </w:pPr>
      <w:r>
        <w:continuationSeparator/>
      </w:r>
    </w:p>
  </w:footnote>
  <w:footnote w:id="1">
    <w:p w:rsidR="008A4390" w:rsidRDefault="00E1742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Grupo de Pesquisa em Didática, Formação de Professores e Práticas Pedagógicas, vinculado à FEUFF.</w:t>
      </w:r>
    </w:p>
  </w:footnote>
  <w:footnote w:id="2">
    <w:p w:rsidR="008A4390" w:rsidRDefault="00E1742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Pierre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Lévy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(1999), define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cibercultura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como conjunto de técnicas (materiais e intelectuais), de práticas, de atitudes, de modos de pensamentos e de valores (p.17). Assumi</w:t>
      </w:r>
      <w:r w:rsidR="0036684F">
        <w:rPr>
          <w:rFonts w:ascii="Times New Roman" w:eastAsia="Times New Roman" w:hAnsi="Times New Roman" w:cs="Times New Roman"/>
          <w:sz w:val="20"/>
          <w:szCs w:val="20"/>
        </w:rPr>
        <w:t xml:space="preserve">mos a definição do conceito de </w:t>
      </w:r>
      <w:proofErr w:type="spellStart"/>
      <w:r w:rsidR="0036684F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ibercultura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Lèvy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por comunga</w:t>
      </w:r>
      <w:r w:rsidR="0036684F">
        <w:rPr>
          <w:rFonts w:ascii="Times New Roman" w:eastAsia="Times New Roman" w:hAnsi="Times New Roman" w:cs="Times New Roman"/>
          <w:sz w:val="20"/>
          <w:szCs w:val="20"/>
        </w:rPr>
        <w:t xml:space="preserve">rmos com a </w:t>
      </w:r>
      <w:proofErr w:type="gramStart"/>
      <w:r w:rsidR="0036684F">
        <w:rPr>
          <w:rFonts w:ascii="Times New Roman" w:eastAsia="Times New Roman" w:hAnsi="Times New Roman" w:cs="Times New Roman"/>
          <w:sz w:val="20"/>
          <w:szCs w:val="20"/>
        </w:rPr>
        <w:t xml:space="preserve">ideia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sociocultural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que brota dos agenciamentos sociais com as novas tecnologias de base microeletrônica e telemática.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90" w:rsidRDefault="00E17423">
    <w:pPr>
      <w:tabs>
        <w:tab w:val="center" w:pos="4252"/>
        <w:tab w:val="right" w:pos="8504"/>
        <w:tab w:val="left" w:pos="1872"/>
      </w:tabs>
      <w:spacing w:line="240" w:lineRule="auto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90"/>
    <w:rsid w:val="0036684F"/>
    <w:rsid w:val="008A4390"/>
    <w:rsid w:val="00A2770F"/>
    <w:rsid w:val="00A41E0D"/>
    <w:rsid w:val="00E17423"/>
    <w:rsid w:val="00E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3233"/>
  <w15:docId w15:val="{9C986F8E-648C-4F84-90BC-16564E7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6BE3-82A6-4C67-B6EF-CEFFF6C5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1995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3</cp:revision>
  <dcterms:created xsi:type="dcterms:W3CDTF">2024-05-22T23:24:00Z</dcterms:created>
  <dcterms:modified xsi:type="dcterms:W3CDTF">2024-05-22T23:42:00Z</dcterms:modified>
</cp:coreProperties>
</file>