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3BF1" w14:textId="5FFF3CED" w:rsidR="00956E78" w:rsidRDefault="00956E78" w:rsidP="00B718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ECO DA MARGEM DE APRECIAÇÃO NO SISTEMA INTERAMERICANO DE DIREITOS HUMANOS</w:t>
      </w:r>
    </w:p>
    <w:p w14:paraId="5DD13E77" w14:textId="77777777" w:rsidR="00B7186B" w:rsidRDefault="00B7186B" w:rsidP="00B718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8F8D9" w14:textId="43F8BFDC" w:rsidR="00956E78" w:rsidRDefault="00B7186B" w:rsidP="00B7186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2D58D2">
        <w:rPr>
          <w:rFonts w:ascii="Times New Roman" w:hAnsi="Times New Roman" w:cs="Times New Roman"/>
          <w:bCs/>
          <w:sz w:val="24"/>
          <w:szCs w:val="24"/>
        </w:rPr>
        <w:t>Margem de apreciação. Tribunal Europeu de Direitos Humanos. Corte Interamericana de Direitos Humanos.</w:t>
      </w:r>
    </w:p>
    <w:p w14:paraId="38E53210" w14:textId="77777777" w:rsidR="00B7186B" w:rsidRPr="00B7186B" w:rsidRDefault="00B7186B" w:rsidP="00B7186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C55A60" w14:textId="7743BBBD" w:rsidR="00956E78" w:rsidRDefault="009F1AE4" w:rsidP="00B7186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AE4">
        <w:rPr>
          <w:rFonts w:ascii="Times New Roman" w:hAnsi="Times New Roman" w:cs="Times New Roman"/>
          <w:b/>
          <w:bCs/>
          <w:sz w:val="24"/>
          <w:szCs w:val="24"/>
        </w:rPr>
        <w:t>Bianca Cartágenes Saraiva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2DBDCE8A" w14:textId="77777777" w:rsidR="00956E78" w:rsidRDefault="00956E78" w:rsidP="00B718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D6BDB" w14:textId="5A2CFAE5" w:rsidR="00956E78" w:rsidRPr="00654DB1" w:rsidRDefault="00956E7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762191"/>
      <w:r w:rsidRPr="00654DB1">
        <w:rPr>
          <w:rFonts w:ascii="Times New Roman" w:hAnsi="Times New Roman" w:cs="Times New Roman"/>
          <w:sz w:val="24"/>
          <w:szCs w:val="24"/>
        </w:rPr>
        <w:t>As experiências de um sistema podem contribuir e muito para o desenvolvimento de outro</w:t>
      </w:r>
      <w:r w:rsidR="00156E3E">
        <w:rPr>
          <w:rFonts w:ascii="Times New Roman" w:hAnsi="Times New Roman" w:cs="Times New Roman"/>
          <w:sz w:val="24"/>
          <w:szCs w:val="24"/>
        </w:rPr>
        <w:t xml:space="preserve">. </w:t>
      </w:r>
      <w:r w:rsidRPr="00654DB1">
        <w:rPr>
          <w:rFonts w:ascii="Times New Roman" w:hAnsi="Times New Roman" w:cs="Times New Roman"/>
          <w:sz w:val="24"/>
          <w:szCs w:val="24"/>
        </w:rPr>
        <w:t>Isso pode ser observado no estreitamento da relação do TEDH com os outros Tribunais, o que ganhou mais força com a Declaração de San José, assinada em 2018, pelos presidentes dos três Tribunais regionais. Em seguida, os Tribunais se reuniram novamente na Declaração de Kampala, tendo resoluç</w:t>
      </w:r>
      <w:r w:rsidR="00666CC0">
        <w:rPr>
          <w:rFonts w:ascii="Times New Roman" w:hAnsi="Times New Roman" w:cs="Times New Roman"/>
          <w:sz w:val="24"/>
          <w:szCs w:val="24"/>
        </w:rPr>
        <w:t xml:space="preserve">ões, dentre as quais destaca-se </w:t>
      </w:r>
      <w:r w:rsidRPr="00654DB1">
        <w:rPr>
          <w:rFonts w:ascii="Times New Roman" w:hAnsi="Times New Roman" w:cs="Times New Roman"/>
          <w:sz w:val="24"/>
          <w:szCs w:val="24"/>
        </w:rPr>
        <w:t>aprimorar o diálogo e compartilhar jurisprudência com os tribunais nacionais, como um dos mecanismos para garantir a referência pelos tribunais nacionais aos tribunais regionais julgamentos e contribuindo para a execução desses julgamentos a longo prazo.</w:t>
      </w:r>
    </w:p>
    <w:p w14:paraId="597F86CD" w14:textId="2C3FEDFD" w:rsidR="00956E78" w:rsidRPr="00654DB1" w:rsidRDefault="00156E3E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2020, foi divulgado o Relatório conjunto de jurisprudência. É um primeiro esforço apresentar em um único volume uma seleção das principais decisões proferidas por cada Tribunal em 2019. A partir de </w:t>
      </w:r>
      <w:r w:rsidR="0004042F">
        <w:rPr>
          <w:rFonts w:ascii="Times New Roman" w:hAnsi="Times New Roman" w:cs="Times New Roman"/>
          <w:sz w:val="24"/>
          <w:szCs w:val="24"/>
        </w:rPr>
        <w:t>então</w:t>
      </w:r>
      <w:r w:rsidR="00956E78" w:rsidRPr="00654DB1">
        <w:rPr>
          <w:rFonts w:ascii="Times New Roman" w:hAnsi="Times New Roman" w:cs="Times New Roman"/>
          <w:sz w:val="24"/>
          <w:szCs w:val="24"/>
        </w:rPr>
        <w:t>, os três Tribunais Regionais de Direitos Humanos</w:t>
      </w:r>
      <w:r w:rsidR="007F11A2">
        <w:rPr>
          <w:rFonts w:ascii="Times New Roman" w:hAnsi="Times New Roman" w:cs="Times New Roman"/>
          <w:sz w:val="24"/>
          <w:szCs w:val="24"/>
        </w:rPr>
        <w:t xml:space="preserve"> se preparam para elaborar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 um relatório </w:t>
      </w:r>
      <w:r>
        <w:rPr>
          <w:rFonts w:ascii="Times New Roman" w:hAnsi="Times New Roman" w:cs="Times New Roman"/>
          <w:sz w:val="24"/>
          <w:szCs w:val="24"/>
        </w:rPr>
        <w:t>anual</w:t>
      </w:r>
      <w:r w:rsidR="00956E78" w:rsidRPr="00654DB1">
        <w:rPr>
          <w:rFonts w:ascii="Times New Roman" w:hAnsi="Times New Roman" w:cs="Times New Roman"/>
          <w:sz w:val="24"/>
          <w:szCs w:val="24"/>
        </w:rPr>
        <w:t>, a fim de que seja uma ferramenta útil para os profissionais jurídicos de Direitos Humanos n</w:t>
      </w:r>
      <w:r w:rsidR="00C92037">
        <w:rPr>
          <w:rFonts w:ascii="Times New Roman" w:hAnsi="Times New Roman" w:cs="Times New Roman"/>
          <w:sz w:val="24"/>
          <w:szCs w:val="24"/>
        </w:rPr>
        <w:t>as diferentes regiões.</w:t>
      </w:r>
    </w:p>
    <w:p w14:paraId="0C6342F0" w14:textId="2B99DAE1" w:rsidR="00956E78" w:rsidRPr="00654DB1" w:rsidRDefault="00956E7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>Notadamente, o Sistema Interamericano de Direitos Humanos (SIDH) demonstra com mais força esse diálogo na medida em que a Corte IDH e a CIDH utilizam com frequência a jurisprudência do TEDH em suas decisões e recomendações, o que é chamado de fertilização cruzada. Ciente de que a atuação do TEDH é mais antiga e que o volume de casos decididos é maior, a Corte IDH faz uso frequente das decisões europeias a fim de robustecer a sua argumentação, diante da similaridade entre os casos e as circunstâncias apresentadas em ambos os Tribunais (VOETEN, 2021, p. 01).</w:t>
      </w:r>
    </w:p>
    <w:p w14:paraId="4050AF84" w14:textId="3AD874C1" w:rsidR="00EA01E8" w:rsidRPr="00654DB1" w:rsidRDefault="007F11A2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desse contexto de diálogo</w:t>
      </w:r>
      <w:r w:rsidR="00956E78" w:rsidRPr="00654DB1">
        <w:rPr>
          <w:rFonts w:ascii="Times New Roman" w:hAnsi="Times New Roman" w:cs="Times New Roman"/>
          <w:sz w:val="24"/>
          <w:szCs w:val="24"/>
        </w:rPr>
        <w:t>, a margem de apreciação</w:t>
      </w:r>
      <w:r w:rsidR="00423986">
        <w:rPr>
          <w:rFonts w:ascii="Times New Roman" w:hAnsi="Times New Roman" w:cs="Times New Roman"/>
          <w:sz w:val="24"/>
          <w:szCs w:val="24"/>
        </w:rPr>
        <w:t xml:space="preserve">, originalmente concebida </w:t>
      </w:r>
      <w:r>
        <w:rPr>
          <w:rFonts w:ascii="Times New Roman" w:hAnsi="Times New Roman" w:cs="Times New Roman"/>
          <w:sz w:val="24"/>
          <w:szCs w:val="24"/>
        </w:rPr>
        <w:t>na Europa</w:t>
      </w:r>
      <w:r w:rsidR="00EA01E8">
        <w:rPr>
          <w:rFonts w:ascii="Times New Roman" w:hAnsi="Times New Roman" w:cs="Times New Roman"/>
          <w:sz w:val="24"/>
          <w:szCs w:val="24"/>
        </w:rPr>
        <w:t xml:space="preserve">, acaba ecoando no SIDH. </w:t>
      </w:r>
      <w:r w:rsidR="00EA01E8" w:rsidRPr="00654DB1">
        <w:rPr>
          <w:rFonts w:ascii="Times New Roman" w:hAnsi="Times New Roman" w:cs="Times New Roman"/>
          <w:sz w:val="24"/>
          <w:szCs w:val="24"/>
        </w:rPr>
        <w:t xml:space="preserve">A doutrina pode ser </w:t>
      </w:r>
      <w:proofErr w:type="gramStart"/>
      <w:r w:rsidR="00EA01E8" w:rsidRPr="00654DB1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="00EA01E8" w:rsidRPr="00654DB1">
        <w:rPr>
          <w:rFonts w:ascii="Times New Roman" w:hAnsi="Times New Roman" w:cs="Times New Roman"/>
          <w:sz w:val="24"/>
          <w:szCs w:val="24"/>
        </w:rPr>
        <w:t xml:space="preserve"> conceituada como a latitude que um Estado goza para avaliar as situações factuais e aplicar as disposições previstas nos </w:t>
      </w:r>
      <w:r w:rsidR="00EA01E8" w:rsidRPr="00654DB1">
        <w:rPr>
          <w:rFonts w:ascii="Times New Roman" w:hAnsi="Times New Roman" w:cs="Times New Roman"/>
          <w:sz w:val="24"/>
          <w:szCs w:val="24"/>
        </w:rPr>
        <w:lastRenderedPageBreak/>
        <w:t xml:space="preserve">tratados de Direitos Humanos. A latitude, nesse caso, expressa a utilização da margem em graus, que pode ser mais ou menos ampla, a depender da questão abordada e dos fatores levados em consideração (ARAI-TAKAHASHI, 2002, p. 02). </w:t>
      </w:r>
    </w:p>
    <w:p w14:paraId="726A29C6" w14:textId="5913CA3F" w:rsidR="00EA01E8" w:rsidRPr="00654DB1" w:rsidRDefault="00EA01E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Com o início das atividades do </w:t>
      </w:r>
      <w:r w:rsidR="007F11A2">
        <w:rPr>
          <w:rFonts w:ascii="Times New Roman" w:hAnsi="Times New Roman" w:cs="Times New Roman"/>
          <w:sz w:val="24"/>
          <w:szCs w:val="24"/>
        </w:rPr>
        <w:t>TEDH</w:t>
      </w:r>
      <w:r w:rsidRPr="00654DB1">
        <w:rPr>
          <w:rFonts w:ascii="Times New Roman" w:hAnsi="Times New Roman" w:cs="Times New Roman"/>
          <w:sz w:val="24"/>
          <w:szCs w:val="24"/>
        </w:rPr>
        <w:t xml:space="preserve">, surgiu o dilema de manter-se fiel às responsabilidades internacionais, atendendo ao caráter universal dos Direitos Humanos, sem deixar de reconhecer a diversidade de situações políticas, econômicas e sociais de cada Estado-membro do Conselho da Europa (CE), em respeito à soberania. Estava-se, portanto, diante do dilema universalismo </w:t>
      </w:r>
      <w:r w:rsidRPr="00801683">
        <w:rPr>
          <w:rFonts w:ascii="Times New Roman" w:hAnsi="Times New Roman" w:cs="Times New Roman"/>
          <w:i/>
          <w:sz w:val="24"/>
          <w:szCs w:val="24"/>
        </w:rPr>
        <w:t>versus</w:t>
      </w:r>
      <w:r w:rsidRPr="00654DB1">
        <w:rPr>
          <w:rFonts w:ascii="Times New Roman" w:hAnsi="Times New Roman" w:cs="Times New Roman"/>
          <w:sz w:val="24"/>
          <w:szCs w:val="24"/>
        </w:rPr>
        <w:t xml:space="preserve"> relativismo.</w:t>
      </w:r>
    </w:p>
    <w:p w14:paraId="6DD1946D" w14:textId="77777777" w:rsidR="00EA01E8" w:rsidRPr="00654DB1" w:rsidRDefault="00EA01E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>A margem de apreciação surgiu como um meio termo, em uma tentativa de manter os Estados-membros unidos em um sistema, sem esquecer das suas peculiaridades. A consequência disso é a observância de diferentes níveis de proteção aos Direitos Humanos (</w:t>
      </w:r>
      <w:r w:rsidRPr="00801683">
        <w:rPr>
          <w:rFonts w:ascii="Times New Roman" w:hAnsi="Times New Roman" w:cs="Times New Roman"/>
          <w:i/>
          <w:iCs/>
          <w:sz w:val="24"/>
          <w:szCs w:val="24"/>
        </w:rPr>
        <w:t>standards</w:t>
      </w:r>
      <w:r w:rsidRPr="00654DB1">
        <w:rPr>
          <w:rFonts w:ascii="Times New Roman" w:hAnsi="Times New Roman" w:cs="Times New Roman"/>
          <w:sz w:val="24"/>
          <w:szCs w:val="24"/>
        </w:rPr>
        <w:t xml:space="preserve">) dentro de um mesmo sistema, a depender da abordagem feita por cada Estado. </w:t>
      </w:r>
    </w:p>
    <w:p w14:paraId="4784B929" w14:textId="661598CB" w:rsidR="0004042F" w:rsidRDefault="00EA01E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este </w:t>
      </w:r>
      <w:r w:rsidR="0004042F">
        <w:rPr>
          <w:rFonts w:ascii="Times New Roman" w:hAnsi="Times New Roman" w:cs="Times New Roman"/>
          <w:sz w:val="24"/>
          <w:szCs w:val="24"/>
        </w:rPr>
        <w:t xml:space="preserve">trabalho 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tem como objetivo </w:t>
      </w:r>
      <w:r w:rsidR="0004042F">
        <w:rPr>
          <w:rFonts w:ascii="Times New Roman" w:hAnsi="Times New Roman" w:cs="Times New Roman"/>
          <w:sz w:val="24"/>
          <w:szCs w:val="24"/>
        </w:rPr>
        <w:t xml:space="preserve">responder à seguinte pergunta-problema: de que forma </w:t>
      </w:r>
      <w:r w:rsidR="00956E78" w:rsidRPr="00654DB1">
        <w:rPr>
          <w:rFonts w:ascii="Times New Roman" w:hAnsi="Times New Roman" w:cs="Times New Roman"/>
          <w:sz w:val="24"/>
          <w:szCs w:val="24"/>
        </w:rPr>
        <w:t>a doutrina vem sendo aplicada no SIDH</w:t>
      </w:r>
      <w:r w:rsidR="0004042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3FE6D38" w14:textId="5595D80C" w:rsidR="0004042F" w:rsidRPr="00654DB1" w:rsidRDefault="0004042F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tanto, como utilizou-se </w:t>
      </w:r>
      <w:r w:rsidR="00423986">
        <w:rPr>
          <w:rFonts w:ascii="Times New Roman" w:hAnsi="Times New Roman" w:cs="Times New Roman"/>
          <w:sz w:val="24"/>
          <w:szCs w:val="24"/>
        </w:rPr>
        <w:t>as fontes bibliográficas de referência de ambos os sistemas e, sobretudo, a fonte jurisprudencial</w:t>
      </w:r>
      <w:r w:rsidR="007F11A2">
        <w:rPr>
          <w:rFonts w:ascii="Times New Roman" w:hAnsi="Times New Roman" w:cs="Times New Roman"/>
          <w:sz w:val="24"/>
          <w:szCs w:val="24"/>
        </w:rPr>
        <w:t xml:space="preserve"> </w:t>
      </w:r>
      <w:r w:rsidR="00423986">
        <w:rPr>
          <w:rFonts w:ascii="Times New Roman" w:hAnsi="Times New Roman" w:cs="Times New Roman"/>
          <w:sz w:val="24"/>
          <w:szCs w:val="24"/>
        </w:rPr>
        <w:t>obtida a partir da base de dados fornecida pelas respectivas plataformas</w:t>
      </w:r>
      <w:r w:rsidR="007F11A2">
        <w:rPr>
          <w:rFonts w:ascii="Times New Roman" w:hAnsi="Times New Roman" w:cs="Times New Roman"/>
          <w:sz w:val="24"/>
          <w:szCs w:val="24"/>
        </w:rPr>
        <w:t xml:space="preserve">: o </w:t>
      </w:r>
      <w:r w:rsidR="00423986" w:rsidRPr="00423986">
        <w:rPr>
          <w:rFonts w:ascii="Times New Roman" w:hAnsi="Times New Roman" w:cs="Times New Roman"/>
          <w:i/>
          <w:sz w:val="24"/>
          <w:szCs w:val="24"/>
        </w:rPr>
        <w:t xml:space="preserve">buscador </w:t>
      </w:r>
      <w:proofErr w:type="spellStart"/>
      <w:r w:rsidR="00423986" w:rsidRPr="00423986">
        <w:rPr>
          <w:rFonts w:ascii="Times New Roman" w:hAnsi="Times New Roman" w:cs="Times New Roman"/>
          <w:i/>
          <w:sz w:val="24"/>
          <w:szCs w:val="24"/>
        </w:rPr>
        <w:t>avanzado</w:t>
      </w:r>
      <w:proofErr w:type="spellEnd"/>
      <w:r w:rsidR="00423986" w:rsidRPr="004239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986" w:rsidRPr="00423986">
        <w:rPr>
          <w:rFonts w:ascii="Times New Roman" w:hAnsi="Times New Roman" w:cs="Times New Roman"/>
          <w:i/>
          <w:sz w:val="24"/>
          <w:szCs w:val="24"/>
        </w:rPr>
        <w:t>bjdh</w:t>
      </w:r>
      <w:proofErr w:type="spellEnd"/>
      <w:r w:rsidR="00423986" w:rsidRPr="00423986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7F11A2" w:rsidRPr="008B2D15">
          <w:rPr>
            <w:rStyle w:val="Hyperlink"/>
            <w:rFonts w:ascii="Times New Roman" w:hAnsi="Times New Roman" w:cs="Times New Roman"/>
            <w:sz w:val="24"/>
            <w:szCs w:val="24"/>
          </w:rPr>
          <w:t>https://corteidh.scjn.gob.mx/buscador/</w:t>
        </w:r>
      </w:hyperlink>
      <w:r w:rsidR="00423986" w:rsidRPr="00423986">
        <w:rPr>
          <w:rFonts w:ascii="Times New Roman" w:hAnsi="Times New Roman" w:cs="Times New Roman"/>
          <w:sz w:val="24"/>
          <w:szCs w:val="24"/>
        </w:rPr>
        <w:t>)</w:t>
      </w:r>
      <w:r w:rsidR="007F11A2">
        <w:rPr>
          <w:rFonts w:ascii="Times New Roman" w:hAnsi="Times New Roman" w:cs="Times New Roman"/>
          <w:sz w:val="24"/>
          <w:szCs w:val="24"/>
        </w:rPr>
        <w:t xml:space="preserve"> e o </w:t>
      </w:r>
      <w:r w:rsidR="00423986" w:rsidRPr="00654DB1">
        <w:rPr>
          <w:rFonts w:ascii="Times New Roman" w:hAnsi="Times New Roman" w:cs="Times New Roman"/>
          <w:sz w:val="24"/>
          <w:szCs w:val="24"/>
        </w:rPr>
        <w:t>HUDOC (</w:t>
      </w:r>
      <w:hyperlink r:id="rId8" w:anchor="%20" w:history="1">
        <w:r w:rsidR="00423986" w:rsidRPr="00654DB1">
          <w:rPr>
            <w:rStyle w:val="Hyperlink"/>
            <w:rFonts w:ascii="Times New Roman" w:hAnsi="Times New Roman" w:cs="Times New Roman"/>
            <w:sz w:val="24"/>
            <w:szCs w:val="24"/>
          </w:rPr>
          <w:t>https://hudoc.echr.coe.int/eng#%20</w:t>
        </w:r>
      </w:hyperlink>
      <w:r w:rsidR="00423986" w:rsidRPr="00654DB1">
        <w:rPr>
          <w:rFonts w:ascii="Times New Roman" w:hAnsi="Times New Roman" w:cs="Times New Roman"/>
          <w:sz w:val="24"/>
          <w:szCs w:val="24"/>
        </w:rPr>
        <w:t xml:space="preserve">). </w:t>
      </w:r>
      <w:r w:rsidR="007F11A2">
        <w:rPr>
          <w:rFonts w:ascii="Times New Roman" w:hAnsi="Times New Roman" w:cs="Times New Roman"/>
          <w:sz w:val="24"/>
          <w:szCs w:val="24"/>
        </w:rPr>
        <w:t>N</w:t>
      </w:r>
      <w:r w:rsidRPr="00654DB1">
        <w:rPr>
          <w:rFonts w:ascii="Times New Roman" w:hAnsi="Times New Roman" w:cs="Times New Roman"/>
          <w:sz w:val="24"/>
          <w:szCs w:val="24"/>
        </w:rPr>
        <w:t xml:space="preserve">ão há uma pretensão de apresentar a totalidade de momentos nos quais a margem de apreciação foi </w:t>
      </w:r>
      <w:r w:rsidR="00423986">
        <w:rPr>
          <w:rFonts w:ascii="Times New Roman" w:hAnsi="Times New Roman" w:cs="Times New Roman"/>
          <w:sz w:val="24"/>
          <w:szCs w:val="24"/>
        </w:rPr>
        <w:t>mencionada ou referida no âmbito da Corte IDH</w:t>
      </w:r>
      <w:r w:rsidR="007F11A2">
        <w:rPr>
          <w:rFonts w:ascii="Times New Roman" w:hAnsi="Times New Roman" w:cs="Times New Roman"/>
          <w:sz w:val="24"/>
          <w:szCs w:val="24"/>
        </w:rPr>
        <w:t>, pelas limitações da presente modalidade</w:t>
      </w:r>
      <w:r w:rsidRPr="00654D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2C9B97" w14:textId="708E1F65" w:rsidR="000832FA" w:rsidRDefault="00423986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a hipótese do trabalho é que a margem de apreciação </w:t>
      </w:r>
      <w:r w:rsidR="000832FA">
        <w:rPr>
          <w:rFonts w:ascii="Times New Roman" w:hAnsi="Times New Roman" w:cs="Times New Roman"/>
          <w:sz w:val="24"/>
          <w:szCs w:val="24"/>
        </w:rPr>
        <w:t>é</w:t>
      </w:r>
      <w:r w:rsidR="00EA01E8">
        <w:rPr>
          <w:rFonts w:ascii="Times New Roman" w:hAnsi="Times New Roman" w:cs="Times New Roman"/>
          <w:sz w:val="24"/>
          <w:szCs w:val="24"/>
        </w:rPr>
        <w:t xml:space="preserve"> aplicada de forma tímida e cautelosa no SIDH, sobretudo pela Corte IDH que possui um histórico de atuação, inclusive </w:t>
      </w:r>
      <w:r w:rsidR="000832FA">
        <w:rPr>
          <w:rFonts w:ascii="Times New Roman" w:hAnsi="Times New Roman" w:cs="Times New Roman"/>
          <w:sz w:val="24"/>
          <w:szCs w:val="24"/>
        </w:rPr>
        <w:t xml:space="preserve">exercendo uma posição política no contexto latino-americano, marcado </w:t>
      </w:r>
      <w:r w:rsidR="000832FA" w:rsidRPr="00654DB1">
        <w:rPr>
          <w:rFonts w:ascii="Times New Roman" w:hAnsi="Times New Roman" w:cs="Times New Roman"/>
          <w:sz w:val="24"/>
          <w:szCs w:val="24"/>
        </w:rPr>
        <w:t xml:space="preserve">pelo alto grau de desigualdade socioeconômica, violência e marginalização de grupos vulneráveis como crianças, mulheres, negros e, especialmente, comunidades indígenas que formam a identidade de muitas culturas da região (PIOVESAN, 2020, p. 48-49). </w:t>
      </w:r>
    </w:p>
    <w:p w14:paraId="183A39F7" w14:textId="53C6839A" w:rsidR="00956E78" w:rsidRPr="002D58D2" w:rsidRDefault="000832FA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2FA">
        <w:rPr>
          <w:rFonts w:ascii="Times New Roman" w:hAnsi="Times New Roman" w:cs="Times New Roman"/>
          <w:bCs/>
          <w:sz w:val="24"/>
          <w:szCs w:val="24"/>
        </w:rPr>
        <w:t xml:space="preserve">Quantos </w:t>
      </w:r>
      <w:r w:rsidR="0004042F" w:rsidRPr="000832FA">
        <w:rPr>
          <w:rFonts w:ascii="Times New Roman" w:hAnsi="Times New Roman" w:cs="Times New Roman"/>
          <w:bCs/>
          <w:sz w:val="24"/>
          <w:szCs w:val="24"/>
        </w:rPr>
        <w:t>resultados alcançados</w:t>
      </w:r>
      <w:r w:rsidR="002D58D2">
        <w:rPr>
          <w:rFonts w:ascii="Times New Roman" w:hAnsi="Times New Roman" w:cs="Times New Roman"/>
          <w:bCs/>
          <w:sz w:val="24"/>
          <w:szCs w:val="24"/>
        </w:rPr>
        <w:t xml:space="preserve">, observou-se a aplicação, de fato, da doutrina na Opinião Consultiva n.º </w:t>
      </w:r>
      <w:bookmarkEnd w:id="0"/>
      <w:r w:rsidR="00956E78" w:rsidRPr="002D58D2">
        <w:rPr>
          <w:rFonts w:ascii="Times New Roman" w:hAnsi="Times New Roman" w:cs="Times New Roman"/>
          <w:sz w:val="24"/>
          <w:szCs w:val="24"/>
        </w:rPr>
        <w:t>04/84</w:t>
      </w:r>
      <w:r w:rsidR="0006246C">
        <w:rPr>
          <w:rFonts w:ascii="Times New Roman" w:hAnsi="Times New Roman" w:cs="Times New Roman"/>
          <w:sz w:val="24"/>
          <w:szCs w:val="24"/>
        </w:rPr>
        <w:t>,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 sobre o direito de nacionalidade, igualdade perante a lei e proteção da família, artigos 20.º, 24.º e 17.º, respectivamente.  </w:t>
      </w:r>
    </w:p>
    <w:p w14:paraId="72BC41BC" w14:textId="629D3ACA" w:rsidR="00956E78" w:rsidRPr="00654DB1" w:rsidRDefault="00956E7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Especialmente no que tange à nacionalidade, a Corte IDH asseverou que é tradicionalmente aceito que a determinação e a regulamentação da nacionalidade são de competência de cada Estado, apontando para um possível consenso entre os Estados sobre o tema. Ainda assim, destacou que a matéria evoluiu, demonstrando que o Direito Internacional impõe certos limites à discrição dos Estados e que, atualmente, a regulamentação da </w:t>
      </w:r>
      <w:r w:rsidRPr="00654DB1">
        <w:rPr>
          <w:rFonts w:ascii="Times New Roman" w:hAnsi="Times New Roman" w:cs="Times New Roman"/>
          <w:sz w:val="24"/>
          <w:szCs w:val="24"/>
        </w:rPr>
        <w:lastRenderedPageBreak/>
        <w:t>nacionalidade não envolve apenas os poderes dos Estados, mas também a demanda de proteção integral dos Direitos Humanos.</w:t>
      </w:r>
    </w:p>
    <w:p w14:paraId="3664E686" w14:textId="6D0B3BC5" w:rsidR="00956E78" w:rsidRPr="00654DB1" w:rsidRDefault="00956E7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  <w:lang w:val="pt-PT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A Corte IDH tratou do duplo aspecto da nacionalidade, sendo o primeiro 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 xml:space="preserve">a dotação do indivíduo de um </w:t>
      </w:r>
      <w:r w:rsidRPr="00801683">
        <w:rPr>
          <w:rFonts w:ascii="Times New Roman" w:hAnsi="Times New Roman" w:cs="Times New Roman"/>
          <w:i/>
          <w:sz w:val="24"/>
          <w:szCs w:val="24"/>
          <w:lang w:val="pt-PT"/>
        </w:rPr>
        <w:t>standard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 xml:space="preserve"> mínimo nas relações internacionais, estabelecida pela nacionalidade como sua ligação com um determinado Estado, e que compete ao Estado estabelecer a possibilidade de adquirir a nacionalidade e que, portanto, as condições e procedimentos para a aquisição dependem predominantemente do Direito Interno, desde que observados os princípios superiores. </w:t>
      </w:r>
    </w:p>
    <w:p w14:paraId="23B18BAD" w14:textId="65693131" w:rsidR="00956E78" w:rsidRPr="00654DB1" w:rsidRDefault="002D58D2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956E78" w:rsidRPr="00654DB1">
        <w:rPr>
          <w:rFonts w:ascii="Times New Roman" w:hAnsi="Times New Roman" w:cs="Times New Roman"/>
          <w:sz w:val="24"/>
          <w:szCs w:val="24"/>
          <w:lang w:val="pt-PT"/>
        </w:rPr>
        <w:t xml:space="preserve">Corte reconhece a competência do Estado, que se assemelha e muito à discricionariedade administrativa no tocante ao juízo de oportunidade e conveniência, nesse caso, atribuído às autoridades nacionais, que podem, de acordo com as especificidades de seus países, decidir como julgarem melhor sobre a nacionalidade. </w:t>
      </w:r>
    </w:p>
    <w:p w14:paraId="6D482B16" w14:textId="24251D3D" w:rsidR="00956E78" w:rsidRPr="00654DB1" w:rsidRDefault="00956E7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A Corte IDH também destacou que era necessário conjugar harmoniosamente 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 xml:space="preserve">a determinação e regulamentação da nacionalidade de responsabilidade de cada Estado com a limitação estabelecida pelo Direito Internacional. </w:t>
      </w:r>
      <w:r w:rsidR="0006246C">
        <w:rPr>
          <w:rFonts w:ascii="Times New Roman" w:hAnsi="Times New Roman" w:cs="Times New Roman"/>
          <w:sz w:val="24"/>
          <w:szCs w:val="24"/>
          <w:lang w:val="pt-PT"/>
        </w:rPr>
        <w:t>Isto é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>, a Corte enfatizou o equilíbrio entre o Direito Interno e o Direito Internacional, o que no TEDH geralmente é feito com base na margem de apreciação dos Estados</w:t>
      </w:r>
      <w:r w:rsidR="0006246C">
        <w:rPr>
          <w:rFonts w:ascii="Times New Roman" w:hAnsi="Times New Roman" w:cs="Times New Roman"/>
          <w:sz w:val="24"/>
          <w:szCs w:val="24"/>
          <w:lang w:val="pt-PT"/>
        </w:rPr>
        <w:t xml:space="preserve"> e a Corte IDH se referiu expressamente à doutrina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4A9D086" w14:textId="3EDF607D" w:rsidR="00956E78" w:rsidRPr="00654DB1" w:rsidRDefault="00956E78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Quanto à discriminação, a Corte considerou que, 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>partindo da unidade essencial da dignidade do ser humano, é possível apreciar as circunstâncias em que os imperativos do bem comum podem justificar um maior ou menor grau de distinções. A Corte IDH afirmou expressamente que são valores que adquirem dimensões concretas à luz da realidade e que deixam certa margem de apreciação para a expressão que devem assumir em cada caso. Assim, ressaltou o poder soberano da Costa Rica para atuar conforme seu discernimento sobre a aquisição da nacionalidade.</w:t>
      </w:r>
    </w:p>
    <w:p w14:paraId="3D2F8BCB" w14:textId="099FF014" w:rsidR="00956E78" w:rsidRPr="00654DB1" w:rsidRDefault="0006246C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2D58D2">
        <w:rPr>
          <w:rFonts w:ascii="Times New Roman" w:hAnsi="Times New Roman" w:cs="Times New Roman"/>
          <w:sz w:val="24"/>
          <w:szCs w:val="24"/>
          <w:lang w:val="pt-PT"/>
        </w:rPr>
        <w:t xml:space="preserve">lém disso, observou-se a referência da doutrina no caso </w:t>
      </w:r>
      <w:r w:rsidR="00956E78" w:rsidRPr="002D58D2">
        <w:rPr>
          <w:rFonts w:ascii="Times New Roman" w:hAnsi="Times New Roman" w:cs="Times New Roman"/>
          <w:sz w:val="24"/>
          <w:szCs w:val="24"/>
        </w:rPr>
        <w:t xml:space="preserve">Herrera </w:t>
      </w:r>
      <w:proofErr w:type="spellStart"/>
      <w:r w:rsidR="00956E78" w:rsidRPr="002D58D2">
        <w:rPr>
          <w:rFonts w:ascii="Times New Roman" w:hAnsi="Times New Roman" w:cs="Times New Roman"/>
          <w:sz w:val="24"/>
          <w:szCs w:val="24"/>
        </w:rPr>
        <w:t>Ulloa</w:t>
      </w:r>
      <w:proofErr w:type="spellEnd"/>
      <w:r w:rsidR="00956E78" w:rsidRPr="002D58D2">
        <w:rPr>
          <w:rFonts w:ascii="Times New Roman" w:hAnsi="Times New Roman" w:cs="Times New Roman"/>
          <w:sz w:val="24"/>
          <w:szCs w:val="24"/>
        </w:rPr>
        <w:t xml:space="preserve"> c. Costa Rica</w:t>
      </w:r>
      <w:r w:rsidR="00362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B6A" w:rsidRPr="00362B6A">
        <w:rPr>
          <w:rFonts w:ascii="Times New Roman" w:hAnsi="Times New Roman" w:cs="Times New Roman"/>
          <w:sz w:val="24"/>
          <w:szCs w:val="24"/>
        </w:rPr>
        <w:t>e B</w:t>
      </w:r>
      <w:r w:rsidR="00956E78" w:rsidRPr="00362B6A">
        <w:rPr>
          <w:rFonts w:ascii="Times New Roman" w:hAnsi="Times New Roman" w:cs="Times New Roman"/>
          <w:sz w:val="24"/>
          <w:szCs w:val="24"/>
        </w:rPr>
        <w:t>arreto Leiva c. Venezuela</w:t>
      </w:r>
      <w:r w:rsidR="00362B6A">
        <w:rPr>
          <w:rFonts w:ascii="Times New Roman" w:hAnsi="Times New Roman" w:cs="Times New Roman"/>
          <w:sz w:val="24"/>
          <w:szCs w:val="24"/>
        </w:rPr>
        <w:t xml:space="preserve"> no mesmo sentido: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 </w:t>
      </w:r>
      <w:r w:rsidR="00362B6A">
        <w:rPr>
          <w:rFonts w:ascii="Times New Roman" w:hAnsi="Times New Roman" w:cs="Times New Roman"/>
          <w:sz w:val="24"/>
          <w:szCs w:val="24"/>
        </w:rPr>
        <w:t xml:space="preserve">a </w:t>
      </w:r>
      <w:r w:rsidR="00956E78" w:rsidRPr="00654DB1">
        <w:rPr>
          <w:rFonts w:ascii="Times New Roman" w:hAnsi="Times New Roman" w:cs="Times New Roman"/>
          <w:sz w:val="24"/>
          <w:szCs w:val="24"/>
        </w:rPr>
        <w:t>Corte IDH afirmou que, embora os Estados tenham uma margem de apreciação para regular o exercício do recurso, não podem estabelecer restrições ou requisitos que violem a essência do direito previsto no artigo 8.2.h</w:t>
      </w:r>
      <w:r w:rsidR="00362B6A">
        <w:rPr>
          <w:rFonts w:ascii="Times New Roman" w:hAnsi="Times New Roman" w:cs="Times New Roman"/>
          <w:sz w:val="24"/>
          <w:szCs w:val="24"/>
        </w:rPr>
        <w:t xml:space="preserve"> da CADH.</w:t>
      </w:r>
      <w:r w:rsidR="00956E78" w:rsidRPr="00654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6166D" w14:textId="457E2756" w:rsidR="00956E78" w:rsidRDefault="00362B6A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B6A">
        <w:rPr>
          <w:rFonts w:ascii="Times New Roman" w:hAnsi="Times New Roman" w:cs="Times New Roman"/>
          <w:sz w:val="24"/>
          <w:szCs w:val="24"/>
        </w:rPr>
        <w:t xml:space="preserve">Também </w:t>
      </w:r>
      <w:proofErr w:type="gramStart"/>
      <w:r w:rsidR="0006246C">
        <w:rPr>
          <w:rFonts w:ascii="Times New Roman" w:hAnsi="Times New Roman" w:cs="Times New Roman"/>
          <w:sz w:val="24"/>
          <w:szCs w:val="24"/>
        </w:rPr>
        <w:t>verifica</w:t>
      </w:r>
      <w:r w:rsidRPr="00362B6A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Pr="00362B6A">
        <w:rPr>
          <w:rFonts w:ascii="Times New Roman" w:hAnsi="Times New Roman" w:cs="Times New Roman"/>
          <w:sz w:val="24"/>
          <w:szCs w:val="24"/>
        </w:rPr>
        <w:t xml:space="preserve"> a aplicação da </w:t>
      </w:r>
      <w:r w:rsidR="00956E78" w:rsidRPr="00362B6A">
        <w:rPr>
          <w:rFonts w:ascii="Times New Roman" w:hAnsi="Times New Roman" w:cs="Times New Roman"/>
          <w:sz w:val="24"/>
          <w:szCs w:val="24"/>
        </w:rPr>
        <w:t xml:space="preserve">margem </w:t>
      </w:r>
      <w:r w:rsidRPr="00362B6A">
        <w:rPr>
          <w:rFonts w:ascii="Times New Roman" w:hAnsi="Times New Roman" w:cs="Times New Roman"/>
          <w:sz w:val="24"/>
          <w:szCs w:val="24"/>
        </w:rPr>
        <w:t xml:space="preserve">em votos </w:t>
      </w:r>
      <w:r w:rsidR="00956E78" w:rsidRPr="00362B6A">
        <w:rPr>
          <w:rFonts w:ascii="Times New Roman" w:hAnsi="Times New Roman" w:cs="Times New Roman"/>
          <w:sz w:val="24"/>
          <w:szCs w:val="24"/>
        </w:rPr>
        <w:t>dissidente</w:t>
      </w:r>
      <w:r w:rsidRPr="00362B6A">
        <w:rPr>
          <w:rFonts w:ascii="Times New Roman" w:hAnsi="Times New Roman" w:cs="Times New Roman"/>
          <w:sz w:val="24"/>
          <w:szCs w:val="24"/>
        </w:rPr>
        <w:t xml:space="preserve">s </w:t>
      </w:r>
      <w:r w:rsidR="0006246C">
        <w:rPr>
          <w:rFonts w:ascii="Times New Roman" w:hAnsi="Times New Roman" w:cs="Times New Roman"/>
          <w:sz w:val="24"/>
          <w:szCs w:val="24"/>
        </w:rPr>
        <w:t xml:space="preserve">nos </w:t>
      </w:r>
      <w:r w:rsidRPr="00362B6A">
        <w:rPr>
          <w:rFonts w:ascii="Times New Roman" w:hAnsi="Times New Roman" w:cs="Times New Roman"/>
          <w:sz w:val="24"/>
          <w:szCs w:val="24"/>
        </w:rPr>
        <w:t xml:space="preserve">casos </w:t>
      </w:r>
      <w:r w:rsidRPr="00362B6A">
        <w:rPr>
          <w:rFonts w:ascii="Times New Roman" w:hAnsi="Times New Roman" w:cs="Times New Roman"/>
          <w:sz w:val="24"/>
          <w:szCs w:val="24"/>
        </w:rPr>
        <w:t>Duque c. Colômbia</w:t>
      </w:r>
      <w:r w:rsidRPr="00362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E78" w:rsidRPr="00362B6A">
        <w:rPr>
          <w:rFonts w:ascii="Times New Roman" w:hAnsi="Times New Roman" w:cs="Times New Roman"/>
          <w:sz w:val="24"/>
          <w:szCs w:val="24"/>
        </w:rPr>
        <w:t>Atala</w:t>
      </w:r>
      <w:proofErr w:type="spellEnd"/>
      <w:r w:rsidR="00956E78" w:rsidRPr="0036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E78" w:rsidRPr="00362B6A">
        <w:rPr>
          <w:rFonts w:ascii="Times New Roman" w:hAnsi="Times New Roman" w:cs="Times New Roman"/>
          <w:sz w:val="24"/>
          <w:szCs w:val="24"/>
        </w:rPr>
        <w:t>Riffo</w:t>
      </w:r>
      <w:proofErr w:type="spellEnd"/>
      <w:r w:rsidR="00956E78" w:rsidRPr="00362B6A">
        <w:rPr>
          <w:rFonts w:ascii="Times New Roman" w:hAnsi="Times New Roman" w:cs="Times New Roman"/>
          <w:sz w:val="24"/>
          <w:szCs w:val="24"/>
        </w:rPr>
        <w:t xml:space="preserve"> e crianças c. Chil</w:t>
      </w:r>
      <w:r w:rsidRPr="00362B6A">
        <w:rPr>
          <w:rFonts w:ascii="Times New Roman" w:hAnsi="Times New Roman" w:cs="Times New Roman"/>
          <w:sz w:val="24"/>
          <w:szCs w:val="24"/>
        </w:rPr>
        <w:t xml:space="preserve">e, </w:t>
      </w:r>
      <w:r w:rsidR="00956E78" w:rsidRPr="00362B6A">
        <w:rPr>
          <w:rFonts w:ascii="Times New Roman" w:hAnsi="Times New Roman" w:cs="Times New Roman"/>
          <w:sz w:val="24"/>
          <w:szCs w:val="24"/>
        </w:rPr>
        <w:t xml:space="preserve">Gómez Murillo e outros c. Costa </w:t>
      </w:r>
      <w:proofErr w:type="spellStart"/>
      <w:r w:rsidR="00956E78" w:rsidRPr="00362B6A">
        <w:rPr>
          <w:rFonts w:ascii="Times New Roman" w:hAnsi="Times New Roman" w:cs="Times New Roman"/>
          <w:sz w:val="24"/>
          <w:szCs w:val="24"/>
        </w:rPr>
        <w:t>Rica</w:t>
      </w:r>
      <w:r w:rsidRPr="00362B6A">
        <w:rPr>
          <w:rFonts w:ascii="Times New Roman" w:hAnsi="Times New Roman" w:cs="Times New Roman"/>
          <w:sz w:val="24"/>
          <w:szCs w:val="24"/>
        </w:rPr>
        <w:t>,</w:t>
      </w:r>
      <w:r w:rsidR="000624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6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E78" w:rsidRPr="00362B6A">
        <w:rPr>
          <w:rFonts w:ascii="Times New Roman" w:hAnsi="Times New Roman" w:cs="Times New Roman"/>
          <w:sz w:val="24"/>
          <w:szCs w:val="24"/>
        </w:rPr>
        <w:t>Amrhein</w:t>
      </w:r>
      <w:proofErr w:type="spellEnd"/>
      <w:r w:rsidR="00956E78" w:rsidRPr="00362B6A">
        <w:rPr>
          <w:rFonts w:ascii="Times New Roman" w:hAnsi="Times New Roman" w:cs="Times New Roman"/>
          <w:sz w:val="24"/>
          <w:szCs w:val="24"/>
        </w:rPr>
        <w:t xml:space="preserve"> e outros c. Costa Ric</w:t>
      </w:r>
      <w:r w:rsidRPr="00362B6A">
        <w:rPr>
          <w:rFonts w:ascii="Times New Roman" w:hAnsi="Times New Roman" w:cs="Times New Roman"/>
          <w:sz w:val="24"/>
          <w:szCs w:val="24"/>
        </w:rPr>
        <w:t>a</w:t>
      </w:r>
      <w:r w:rsidR="0006246C">
        <w:rPr>
          <w:rFonts w:ascii="Times New Roman" w:hAnsi="Times New Roman" w:cs="Times New Roman"/>
          <w:sz w:val="24"/>
          <w:szCs w:val="24"/>
        </w:rPr>
        <w:t>,</w:t>
      </w:r>
      <w:r w:rsidR="00E71533">
        <w:rPr>
          <w:rFonts w:ascii="Times New Roman" w:hAnsi="Times New Roman" w:cs="Times New Roman"/>
          <w:sz w:val="24"/>
          <w:szCs w:val="24"/>
        </w:rPr>
        <w:t xml:space="preserve"> o que indica que a posição de utilização da doutrina ainda é minoritária dentro da Corte. Entretanto, no cenário atual, no qual pode haver uma mudança significativa na sua composição, </w:t>
      </w:r>
      <w:r w:rsidR="0006246C">
        <w:rPr>
          <w:rFonts w:ascii="Times New Roman" w:hAnsi="Times New Roman" w:cs="Times New Roman"/>
          <w:sz w:val="24"/>
          <w:szCs w:val="24"/>
        </w:rPr>
        <w:t>questiona-se: a situação se manterá assim? É um ponto que deve ser observado.</w:t>
      </w:r>
    </w:p>
    <w:p w14:paraId="103FA3E0" w14:textId="6D9CB5D1" w:rsidR="008E37FF" w:rsidRPr="00654DB1" w:rsidRDefault="0006246C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 </w:t>
      </w:r>
      <w:r w:rsidR="008E37FF">
        <w:rPr>
          <w:rFonts w:ascii="Times New Roman" w:hAnsi="Times New Roman" w:cs="Times New Roman"/>
          <w:sz w:val="24"/>
          <w:szCs w:val="24"/>
        </w:rPr>
        <w:t>Estados que vem, cada vez mais, argumentando subsidiariedade do sistema e,</w:t>
      </w:r>
      <w:r w:rsidR="008E37FF" w:rsidRPr="00654DB1">
        <w:rPr>
          <w:rFonts w:ascii="Times New Roman" w:hAnsi="Times New Roman" w:cs="Times New Roman"/>
          <w:sz w:val="24"/>
          <w:szCs w:val="24"/>
        </w:rPr>
        <w:t xml:space="preserve"> em especial após o envio da Carta endereçada à CIDH, assinada por Representantes Permanentes de Argentina, Brasil, Colômbia, Paraguai e Chile, em 11 de abril de 2019.</w:t>
      </w:r>
    </w:p>
    <w:p w14:paraId="747E8F7B" w14:textId="77777777" w:rsidR="008E37FF" w:rsidRPr="00654DB1" w:rsidRDefault="008E37FF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>No documento, os Estados fizeram cinco manifestações sobre o SIDH, sendo: (</w:t>
      </w:r>
      <w:r w:rsidRPr="00654DB1">
        <w:rPr>
          <w:rFonts w:ascii="Times New Roman" w:hAnsi="Times New Roman" w:cs="Times New Roman"/>
          <w:i/>
          <w:sz w:val="24"/>
          <w:szCs w:val="24"/>
        </w:rPr>
        <w:t>i</w:t>
      </w:r>
      <w:r w:rsidRPr="00654DB1">
        <w:rPr>
          <w:rFonts w:ascii="Times New Roman" w:hAnsi="Times New Roman" w:cs="Times New Roman"/>
          <w:sz w:val="24"/>
          <w:szCs w:val="24"/>
        </w:rPr>
        <w:t>) o princípio da subsidiariedade, em sua dupla dimensão; (</w:t>
      </w:r>
      <w:proofErr w:type="spellStart"/>
      <w:r w:rsidRPr="00654DB1">
        <w:rPr>
          <w:rFonts w:ascii="Times New Roman" w:hAnsi="Times New Roman" w:cs="Times New Roman"/>
          <w:i/>
          <w:sz w:val="24"/>
          <w:szCs w:val="24"/>
        </w:rPr>
        <w:t>ii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>) o espaço legítimo de autonomia de que dispõem os Estados e que deve ser respeitado para assegurar a todas as pessoas submetidas à sua jurisdição, por meio de seus próprios processos democráticos, os direitos e garantias consagrados na CADH, de acordo com normas constitucionais; (</w:t>
      </w:r>
      <w:proofErr w:type="spellStart"/>
      <w:r w:rsidRPr="00654DB1">
        <w:rPr>
          <w:rFonts w:ascii="Times New Roman" w:hAnsi="Times New Roman" w:cs="Times New Roman"/>
          <w:i/>
          <w:sz w:val="24"/>
          <w:szCs w:val="24"/>
        </w:rPr>
        <w:t>iii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) 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 xml:space="preserve">no âmbito das medidas adotadas para reduzir o atraso processual no âmbito da Comissão, devem ser garantidos o direito de defesa, a segurança jurídica e a igualdade processual; </w:t>
      </w:r>
      <w:r w:rsidRPr="00654D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4DB1">
        <w:rPr>
          <w:rFonts w:ascii="Times New Roman" w:hAnsi="Times New Roman" w:cs="Times New Roman"/>
          <w:i/>
          <w:sz w:val="24"/>
          <w:szCs w:val="24"/>
        </w:rPr>
        <w:t>iv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) 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>a importância da aplicação estrita das fontes do DIDH e do reconhecimento da margem de apreciação dos Estados no cumprimento das obrigações estabelecidas pela CADH</w:t>
      </w:r>
      <w:r w:rsidRPr="00654DB1">
        <w:rPr>
          <w:rFonts w:ascii="Times New Roman" w:hAnsi="Times New Roman" w:cs="Times New Roman"/>
          <w:sz w:val="24"/>
          <w:szCs w:val="24"/>
        </w:rPr>
        <w:t>; e (</w:t>
      </w:r>
      <w:r w:rsidRPr="00654DB1">
        <w:rPr>
          <w:rFonts w:ascii="Times New Roman" w:hAnsi="Times New Roman" w:cs="Times New Roman"/>
          <w:i/>
          <w:sz w:val="24"/>
          <w:szCs w:val="24"/>
        </w:rPr>
        <w:t>v</w:t>
      </w:r>
      <w:r w:rsidRPr="00654DB1">
        <w:rPr>
          <w:rFonts w:ascii="Times New Roman" w:hAnsi="Times New Roman" w:cs="Times New Roman"/>
          <w:sz w:val="24"/>
          <w:szCs w:val="24"/>
        </w:rPr>
        <w:t xml:space="preserve">) </w:t>
      </w:r>
      <w:r w:rsidRPr="00654DB1">
        <w:rPr>
          <w:rFonts w:ascii="Times New Roman" w:hAnsi="Times New Roman" w:cs="Times New Roman"/>
          <w:sz w:val="24"/>
          <w:szCs w:val="24"/>
          <w:lang w:val="pt-PT"/>
        </w:rPr>
        <w:t>a importância do conhecimento e consideração da realidade política, econômica e social dos Estados por parte dos órgãos do SIDH, com destaque para a necessidade de que as formas de reparação sejam devidamente proporcionais e respeitem tanto os sistemas constitucionais e jurídicos dos Estados, como os requisitos do Estado de Direito</w:t>
      </w:r>
      <w:r w:rsidRPr="00654DB1">
        <w:rPr>
          <w:rFonts w:ascii="Times New Roman" w:hAnsi="Times New Roman" w:cs="Times New Roman"/>
          <w:sz w:val="24"/>
          <w:szCs w:val="24"/>
        </w:rPr>
        <w:t>.</w:t>
      </w:r>
    </w:p>
    <w:p w14:paraId="1CFC1A72" w14:textId="700579D8" w:rsidR="00E71533" w:rsidRDefault="008E37FF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Assim, os Estados, dentre os quais, o Brasil, estão invocando as suas margens de apreciação para o cumprimento do disposto na CADH, afirmando sua responsabilidade primária, a fim de que este espaço não seja invadido pelos órgãos do sistema, notadamente, a Corte IDH, com clamor de respeito às soberanias dos Estados aos moldes do Direito Internacional Clássico. </w:t>
      </w:r>
      <w:r>
        <w:rPr>
          <w:rFonts w:ascii="Times New Roman" w:hAnsi="Times New Roman" w:cs="Times New Roman"/>
          <w:sz w:val="24"/>
          <w:szCs w:val="24"/>
        </w:rPr>
        <w:t>Resta saber como a Comissão e a Corte lidarão com isso, sobretudo se houver uma alteração significativa nas suas composições.</w:t>
      </w:r>
    </w:p>
    <w:p w14:paraId="279F50D4" w14:textId="5845E3FF" w:rsidR="00E71533" w:rsidRDefault="00E71533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1533">
        <w:rPr>
          <w:rFonts w:ascii="Times New Roman" w:hAnsi="Times New Roman" w:cs="Times New Roman"/>
          <w:sz w:val="24"/>
          <w:szCs w:val="24"/>
        </w:rPr>
        <w:t xml:space="preserve">Por fim, observou-se também a referência da margem na argumentação da defesa dos Estado, a fim de que a </w:t>
      </w:r>
      <w:proofErr w:type="spellStart"/>
      <w:r w:rsidRPr="00E715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71533">
        <w:rPr>
          <w:rFonts w:ascii="Times New Roman" w:hAnsi="Times New Roman" w:cs="Times New Roman"/>
          <w:sz w:val="24"/>
          <w:szCs w:val="24"/>
        </w:rPr>
        <w:t xml:space="preserve"> Corte IDH não adentrasse em determinadas matérias, sobretudo nos casos Trabalhadores da fazenda Brasil Verde vs. Brasil, Lagos </w:t>
      </w:r>
      <w:proofErr w:type="spellStart"/>
      <w:r w:rsidRPr="00E7153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71533">
        <w:rPr>
          <w:rFonts w:ascii="Times New Roman" w:hAnsi="Times New Roman" w:cs="Times New Roman"/>
          <w:sz w:val="24"/>
          <w:szCs w:val="24"/>
        </w:rPr>
        <w:t xml:space="preserve"> Campo vs. </w:t>
      </w:r>
      <w:proofErr w:type="spellStart"/>
      <w:r w:rsidRPr="00E71533">
        <w:rPr>
          <w:rFonts w:ascii="Times New Roman" w:hAnsi="Times New Roman" w:cs="Times New Roman"/>
          <w:sz w:val="24"/>
          <w:szCs w:val="24"/>
        </w:rPr>
        <w:t>Perú</w:t>
      </w:r>
      <w:proofErr w:type="spellEnd"/>
      <w:r w:rsidRPr="00E715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533">
        <w:rPr>
          <w:rFonts w:ascii="Times New Roman" w:hAnsi="Times New Roman" w:cs="Times New Roman"/>
          <w:sz w:val="24"/>
          <w:szCs w:val="24"/>
        </w:rPr>
        <w:t>Poblete</w:t>
      </w:r>
      <w:proofErr w:type="spellEnd"/>
      <w:r w:rsidRPr="00E71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533">
        <w:rPr>
          <w:rFonts w:ascii="Times New Roman" w:hAnsi="Times New Roman" w:cs="Times New Roman"/>
          <w:sz w:val="24"/>
          <w:szCs w:val="24"/>
        </w:rPr>
        <w:t>Vilches</w:t>
      </w:r>
      <w:proofErr w:type="spellEnd"/>
      <w:r w:rsidRPr="00E71533">
        <w:rPr>
          <w:rFonts w:ascii="Times New Roman" w:hAnsi="Times New Roman" w:cs="Times New Roman"/>
          <w:sz w:val="24"/>
          <w:szCs w:val="24"/>
        </w:rPr>
        <w:t xml:space="preserve"> e outros vs. Chile, e Herzog e outros vs. Brasil. Apesar disso, nesses casos, a Corte procedeu com a sua análise sem tratar dos aspectos da doutrina.</w:t>
      </w:r>
      <w:r w:rsidR="008E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0EFC8" w14:textId="0F984798" w:rsidR="00FB0C54" w:rsidRPr="00B7186B" w:rsidRDefault="008E37FF" w:rsidP="00B718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o presente trabalho conclui que a doutrina da margem de apreciação pode ser observada no SIDH, em nítida influência do TEDH. </w:t>
      </w:r>
      <w:r w:rsidR="00666CC0">
        <w:rPr>
          <w:rFonts w:ascii="Times New Roman" w:hAnsi="Times New Roman" w:cs="Times New Roman"/>
          <w:sz w:val="24"/>
          <w:szCs w:val="24"/>
        </w:rPr>
        <w:t>Entretanto</w:t>
      </w:r>
      <w:r>
        <w:rPr>
          <w:rFonts w:ascii="Times New Roman" w:hAnsi="Times New Roman" w:cs="Times New Roman"/>
          <w:sz w:val="24"/>
          <w:szCs w:val="24"/>
        </w:rPr>
        <w:t>, diferentemente do que ocorre na Europa, onde a margem de apreciação</w:t>
      </w:r>
      <w:r w:rsidR="00666CC0">
        <w:rPr>
          <w:rFonts w:ascii="Times New Roman" w:hAnsi="Times New Roman" w:cs="Times New Roman"/>
          <w:sz w:val="24"/>
          <w:szCs w:val="24"/>
        </w:rPr>
        <w:t xml:space="preserve">, metaforicamente, pode ser compreendida mais como </w:t>
      </w:r>
      <w:r w:rsidR="00156E3E">
        <w:rPr>
          <w:rFonts w:ascii="Times New Roman" w:hAnsi="Times New Roman" w:cs="Times New Roman"/>
          <w:sz w:val="24"/>
          <w:szCs w:val="24"/>
        </w:rPr>
        <w:t xml:space="preserve">um canto </w:t>
      </w:r>
      <w:r w:rsidR="00666CC0">
        <w:rPr>
          <w:rFonts w:ascii="Times New Roman" w:hAnsi="Times New Roman" w:cs="Times New Roman"/>
          <w:sz w:val="24"/>
          <w:szCs w:val="24"/>
        </w:rPr>
        <w:t>e que está presente no sistema, sobretudo atualmente com a entrada em vigor do Protocolo n.º 15 da CEDH, nas Américas, a doutrina pode ser mais comparada com um eco, no sentido de ainda pode ser ouvido, porém, sem a mesma intensidade. A questão que fica é: até quando?</w:t>
      </w:r>
    </w:p>
    <w:p w14:paraId="5A0C5BAD" w14:textId="0A042C1F" w:rsidR="008E37FF" w:rsidRDefault="00666CC0" w:rsidP="00C92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5D1D66DE" w14:textId="77777777" w:rsidR="00C92037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EF92" w14:textId="6700F5EB" w:rsidR="00156E3E" w:rsidRPr="00156E3E" w:rsidRDefault="00156E3E" w:rsidP="00C92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DB1">
        <w:rPr>
          <w:rFonts w:ascii="Times New Roman" w:hAnsi="Times New Roman" w:cs="Times New Roman"/>
          <w:noProof/>
          <w:sz w:val="24"/>
          <w:szCs w:val="24"/>
        </w:rPr>
        <w:t>ARAI-TAKAHASHI, Yutaka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4DB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Margin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Appreciation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Doctrine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Principle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Proportionality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Jurisprudence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ECHR</w:t>
      </w:r>
      <w:r w:rsidRPr="00654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DB1">
        <w:rPr>
          <w:rFonts w:ascii="Times New Roman" w:hAnsi="Times New Roman" w:cs="Times New Roman"/>
          <w:bCs/>
          <w:sz w:val="24"/>
          <w:szCs w:val="24"/>
        </w:rPr>
        <w:t>Antwerp</w:t>
      </w:r>
      <w:proofErr w:type="spellEnd"/>
      <w:r w:rsidRPr="00654DB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54DB1">
        <w:rPr>
          <w:rFonts w:ascii="Times New Roman" w:hAnsi="Times New Roman" w:cs="Times New Roman"/>
          <w:bCs/>
          <w:sz w:val="24"/>
          <w:szCs w:val="24"/>
        </w:rPr>
        <w:t>Intersentia</w:t>
      </w:r>
      <w:proofErr w:type="spellEnd"/>
      <w:r w:rsidRPr="00654DB1">
        <w:rPr>
          <w:rFonts w:ascii="Times New Roman" w:hAnsi="Times New Roman" w:cs="Times New Roman"/>
          <w:bCs/>
          <w:sz w:val="24"/>
          <w:szCs w:val="24"/>
        </w:rPr>
        <w:t>, 2002.</w:t>
      </w:r>
    </w:p>
    <w:p w14:paraId="637AFE69" w14:textId="1CE6A3E0" w:rsidR="00156E3E" w:rsidRDefault="00156E3E" w:rsidP="00C9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6547F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CORTE IDH</w:t>
      </w:r>
      <w:r w:rsidRPr="00654DB1">
        <w:rPr>
          <w:rFonts w:ascii="Times New Roman" w:hAnsi="Times New Roman" w:cs="Times New Roman"/>
          <w:sz w:val="24"/>
          <w:szCs w:val="24"/>
        </w:rPr>
        <w:t xml:space="preserve">. </w:t>
      </w:r>
      <w:r w:rsidRPr="00654DB1">
        <w:rPr>
          <w:rFonts w:ascii="Times New Roman" w:hAnsi="Times New Roman" w:cs="Times New Roman"/>
          <w:b/>
          <w:sz w:val="24"/>
          <w:szCs w:val="24"/>
        </w:rPr>
        <w:t>Relatório conjunto 2019</w:t>
      </w:r>
      <w:r w:rsidRPr="00654DB1">
        <w:rPr>
          <w:rFonts w:ascii="Times New Roman" w:hAnsi="Times New Roman" w:cs="Times New Roman"/>
          <w:sz w:val="24"/>
          <w:szCs w:val="24"/>
        </w:rPr>
        <w:t xml:space="preserve">. San José, 17 dez 2020. Disponível em: </w:t>
      </w:r>
      <w:hyperlink r:id="rId9" w:history="1">
        <w:r w:rsidRPr="00654DB1">
          <w:rPr>
            <w:rStyle w:val="Hyperlink"/>
            <w:rFonts w:ascii="Times New Roman" w:hAnsi="Times New Roman" w:cs="Times New Roman"/>
            <w:sz w:val="24"/>
            <w:szCs w:val="24"/>
          </w:rPr>
          <w:t>https://echr.coe.int/Documents/Joint_Report_2019_AfCHPR_ECHR_IACHR_ENG.pdf</w:t>
        </w:r>
      </w:hyperlink>
      <w:r w:rsidRPr="00654DB1"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B1">
        <w:rPr>
          <w:rFonts w:ascii="Times New Roman" w:hAnsi="Times New Roman" w:cs="Times New Roman"/>
          <w:sz w:val="24"/>
          <w:szCs w:val="24"/>
        </w:rPr>
        <w:t>2021.</w:t>
      </w:r>
    </w:p>
    <w:p w14:paraId="18B48C91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156E3" w14:textId="77777777" w:rsidR="00C92037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___. </w:t>
      </w:r>
      <w:r w:rsidRPr="00654DB1">
        <w:rPr>
          <w:rFonts w:ascii="Times New Roman" w:hAnsi="Times New Roman" w:cs="Times New Roman"/>
          <w:b/>
          <w:sz w:val="24"/>
          <w:szCs w:val="24"/>
        </w:rPr>
        <w:t>Declaração de</w:t>
      </w:r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r w:rsidRPr="00654DB1">
        <w:rPr>
          <w:rFonts w:ascii="Times New Roman" w:hAnsi="Times New Roman" w:cs="Times New Roman"/>
          <w:b/>
          <w:sz w:val="24"/>
          <w:szCs w:val="24"/>
        </w:rPr>
        <w:t>Kampala</w:t>
      </w:r>
      <w:r w:rsidRPr="00654DB1">
        <w:rPr>
          <w:rFonts w:ascii="Times New Roman" w:hAnsi="Times New Roman" w:cs="Times New Roman"/>
          <w:sz w:val="24"/>
          <w:szCs w:val="24"/>
        </w:rPr>
        <w:t xml:space="preserve">. Kampala, 28 e 29 out 2019. Disponível em: </w:t>
      </w:r>
      <w:hyperlink r:id="rId10" w:history="1">
        <w:r w:rsidRPr="00654DB1">
          <w:rPr>
            <w:rStyle w:val="Hyperlink"/>
            <w:rFonts w:ascii="Times New Roman" w:hAnsi="Times New Roman" w:cs="Times New Roman"/>
            <w:sz w:val="24"/>
            <w:szCs w:val="24"/>
          </w:rPr>
          <w:t>https://echr.coe.int/Documents/Kampala_Declaration_ENG.pdf</w:t>
        </w:r>
      </w:hyperlink>
      <w:r w:rsidRPr="00654DB1"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B1">
        <w:rPr>
          <w:rFonts w:ascii="Times New Roman" w:hAnsi="Times New Roman" w:cs="Times New Roman"/>
          <w:sz w:val="24"/>
          <w:szCs w:val="24"/>
        </w:rPr>
        <w:t>2021.</w:t>
      </w:r>
    </w:p>
    <w:p w14:paraId="59D8B14A" w14:textId="29C96674" w:rsidR="00C92037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FF854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___. </w:t>
      </w:r>
      <w:proofErr w:type="spellStart"/>
      <w:r w:rsidRPr="00654DB1">
        <w:rPr>
          <w:rFonts w:ascii="Times New Roman" w:hAnsi="Times New Roman" w:cs="Times New Roman"/>
          <w:b/>
          <w:sz w:val="24"/>
          <w:szCs w:val="24"/>
        </w:rPr>
        <w:t>Amrhein</w:t>
      </w:r>
      <w:proofErr w:type="spellEnd"/>
      <w:r w:rsidRPr="00654DB1">
        <w:rPr>
          <w:rFonts w:ascii="Times New Roman" w:hAnsi="Times New Roman" w:cs="Times New Roman"/>
          <w:b/>
          <w:sz w:val="24"/>
          <w:szCs w:val="24"/>
        </w:rPr>
        <w:t xml:space="preserve"> e outros c. Costa Rica</w:t>
      </w:r>
      <w:r w:rsidRPr="00654DB1">
        <w:rPr>
          <w:rFonts w:ascii="Times New Roman" w:hAnsi="Times New Roman" w:cs="Times New Roman"/>
          <w:sz w:val="24"/>
          <w:szCs w:val="24"/>
        </w:rPr>
        <w:t xml:space="preserve">. Exceções Preliminares, Mérito, Reparações e Custas. Julgado em 25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C No. 354.</w:t>
      </w:r>
    </w:p>
    <w:p w14:paraId="2A16988A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E6C0DF" w14:textId="06CDF2C0" w:rsidR="00C92037" w:rsidRPr="00654DB1" w:rsidRDefault="00B7186B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___. </w:t>
      </w:r>
      <w:proofErr w:type="spellStart"/>
      <w:r w:rsidR="00C92037" w:rsidRPr="00654DB1">
        <w:rPr>
          <w:rFonts w:ascii="Times New Roman" w:hAnsi="Times New Roman" w:cs="Times New Roman"/>
          <w:b/>
          <w:sz w:val="24"/>
          <w:szCs w:val="24"/>
        </w:rPr>
        <w:t>Atala</w:t>
      </w:r>
      <w:proofErr w:type="spellEnd"/>
      <w:r w:rsidR="00C92037" w:rsidRPr="00654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037" w:rsidRPr="00654DB1">
        <w:rPr>
          <w:rFonts w:ascii="Times New Roman" w:hAnsi="Times New Roman" w:cs="Times New Roman"/>
          <w:b/>
          <w:sz w:val="24"/>
          <w:szCs w:val="24"/>
        </w:rPr>
        <w:t>Riffo</w:t>
      </w:r>
      <w:proofErr w:type="spellEnd"/>
      <w:r w:rsidR="00C92037" w:rsidRPr="00654DB1">
        <w:rPr>
          <w:rFonts w:ascii="Times New Roman" w:hAnsi="Times New Roman" w:cs="Times New Roman"/>
          <w:b/>
          <w:sz w:val="24"/>
          <w:szCs w:val="24"/>
        </w:rPr>
        <w:t xml:space="preserve"> e filhas c. Chile</w:t>
      </w:r>
      <w:r w:rsidR="00C92037" w:rsidRPr="00654DB1">
        <w:rPr>
          <w:rFonts w:ascii="Times New Roman" w:hAnsi="Times New Roman" w:cs="Times New Roman"/>
          <w:sz w:val="24"/>
          <w:szCs w:val="24"/>
        </w:rPr>
        <w:t xml:space="preserve">. Mérito, Reparação e Custas. Julgado em 24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C No. 239.</w:t>
      </w:r>
    </w:p>
    <w:p w14:paraId="12820394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01311" w14:textId="25E659C9" w:rsidR="00C92037" w:rsidRPr="00654DB1" w:rsidRDefault="00B7186B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___. </w:t>
      </w:r>
      <w:r w:rsidR="00C92037" w:rsidRPr="00654DB1">
        <w:rPr>
          <w:rFonts w:ascii="Times New Roman" w:hAnsi="Times New Roman" w:cs="Times New Roman"/>
          <w:b/>
          <w:sz w:val="24"/>
          <w:szCs w:val="24"/>
        </w:rPr>
        <w:t>Barreto Leiva c. Venezuela</w:t>
      </w:r>
      <w:r w:rsidR="00C92037" w:rsidRPr="00654DB1">
        <w:rPr>
          <w:rFonts w:ascii="Times New Roman" w:hAnsi="Times New Roman" w:cs="Times New Roman"/>
          <w:sz w:val="24"/>
          <w:szCs w:val="24"/>
        </w:rPr>
        <w:t xml:space="preserve">. Mérito, Reparação e Custas. Julgado em 17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C No. 206.</w:t>
      </w:r>
    </w:p>
    <w:p w14:paraId="697845E5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E5069" w14:textId="110F4A0A" w:rsidR="00C92037" w:rsidRDefault="00B7186B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___. </w:t>
      </w:r>
      <w:r w:rsidR="00C92037" w:rsidRPr="00654DB1">
        <w:rPr>
          <w:rFonts w:ascii="Times New Roman" w:hAnsi="Times New Roman" w:cs="Times New Roman"/>
          <w:b/>
          <w:sz w:val="24"/>
          <w:szCs w:val="24"/>
        </w:rPr>
        <w:t>Duque c. Colômbia</w:t>
      </w:r>
      <w:r w:rsidR="00C92037" w:rsidRPr="00654DB1">
        <w:rPr>
          <w:rFonts w:ascii="Times New Roman" w:hAnsi="Times New Roman" w:cs="Times New Roman"/>
          <w:sz w:val="24"/>
          <w:szCs w:val="24"/>
        </w:rPr>
        <w:t xml:space="preserve">. Exceções Preliminares, Mérito, Reparação e Custas. Julgado em 26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C No. 310.</w:t>
      </w:r>
    </w:p>
    <w:p w14:paraId="13FFAD68" w14:textId="77777777" w:rsidR="00C92037" w:rsidRPr="00C92037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C196A" w14:textId="12982931" w:rsidR="00C92037" w:rsidRPr="00654DB1" w:rsidRDefault="00B7186B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___. </w:t>
      </w:r>
      <w:r w:rsidR="00C92037" w:rsidRPr="00654DB1">
        <w:rPr>
          <w:rFonts w:ascii="Times New Roman" w:hAnsi="Times New Roman" w:cs="Times New Roman"/>
          <w:b/>
          <w:sz w:val="24"/>
          <w:szCs w:val="24"/>
        </w:rPr>
        <w:t>Gómez Murillo e outros c. Costa Rica</w:t>
      </w:r>
      <w:r w:rsidR="00C92037" w:rsidRPr="00654DB1">
        <w:rPr>
          <w:rFonts w:ascii="Times New Roman" w:hAnsi="Times New Roman" w:cs="Times New Roman"/>
          <w:sz w:val="24"/>
          <w:szCs w:val="24"/>
        </w:rPr>
        <w:t xml:space="preserve">. Homologação. Julgado em 29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C No. 326.</w:t>
      </w:r>
    </w:p>
    <w:p w14:paraId="2F57DEE9" w14:textId="77777777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F5D98" w14:textId="7271022E" w:rsidR="00C92037" w:rsidRPr="00654DB1" w:rsidRDefault="00B7186B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___. </w:t>
      </w:r>
      <w:r w:rsidR="00C92037" w:rsidRPr="00654DB1">
        <w:rPr>
          <w:rFonts w:ascii="Times New Roman" w:hAnsi="Times New Roman" w:cs="Times New Roman"/>
          <w:b/>
          <w:sz w:val="24"/>
          <w:szCs w:val="24"/>
        </w:rPr>
        <w:t xml:space="preserve">Herrera </w:t>
      </w:r>
      <w:proofErr w:type="spellStart"/>
      <w:r w:rsidR="00C92037" w:rsidRPr="00654DB1">
        <w:rPr>
          <w:rFonts w:ascii="Times New Roman" w:hAnsi="Times New Roman" w:cs="Times New Roman"/>
          <w:b/>
          <w:sz w:val="24"/>
          <w:szCs w:val="24"/>
        </w:rPr>
        <w:t>Ulloa</w:t>
      </w:r>
      <w:proofErr w:type="spellEnd"/>
      <w:r w:rsidR="00C92037" w:rsidRPr="00654DB1">
        <w:rPr>
          <w:rFonts w:ascii="Times New Roman" w:hAnsi="Times New Roman" w:cs="Times New Roman"/>
          <w:b/>
          <w:sz w:val="24"/>
          <w:szCs w:val="24"/>
        </w:rPr>
        <w:t xml:space="preserve"> c. Costa Rica</w:t>
      </w:r>
      <w:r w:rsidR="00C92037" w:rsidRPr="00654DB1">
        <w:rPr>
          <w:rFonts w:ascii="Times New Roman" w:hAnsi="Times New Roman" w:cs="Times New Roman"/>
          <w:sz w:val="24"/>
          <w:szCs w:val="24"/>
        </w:rPr>
        <w:t xml:space="preserve">. Exceções Preliminares, Mérito, Reparação e Custas. Julgado em 02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="00C92037" w:rsidRPr="00654DB1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="00C92037" w:rsidRPr="00654DB1">
        <w:rPr>
          <w:rFonts w:ascii="Times New Roman" w:hAnsi="Times New Roman" w:cs="Times New Roman"/>
          <w:sz w:val="24"/>
          <w:szCs w:val="24"/>
        </w:rPr>
        <w:t xml:space="preserve"> C No. 107.</w:t>
      </w:r>
    </w:p>
    <w:p w14:paraId="2E6C2963" w14:textId="7B994D25" w:rsidR="00C92037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4243A" w14:textId="71D02998" w:rsidR="00C92037" w:rsidRPr="00654DB1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37">
        <w:rPr>
          <w:rFonts w:ascii="Times New Roman" w:hAnsi="Times New Roman" w:cs="Times New Roman"/>
          <w:sz w:val="24"/>
          <w:szCs w:val="24"/>
        </w:rPr>
        <w:t xml:space="preserve">FACHIN, Melina </w:t>
      </w:r>
      <w:proofErr w:type="spellStart"/>
      <w:r w:rsidRPr="00C92037">
        <w:rPr>
          <w:rFonts w:ascii="Times New Roman" w:hAnsi="Times New Roman" w:cs="Times New Roman"/>
          <w:sz w:val="24"/>
          <w:szCs w:val="24"/>
        </w:rPr>
        <w:t>Girardi</w:t>
      </w:r>
      <w:proofErr w:type="spellEnd"/>
      <w:r w:rsidRPr="00C92037">
        <w:rPr>
          <w:rFonts w:ascii="Times New Roman" w:hAnsi="Times New Roman" w:cs="Times New Roman"/>
          <w:sz w:val="24"/>
          <w:szCs w:val="24"/>
        </w:rPr>
        <w:t xml:space="preserve">; ROBL FILHO, Ilton Norberto; DE LIMAS TOMIO, Fabricio Ricardo. Os Contextos Interamericano e Europeu de Proteção dos Direitos Humanos: uma breve análise comparativa das decisões das cortes regionais. </w:t>
      </w:r>
      <w:r w:rsidRPr="00C92037">
        <w:rPr>
          <w:rFonts w:ascii="Times New Roman" w:hAnsi="Times New Roman" w:cs="Times New Roman"/>
          <w:b/>
          <w:bCs/>
          <w:sz w:val="24"/>
          <w:szCs w:val="24"/>
        </w:rPr>
        <w:t>Revista da Faculdade de Direito UFPR</w:t>
      </w:r>
      <w:r w:rsidRPr="00C92037">
        <w:rPr>
          <w:rFonts w:ascii="Times New Roman" w:hAnsi="Times New Roman" w:cs="Times New Roman"/>
          <w:sz w:val="24"/>
          <w:szCs w:val="24"/>
        </w:rPr>
        <w:t xml:space="preserve">, 2016, </w:t>
      </w:r>
      <w:r>
        <w:rPr>
          <w:rFonts w:ascii="Times New Roman" w:hAnsi="Times New Roman" w:cs="Times New Roman"/>
          <w:sz w:val="24"/>
          <w:szCs w:val="24"/>
        </w:rPr>
        <w:t xml:space="preserve">vol. </w:t>
      </w:r>
      <w:r w:rsidRPr="00C92037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, pp. </w:t>
      </w:r>
      <w:r w:rsidRPr="00C92037">
        <w:rPr>
          <w:rFonts w:ascii="Times New Roman" w:hAnsi="Times New Roman" w:cs="Times New Roman"/>
          <w:sz w:val="24"/>
          <w:szCs w:val="24"/>
        </w:rPr>
        <w:t>367-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2037">
        <w:rPr>
          <w:rFonts w:ascii="Times New Roman" w:hAnsi="Times New Roman" w:cs="Times New Roman"/>
          <w:sz w:val="24"/>
          <w:szCs w:val="24"/>
        </w:rPr>
        <w:t>89.</w:t>
      </w:r>
    </w:p>
    <w:p w14:paraId="16951C1C" w14:textId="77777777" w:rsidR="00C92037" w:rsidRDefault="00C92037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7A84D" w14:textId="2DDD1C58" w:rsidR="00156E3E" w:rsidRDefault="00156E3E" w:rsidP="00C9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PIOVESAN, Flavia</w:t>
      </w:r>
      <w:r w:rsidRPr="00654DB1">
        <w:rPr>
          <w:rFonts w:ascii="Times New Roman" w:hAnsi="Times New Roman" w:cs="Times New Roman"/>
          <w:sz w:val="24"/>
          <w:szCs w:val="24"/>
        </w:rPr>
        <w:t xml:space="preserve">. O impacto da jurisprudência da Corte Interamericana de Direitos Humanos e a emergência de um novo paradigma jurídico. </w:t>
      </w:r>
      <w:r w:rsidRPr="00654DB1">
        <w:rPr>
          <w:rFonts w:ascii="Times New Roman" w:hAnsi="Times New Roman" w:cs="Times New Roman"/>
          <w:i/>
          <w:sz w:val="24"/>
          <w:szCs w:val="24"/>
        </w:rPr>
        <w:t>In</w:t>
      </w:r>
      <w:r w:rsidRPr="00654DB1">
        <w:rPr>
          <w:rFonts w:ascii="Times New Roman" w:hAnsi="Times New Roman" w:cs="Times New Roman"/>
          <w:sz w:val="24"/>
          <w:szCs w:val="24"/>
        </w:rPr>
        <w:t>: AMARAL JR, Alberto do; PIOVESAN, Flávia; DANESE, Paula Monteiro (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). </w:t>
      </w:r>
      <w:r w:rsidRPr="00654DB1">
        <w:rPr>
          <w:rFonts w:ascii="Times New Roman" w:hAnsi="Times New Roman" w:cs="Times New Roman"/>
          <w:b/>
          <w:sz w:val="24"/>
          <w:szCs w:val="24"/>
        </w:rPr>
        <w:t>50 anos da Convenção Americana de Direitos Humanos – O Sistema Interamericano: Legado, Impacto e Perspectivas</w:t>
      </w:r>
      <w:r w:rsidRPr="00654DB1">
        <w:rPr>
          <w:rFonts w:ascii="Times New Roman" w:hAnsi="Times New Roman" w:cs="Times New Roman"/>
          <w:sz w:val="24"/>
          <w:szCs w:val="24"/>
        </w:rPr>
        <w:t xml:space="preserve">. Salvador: Ed.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>, pp. 47-74, 2020.</w:t>
      </w:r>
    </w:p>
    <w:p w14:paraId="57299074" w14:textId="77777777" w:rsidR="00156E3E" w:rsidRPr="00654DB1" w:rsidRDefault="00156E3E" w:rsidP="00C9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05141" w14:textId="2D9B7B91" w:rsidR="00C92037" w:rsidRPr="00B7186B" w:rsidRDefault="00156E3E" w:rsidP="00B71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B1">
        <w:rPr>
          <w:rFonts w:ascii="Times New Roman" w:hAnsi="Times New Roman" w:cs="Times New Roman"/>
          <w:sz w:val="24"/>
          <w:szCs w:val="24"/>
        </w:rPr>
        <w:t xml:space="preserve">VOETEN, Erik.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cite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. </w:t>
      </w:r>
      <w:r w:rsidRPr="00654DB1">
        <w:rPr>
          <w:rFonts w:ascii="Times New Roman" w:hAnsi="Times New Roman" w:cs="Times New Roman"/>
          <w:i/>
          <w:sz w:val="24"/>
          <w:szCs w:val="24"/>
        </w:rPr>
        <w:t>In:</w:t>
      </w:r>
      <w:r w:rsidRPr="00654DB1">
        <w:rPr>
          <w:rFonts w:ascii="Times New Roman" w:hAnsi="Times New Roman" w:cs="Times New Roman"/>
          <w:sz w:val="24"/>
          <w:szCs w:val="24"/>
        </w:rPr>
        <w:t xml:space="preserve"> </w:t>
      </w:r>
      <w:r w:rsidRPr="00654DB1">
        <w:rPr>
          <w:rFonts w:ascii="Times New Roman" w:hAnsi="Times New Roman" w:cs="Times New Roman"/>
          <w:bCs/>
          <w:sz w:val="24"/>
          <w:szCs w:val="24"/>
        </w:rPr>
        <w:t>GIORGETTI, Chiara; POLLACK, Mark (</w:t>
      </w:r>
      <w:proofErr w:type="spellStart"/>
      <w:r w:rsidRPr="00654DB1">
        <w:rPr>
          <w:rFonts w:ascii="Times New Roman" w:hAnsi="Times New Roman" w:cs="Times New Roman"/>
          <w:bCs/>
          <w:sz w:val="24"/>
          <w:szCs w:val="24"/>
        </w:rPr>
        <w:t>Orgs</w:t>
      </w:r>
      <w:proofErr w:type="spellEnd"/>
      <w:r w:rsidRPr="00654DB1">
        <w:rPr>
          <w:rFonts w:ascii="Times New Roman" w:hAnsi="Times New Roman" w:cs="Times New Roman"/>
          <w:bCs/>
          <w:sz w:val="24"/>
          <w:szCs w:val="24"/>
        </w:rPr>
        <w:t>)</w:t>
      </w:r>
      <w:r w:rsidRPr="00654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Beyond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Fragmentation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>: Cross-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Fertilization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Cooperation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among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4DB1">
        <w:rPr>
          <w:rFonts w:ascii="Times New Roman" w:hAnsi="Times New Roman" w:cs="Times New Roman"/>
          <w:b/>
          <w:bCs/>
          <w:sz w:val="24"/>
          <w:szCs w:val="24"/>
        </w:rPr>
        <w:t>Courts</w:t>
      </w:r>
      <w:proofErr w:type="spellEnd"/>
      <w:r w:rsidRPr="00654D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54DB1">
        <w:rPr>
          <w:rFonts w:ascii="Times New Roman" w:hAnsi="Times New Roman" w:cs="Times New Roman"/>
          <w:sz w:val="24"/>
          <w:szCs w:val="24"/>
        </w:rPr>
        <w:t xml:space="preserve">Cambridge 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 xml:space="preserve"> Press (</w:t>
      </w:r>
      <w:proofErr w:type="spellStart"/>
      <w:r w:rsidRPr="00654DB1">
        <w:rPr>
          <w:rFonts w:ascii="Times New Roman" w:hAnsi="Times New Roman" w:cs="Times New Roman"/>
          <w:sz w:val="24"/>
          <w:szCs w:val="24"/>
        </w:rPr>
        <w:t>forthcoming</w:t>
      </w:r>
      <w:proofErr w:type="spellEnd"/>
      <w:r w:rsidRPr="00654DB1">
        <w:rPr>
          <w:rFonts w:ascii="Times New Roman" w:hAnsi="Times New Roman" w:cs="Times New Roman"/>
          <w:sz w:val="24"/>
          <w:szCs w:val="24"/>
        </w:rPr>
        <w:t>), pp. 01-19, 2021.</w:t>
      </w:r>
    </w:p>
    <w:sectPr w:rsidR="00C92037" w:rsidRPr="00B7186B" w:rsidSect="009F1AE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55F8" w14:textId="77777777" w:rsidR="006469C7" w:rsidRDefault="006469C7" w:rsidP="009F1AE4">
      <w:pPr>
        <w:spacing w:after="0" w:line="240" w:lineRule="auto"/>
      </w:pPr>
      <w:r>
        <w:separator/>
      </w:r>
    </w:p>
  </w:endnote>
  <w:endnote w:type="continuationSeparator" w:id="0">
    <w:p w14:paraId="6CCABAF2" w14:textId="77777777" w:rsidR="006469C7" w:rsidRDefault="006469C7" w:rsidP="009F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CD52" w14:textId="77777777" w:rsidR="006469C7" w:rsidRDefault="006469C7" w:rsidP="009F1AE4">
      <w:pPr>
        <w:spacing w:after="0" w:line="240" w:lineRule="auto"/>
      </w:pPr>
      <w:r>
        <w:separator/>
      </w:r>
    </w:p>
  </w:footnote>
  <w:footnote w:type="continuationSeparator" w:id="0">
    <w:p w14:paraId="5824864E" w14:textId="77777777" w:rsidR="006469C7" w:rsidRDefault="006469C7" w:rsidP="009F1AE4">
      <w:pPr>
        <w:spacing w:after="0" w:line="240" w:lineRule="auto"/>
      </w:pPr>
      <w:r>
        <w:continuationSeparator/>
      </w:r>
    </w:p>
  </w:footnote>
  <w:footnote w:id="1">
    <w:p w14:paraId="2DB1E177" w14:textId="34298606" w:rsidR="009F1AE4" w:rsidRPr="00FB0C54" w:rsidRDefault="009F1AE4" w:rsidP="00FB0C54">
      <w:pPr>
        <w:pStyle w:val="Textodenotaderodap"/>
        <w:jc w:val="both"/>
        <w:rPr>
          <w:rFonts w:ascii="Times New Roman" w:hAnsi="Times New Roman" w:cs="Times New Roman"/>
        </w:rPr>
      </w:pPr>
      <w:r w:rsidRPr="00FB0C54">
        <w:rPr>
          <w:rStyle w:val="Refdenotaderodap"/>
          <w:rFonts w:ascii="Times New Roman" w:hAnsi="Times New Roman" w:cs="Times New Roman"/>
        </w:rPr>
        <w:footnoteRef/>
      </w:r>
      <w:r w:rsidRPr="00FB0C54">
        <w:rPr>
          <w:rFonts w:ascii="Times New Roman" w:hAnsi="Times New Roman" w:cs="Times New Roman"/>
        </w:rPr>
        <w:t xml:space="preserve"> Mestranda em Direito e Ciência Jurídica na especialidade de Ciências Jurídico-Internacionais pela Faculdade de Direito da Universidade de Lisboa. Especialista em Direito Público e Bacharel em Direito pelo C</w:t>
      </w:r>
      <w:r w:rsidR="00C92037">
        <w:rPr>
          <w:rFonts w:ascii="Times New Roman" w:hAnsi="Times New Roman" w:cs="Times New Roman"/>
        </w:rPr>
        <w:t>ESUPA</w:t>
      </w:r>
      <w:r w:rsidRPr="00FB0C54">
        <w:rPr>
          <w:rFonts w:ascii="Times New Roman" w:hAnsi="Times New Roman" w:cs="Times New Roman"/>
        </w:rPr>
        <w:t>.</w:t>
      </w:r>
      <w:r w:rsidR="00FB0C54" w:rsidRPr="00FB0C54">
        <w:rPr>
          <w:rFonts w:ascii="Times New Roman" w:hAnsi="Times New Roman" w:cs="Times New Roman"/>
        </w:rPr>
        <w:t xml:space="preserve"> Advogada. </w:t>
      </w:r>
      <w:r w:rsidR="00FB0C54">
        <w:rPr>
          <w:rFonts w:ascii="Times New Roman" w:hAnsi="Times New Roman" w:cs="Times New Roman"/>
        </w:rPr>
        <w:t>biancacartagenes@gmail.com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34"/>
    <w:rsid w:val="0004042F"/>
    <w:rsid w:val="0006246C"/>
    <w:rsid w:val="000832FA"/>
    <w:rsid w:val="00156E3E"/>
    <w:rsid w:val="001A1BBD"/>
    <w:rsid w:val="001B2F34"/>
    <w:rsid w:val="00297099"/>
    <w:rsid w:val="002D58D2"/>
    <w:rsid w:val="00362B6A"/>
    <w:rsid w:val="004125EC"/>
    <w:rsid w:val="00423986"/>
    <w:rsid w:val="00484B89"/>
    <w:rsid w:val="00581AC3"/>
    <w:rsid w:val="006469C7"/>
    <w:rsid w:val="00666CC0"/>
    <w:rsid w:val="00786580"/>
    <w:rsid w:val="007C4020"/>
    <w:rsid w:val="007F11A2"/>
    <w:rsid w:val="008E37FF"/>
    <w:rsid w:val="008E6CAA"/>
    <w:rsid w:val="00910117"/>
    <w:rsid w:val="00956E78"/>
    <w:rsid w:val="009F1AE4"/>
    <w:rsid w:val="00A271A4"/>
    <w:rsid w:val="00AE755A"/>
    <w:rsid w:val="00B7186B"/>
    <w:rsid w:val="00C92037"/>
    <w:rsid w:val="00CF2155"/>
    <w:rsid w:val="00E71533"/>
    <w:rsid w:val="00EA01E8"/>
    <w:rsid w:val="00F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2506"/>
  <w15:chartTrackingRefBased/>
  <w15:docId w15:val="{2A3769E4-364F-4D39-85C1-5B09DE06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6E7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6E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F1A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1AE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F1AE4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56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56E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56E7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56E7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F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teidh.scjn.gob.mx/buscad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chr.coe.int/Documents/Kampala_Declaration_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r.coe.int/Documents/Joint_Report_2019_AfCHPR_ECHR_IACHR_ENG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AAA6-73E0-4FD7-9881-AE1D17CC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2002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Cartágenes Saraiva</dc:creator>
  <cp:keywords/>
  <dc:description/>
  <cp:lastModifiedBy>Bianca Cartágenes Saraiva</cp:lastModifiedBy>
  <cp:revision>3</cp:revision>
  <dcterms:created xsi:type="dcterms:W3CDTF">2021-11-20T14:15:00Z</dcterms:created>
  <dcterms:modified xsi:type="dcterms:W3CDTF">2021-11-23T00:29:00Z</dcterms:modified>
</cp:coreProperties>
</file>