
<file path=[Content_Types].xml><?xml version="1.0" encoding="utf-8"?>
<Types xmlns="http://schemas.openxmlformats.org/package/2006/content-types">
  <Default Extension="jp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RESUMO EXPANDIDO EPCA 2024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BD2E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Arial" w:eastAsia="Arial" w:hAnsi="Arial" w:cs="Arial"/>
          <w:b/>
          <w:color w:val="000000"/>
        </w:rPr>
      </w:pPr>
      <w:r w:rsidRPr="00BD2E11">
        <w:rPr>
          <w:rFonts w:ascii="Arial" w:eastAsia="Arial" w:hAnsi="Arial" w:cs="Arial"/>
          <w:b/>
          <w:color w:val="000000"/>
        </w:rPr>
        <w:t>A REEXISTÊNCIA DO GÊNERO FEMININO E UM POUCO DA SUA REALIDADE NA SOCIEDADE BRASILEIRA</w:t>
      </w:r>
      <w:r w:rsidR="00000000">
        <w:rPr>
          <w:rFonts w:ascii="Arial" w:eastAsia="Arial" w:hAnsi="Arial" w:cs="Arial"/>
          <w:b/>
          <w:color w:val="000000"/>
        </w:rPr>
        <w:t xml:space="preserve">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BD2E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Carla Georgia T. T. PINTO - UFPA</w:t>
      </w:r>
      <w:r w:rsidR="00000000">
        <w:rPr>
          <w:rFonts w:ascii="Arial" w:eastAsia="Arial" w:hAnsi="Arial" w:cs="Arial"/>
          <w:b/>
          <w:color w:val="000000"/>
          <w:vertAlign w:val="superscript"/>
        </w:rPr>
        <w:footnoteReference w:id="1"/>
      </w:r>
    </w:p>
    <w:p w:rsidR="002229EE" w:rsidRDefault="00BD2E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right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Marcely BORGES - UFPA</w:t>
      </w:r>
      <w:r w:rsidR="00000000">
        <w:rPr>
          <w:rFonts w:ascii="Arial" w:eastAsia="Arial" w:hAnsi="Arial" w:cs="Arial"/>
          <w:b/>
          <w:color w:val="000000"/>
          <w:vertAlign w:val="superscript"/>
        </w:rPr>
        <w:footnoteReference w:id="2"/>
      </w:r>
      <w:r w:rsidR="00000000">
        <w:rPr>
          <w:rFonts w:ascii="Arial" w:eastAsia="Arial" w:hAnsi="Arial" w:cs="Arial"/>
          <w:b/>
          <w:color w:val="000000"/>
        </w:rPr>
        <w:t xml:space="preserve">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RESUMO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BD2E11" w:rsidRDefault="00BD2E11" w:rsidP="00BD2E11">
      <w:pPr>
        <w:spacing w:line="24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Este artigo possui como objetivo principal investigar as representações sociais de três jovens surdas regularmente matriculadas em uma escola municipal na periferia de Belém-Pará, fazem de si, e como os impactos desses conceitos e ideias influenciam na constituição de suas identidades e, de modo especial, enfatizar a noção de feminismo que essas jovens possuem. A pesquisa possui a natureza qualitativa, construída e alicerçada na teoria das Representações Sociais e como os processos comunicacionais interferem na constituição do eu dessas jovens, ou seja, na forma como se concebem e compartilham simbologias importantes e profícuas de suas individualidades. No que diz respeito, aos conhecimentos teóricos desta pesquisa são fundamentados no campo da comunicação tendo como referência os conhecimentos gnosiológicos da surdez, do feminismo e das representações sociais. As reflexões finais elucidam os julgamentos que circundam nessas três jovens surdas e como são consolidadas em uma identidade pensada e apoiada na invisibilidade, segregação e discriminação que terceiros lhes conferem. Em contrapartida há em transformação nesta identidade que se encontra em recognição, com ares de empoderamento, assentada na consciência de suas particularidades e no reconhecimento delas.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BD2E11">
        <w:rPr>
          <w:rFonts w:ascii="Times New Roman" w:eastAsia="Arial" w:hAnsi="Times New Roman" w:cs="Times New Roman"/>
          <w:b/>
          <w:color w:val="000000"/>
        </w:rPr>
        <w:t xml:space="preserve">Palavras-chave: </w:t>
      </w:r>
      <w:r w:rsidR="00BD2E11">
        <w:rPr>
          <w:rFonts w:ascii="Times New Roman" w:hAnsi="Times New Roman" w:cs="Times New Roman"/>
          <w:sz w:val="24"/>
          <w:szCs w:val="24"/>
        </w:rPr>
        <w:t>Representações sociais; Instituição escolar pública; Jovens surdas; Feminismo; Preconceito.</w:t>
      </w:r>
    </w:p>
    <w:p w:rsidR="00BD2E11" w:rsidRDefault="00BD2E11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1. INTRODUÇÃO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Durante um longo período, várias comunidades consideradas inferiores foram posicionadas à margem da sociedade, subalternizadas. Essas comunidades que, em concordância com a história, foram ignoradas, possuem uma narrativa de vida ainda mais desditosa, sobretudo em relação à representação do seu eu, visto que é doloroso se </w:t>
      </w:r>
      <w:r>
        <w:rPr>
          <w:rFonts w:ascii="Times New Roman" w:hAnsi="Times New Roman" w:cs="Times New Roman"/>
          <w:sz w:val="24"/>
          <w:szCs w:val="24"/>
        </w:rPr>
        <w:lastRenderedPageBreak/>
        <w:t>experimentar resistente, empoderado e envaidecido na presença de exclusão, discriminação, homofobia, machismo e outros contornos de diferenças.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O diferente foi considerado como anormal fundamentado em uma suposta trivialidade da cultura, da linguagem e da identidade diferente daquilo que foge dos ditos padrões de normalidade, aqui entendida como colonizadora. Neste sentido, o colonizador configurado e alicerçado no domínio do outro, e na discriminação concebeu o outro diferente e, a este coube uma produção rigorosa desenvolvida por intermédio de uma conexão constante: “O outro que foi colonizado nos parece um outro sem nenhuma outra temporalidade ou a outra temporalidade a não ser aquelas que lhe designamos de uma vez por todas” (SKLIAR, 2003, p. 121).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Sendo assim, a presente pesquisa possui como propósito principal investigar as representações sociais que três Jovens Surdas regularmente matriculadas em uma escola pública municipal da periferia de Belém-Pará, fazem de si, e as repercussões dessas representações na formação de suas identidades e, de modo particular, elucidar as noções de feminismo que essas três Jovens Surdas possuem. Em síntese, esta pesquisa procura compreender: Quais as representações sociais que seis Jovens Surdas fazem de si e como essas representações sociais contribuem na formação da sua identidade?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Esta pesquisa possui uma temática de extrema relevância e contemporânea, fornece contribuição teórica para pesquisas no campo da educomunicação, cooperando na compreensão do ser Mulher Surda e simultaneamente no que concerne ao empoderamento feminino e a magnitude desse enfrentamento para as suas realizações, com tal característica. Baseado no estado da arte da pesquisa, evidencia-se que este estudo ainda é pouco discutido na academia, a relevância da representação social dessas Jovens Surdas em uma escola municipal da periferia de Belém-Pará, fornece orientações direcionadas a auxiliar a comunidade surda, bem como, a partir dessas três Jovens Surdas, compreender a Mulher Surda como um ser independente, corajosa, sensível e que luta pelo fim da violência e com um inesgotável desejo de viver numa sociedade diferente.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2. ANÁLISE E COMENTÁRIO DO CONTEÚDO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D2E11" w:rsidRDefault="00BD2E11" w:rsidP="00BD2E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No estudo das representações sociais acerca das três Jovens surdas, empregou-se a análise processual, elaborada por Moscovici (2015), Nesta pesquisa, utilizou-se os as concepções de ancoragens e objetivações vigentes nas falas das respectivas integrantes surdas, fundamentada em Trivinos (1987),na técnica da entrevista narrativa, e constituída em grupo, três Jovens Surdas regularmente matriculadas em uma escola pública localizada na periferia de Belém- Pará, que na ocasião falaram acerca da temática apresentada.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As entrevistas foram realizadas na respectiva escola, porém, acreditamos ser importante discutir antes a temática apresentando diversos vídeos, pode-se destacar: Mulheres surdas cobram políticas públicas de inclusão e de combate ao preconceito e à violência; Sou surda, Sou mulher; Encontro das mulheres surda de POA, esses vídeos estão disponíveis no Youtube. Deste modo, introduziu-se a discussão da legitimidade do ser mulher e ser surda, posteriormente, foram abordadas demandas a respeito dos vídeos. </w:t>
      </w:r>
    </w:p>
    <w:p w:rsidR="00BD2E11" w:rsidRDefault="00BD2E11" w:rsidP="00BD2E11">
      <w:pPr>
        <w:spacing w:line="360" w:lineRule="auto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Importante enfatizar que foram tomadas todas as providencias éticas, tais como: preservação da identidade das respectivas participantes da pesquisa, asseverou-se a discrição, a privacidade e o sigilo das informações coletadas. Decidiu-se pelo uso de nomes fictícios, que expressam força da natureza.</w:t>
      </w:r>
      <w:r w:rsidRPr="005C4EB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Na organização e investigação dos dados, foram usadas técnicas da análise de conteúdos em conformidade com Bardin (2010, p. 38) em razão disso “[...] conjunto de técnicas de análises de comunicações, que utiliza procedimentos sistemáticos e objetivos de descrição do conteúdo da mensagem”. A técnica mais relevante empregada nesta análise de conteúdo foi a sistematização, em uma cinesia de especificação, distinção e reunião, buscando responder o âmago do propósito da pesquisa.</w:t>
      </w:r>
    </w:p>
    <w:p w:rsidR="00BD2E11" w:rsidRDefault="00BD2E11" w:rsidP="00BD2E11">
      <w:pPr>
        <w:spacing w:line="360" w:lineRule="auto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 ordenação da análise foi produzida tendo em vista alguns conjuntos analíticos, sustentados pelas afinidades dos conteúdos procedentes das entrevistas às orientações teóricas e indispensáveis concepções que interpelam a temática em pauta (OLIVEIRA; MOTA NETO, 2011), especificamente: Representação Social, Mulher Surda e Feminismo. No decurso do processamento de classificação, revelaram-se especificações </w:t>
      </w:r>
      <w:r>
        <w:rPr>
          <w:rFonts w:ascii="Times New Roman" w:hAnsi="Times New Roman" w:cs="Times New Roman"/>
          <w:sz w:val="24"/>
          <w:szCs w:val="24"/>
        </w:rPr>
        <w:lastRenderedPageBreak/>
        <w:t xml:space="preserve">analíticas emergentes, tais como: (a) Mulher Surda dentro da compreensão da invisibilidade ao seu protagonismo; (b) As representações sociais que as três Jovens Surdas fazem de si enquanto ser Mulher e (c) A compreensão do feminismo. Essas concepções alicerçadas por Oliveira e Mota Neto (2011, p. 164) ao refletir que: “[...] a partir das falas e dos significados atribuídos ao fenômeno estudado, podem ser construídas novas categorias de análise”   </w:t>
      </w:r>
    </w:p>
    <w:p w:rsidR="00BD2E11" w:rsidRDefault="00BD2E11" w:rsidP="00BD2E11">
      <w:pPr>
        <w:spacing w:line="360" w:lineRule="auto"/>
        <w:ind w:firstLine="431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Este gênero comporta-se baseado na compreensão e pensamentos das integrantes no que concerne ao movimento feminista e a importância do espaço virtual para o empoderamento feminino. Visto que, movimento feminista opõem-se contra todas as matrizes de agressões as quais muitas mulheres são vítimas e, similarmente esforçam-se a procura da paridade de gêneros. O movimento feminista é um movimento plural, dado que no interior do feminismo erguem-se outras comunidades que se sistematizam fundamentadas nas suas demandas, práticas e ações. 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Pode-se asseverar que as mídias sociais se tornaram um instrumento poderoso para conter os abusos hodiernos em relação a mulher. Essas exercem uma função extremamente relevante no estabelecimento do empoderamento feminino, uma vez que, com o crescimento da internet como ferramenta de comunicação, processou-se inúmeras transformações, entre elas podemos citar: sociais e culturais. Esse aparato instaura possibilidades para discussão de conteúdos, os quais não seriam discutidos pelos meios de comunicação consuetudinário.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 xml:space="preserve">Na tessitura dessa narrativa, observa-se que vários blogs, Youtube, sites, páginas no Facebook versam amplamente acerca dos mais diversificados assuntos, contribuindo com a propagação e o entendimento a respeito dos conteúdos expostos. Complementando, Seabra e Dusse (2017) asseveram que “[...] a partir dessa facilidade em encontrar novas informações, as pessoas se deparam com termos que não são vistos na mídia tradicional, como o feminismo” (SEABRA e DUSSE, 2017, p. 16). Nesta perspectiva, as mídias sociais contribuem revelando também o negacionismo no que se refere aos direitos da mulher surda, nos constrangimentos vivenciados por elas, particularmente por não fazerem uso da língua oral e por perceberem o mundo de uma forma diferente que os </w:t>
      </w:r>
      <w:r>
        <w:rPr>
          <w:rFonts w:ascii="Times New Roman" w:hAnsi="Times New Roman" w:cs="Times New Roman"/>
          <w:sz w:val="24"/>
          <w:szCs w:val="24"/>
        </w:rPr>
        <w:lastRenderedPageBreak/>
        <w:t>ouvintes.  Por conseguinte, as mídias sociais podem cooperar com o feminismo, porquanto asseguram uma compreensão universal de suas numerosas tendências.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 xml:space="preserve">3. CONSIDERAÇÕES FINAIS  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À guisa de conclusão, podemos afirmar que na contemporaneidade, não obstante, aos progressos, da história de lutas e realizações, ainda há muitas mulheres invisibilizadas que são excluídas, violentadas nas mais diversas formas. Este estudo é somente um pequena mostra em que a mulher surda se encontra em um contexto maior de vulnerabilidade sobretudo a diversos discursos opressores, uma vez que a imagem de desqualificação, inaptidão e incompetência determinada à mulher surda pela sociedade, até este momento se sobressai e influência poderosamente na existência. </w:t>
      </w:r>
    </w:p>
    <w:p w:rsidR="00BD2E11" w:rsidRDefault="00BD2E11" w:rsidP="00BD2E11">
      <w:pPr>
        <w:spacing w:line="360" w:lineRule="auto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ab/>
        <w:t>Como podemos perceber para a mulher surda a potência da discriminação, segregação e exclusão ainda é maior. Como ir a uma delegacia fazer um boletim de ocorrência a fim de denunciar uma violência doméstica? Como fazer uma consulta de rotina com o ginecologista? Como dizer ao professor: “professor eu não entendi, o senhor pode repetir a explicação?</w:t>
      </w:r>
    </w:p>
    <w:p w:rsidR="00BD2E11" w:rsidRDefault="00BD2E11" w:rsidP="00BD2E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Precisamos sair desta zona de conforto, acreditando que existe inclusão no Brasil, que não há discriminação por ser mulher deficiente, relevante destacar a necessidade dos mesmos direitos que a mulher ouvinte possui a mulher surda também deve possuir, no entanto para esta ainda há muitos obstáculos a serem vencidos.</w:t>
      </w:r>
    </w:p>
    <w:p w:rsidR="00BD2E11" w:rsidRDefault="00BD2E11" w:rsidP="00BD2E11">
      <w:pPr>
        <w:spacing w:line="360" w:lineRule="auto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Políticas públicas direcionadas a comunicação em LIBRAS, precisam ser garantidas, visto que acessibilidade comunicacional é um direito e deve ser compreendida como valor e não como custo, respeitando a diferença linguística dessas mulheres, ou no caso, a presença efetiva de intérpretes nas diversas instituições sociais, em que hodiernamente também circulam mulheres surdas. Se faz necessário entendermos a importância do reconhecimento da LIBRAS como língua materna, e da mesma forma essa recognição torna-se um grande avanço para comunidade surda e essencial para o empoderamento da mulher surda, contribuindo na identificação da sua real importância, compreendendo seus direitos e deveres fundamentais para a promoção da igualdade de gênero e da inclusão social, livre das amarras do discurso pregado pelo capacitismo.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</w:p>
    <w:p w:rsidR="002229EE" w:rsidRDefault="00000000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b/>
          <w:color w:val="000000"/>
        </w:rPr>
      </w:pPr>
      <w:r>
        <w:rPr>
          <w:rFonts w:ascii="Arial" w:eastAsia="Arial" w:hAnsi="Arial" w:cs="Arial"/>
          <w:b/>
          <w:color w:val="000000"/>
        </w:rPr>
        <w:t>REFERÊNCIAS BIBLIOGRÁFICAS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firstLine="720"/>
        <w:jc w:val="both"/>
        <w:rPr>
          <w:rFonts w:ascii="Arial" w:eastAsia="Arial" w:hAnsi="Arial" w:cs="Arial"/>
          <w:color w:val="000000"/>
        </w:rPr>
      </w:pPr>
    </w:p>
    <w:p w:rsidR="00BD2E11" w:rsidRDefault="00BD2E11" w:rsidP="00BD2E11">
      <w:pPr>
        <w:pStyle w:val="NormalWeb"/>
        <w:shd w:val="clear" w:color="auto" w:fill="FFFFFF"/>
        <w:jc w:val="both"/>
        <w:rPr>
          <w:rFonts w:ascii="Helvetica" w:hAnsi="Helvetica" w:cs="Helvetica"/>
          <w:color w:val="222222"/>
        </w:rPr>
      </w:pPr>
      <w:r w:rsidRPr="00EB2BBC">
        <w:rPr>
          <w:color w:val="222222"/>
          <w:shd w:val="clear" w:color="auto" w:fill="FFFFFF"/>
        </w:rPr>
        <w:t>MOSCOVICI. </w:t>
      </w:r>
      <w:r w:rsidRPr="00EB2BBC">
        <w:rPr>
          <w:rStyle w:val="Forte"/>
          <w:color w:val="222222"/>
          <w:shd w:val="clear" w:color="auto" w:fill="FFFFFF"/>
        </w:rPr>
        <w:t>Representações sociais: investigações em psicologia social</w:t>
      </w:r>
      <w:r w:rsidRPr="00EB2BBC">
        <w:rPr>
          <w:color w:val="222222"/>
          <w:shd w:val="clear" w:color="auto" w:fill="FFFFFF"/>
        </w:rPr>
        <w:t>. 5. ed. Petropólis: Vozes, 2015.</w:t>
      </w:r>
      <w:r w:rsidRPr="00DB321E">
        <w:rPr>
          <w:rFonts w:ascii="Helvetica" w:hAnsi="Helvetica" w:cs="Helvetica"/>
          <w:color w:val="222222"/>
        </w:rPr>
        <w:t xml:space="preserve"> </w:t>
      </w:r>
    </w:p>
    <w:p w:rsidR="00BD2E11" w:rsidRDefault="00BD2E11" w:rsidP="00BD2E11">
      <w:pPr>
        <w:pStyle w:val="NormalWeb"/>
        <w:shd w:val="clear" w:color="auto" w:fill="FFFFFF"/>
        <w:jc w:val="both"/>
        <w:rPr>
          <w:color w:val="222222"/>
        </w:rPr>
      </w:pPr>
      <w:r w:rsidRPr="00435EF6">
        <w:rPr>
          <w:color w:val="222222"/>
        </w:rPr>
        <w:t xml:space="preserve">OLIVEIRA, I. A.; MOTA NETO, J. C. </w:t>
      </w:r>
      <w:r w:rsidRPr="00435EF6">
        <w:rPr>
          <w:b/>
          <w:bCs/>
          <w:color w:val="222222"/>
        </w:rPr>
        <w:t>A construção de categorias de análise na pesquisa em educação.</w:t>
      </w:r>
      <w:r>
        <w:rPr>
          <w:b/>
          <w:bCs/>
          <w:color w:val="222222"/>
        </w:rPr>
        <w:t xml:space="preserve"> </w:t>
      </w:r>
      <w:r>
        <w:rPr>
          <w:color w:val="222222"/>
        </w:rPr>
        <w:t>In: Marcondes, M. I; Oliveira, I. A.; Teixeira, E. (org.) Abordagens teóricas e construções metodológicas na pesquisa em educação. Belém: EDUEPA, 2011. P. 167-186.</w:t>
      </w:r>
    </w:p>
    <w:p w:rsidR="00BD2E11" w:rsidRDefault="00BD2E11" w:rsidP="00BD2E11">
      <w:pPr>
        <w:pStyle w:val="NormalWeb"/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SEABRA, A. C. C.; DUSSE, F. </w:t>
      </w:r>
      <w:r>
        <w:rPr>
          <w:b/>
          <w:bCs/>
          <w:color w:val="222222"/>
        </w:rPr>
        <w:t xml:space="preserve">Feminismo e Redes sociais: um estudo sobre empoderamento pela internet. </w:t>
      </w:r>
      <w:r w:rsidRPr="00435EF6">
        <w:rPr>
          <w:color w:val="222222"/>
        </w:rPr>
        <w:t>Interfac</w:t>
      </w:r>
      <w:r>
        <w:rPr>
          <w:color w:val="222222"/>
        </w:rPr>
        <w:t>i</w:t>
      </w:r>
      <w:r w:rsidRPr="00435EF6">
        <w:rPr>
          <w:color w:val="222222"/>
        </w:rPr>
        <w:t>s</w:t>
      </w:r>
      <w:r>
        <w:rPr>
          <w:color w:val="222222"/>
        </w:rPr>
        <w:t xml:space="preserve">, V. 3, n. 1, p. 13-32, 2017. Disponível em: </w:t>
      </w:r>
      <w:hyperlink r:id="rId7" w:history="1">
        <w:r w:rsidRPr="0069762A">
          <w:rPr>
            <w:rStyle w:val="Hyperlink"/>
          </w:rPr>
          <w:t>http://faciaead.com.br/ojs/index.php/intrefacis/article/view/74</w:t>
        </w:r>
      </w:hyperlink>
      <w:r>
        <w:rPr>
          <w:color w:val="222222"/>
        </w:rPr>
        <w:t>. Acesso em: 14 set. 2014</w:t>
      </w:r>
    </w:p>
    <w:p w:rsidR="00BD2E11" w:rsidRPr="00DB321E" w:rsidRDefault="00BD2E11" w:rsidP="00BD2E11">
      <w:pPr>
        <w:pStyle w:val="NormalWeb"/>
        <w:shd w:val="clear" w:color="auto" w:fill="FFFFFF"/>
        <w:jc w:val="both"/>
        <w:rPr>
          <w:color w:val="222222"/>
        </w:rPr>
      </w:pPr>
      <w:r>
        <w:rPr>
          <w:color w:val="222222"/>
        </w:rPr>
        <w:t xml:space="preserve"> </w:t>
      </w:r>
      <w:r w:rsidRPr="00DB321E">
        <w:rPr>
          <w:color w:val="222222"/>
        </w:rPr>
        <w:t>SKLIAR, Carlos. </w:t>
      </w:r>
      <w:r w:rsidRPr="00DB321E">
        <w:rPr>
          <w:rStyle w:val="Forte"/>
          <w:color w:val="222222"/>
        </w:rPr>
        <w:t>Pedagogia (improvável) da diferença: e se o outro não estivesse ai?</w:t>
      </w:r>
      <w:r w:rsidRPr="00DB321E">
        <w:rPr>
          <w:color w:val="222222"/>
        </w:rPr>
        <w:t> Rio de Janeiro: Dp&amp;A, 2003.</w:t>
      </w: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</w:rPr>
      </w:pPr>
    </w:p>
    <w:p w:rsidR="002229EE" w:rsidRDefault="002229EE">
      <w:pPr>
        <w:widowControl w:val="0"/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Arial" w:eastAsia="Arial" w:hAnsi="Arial" w:cs="Arial"/>
          <w:color w:val="000000"/>
          <w:sz w:val="24"/>
          <w:szCs w:val="24"/>
        </w:rPr>
      </w:pPr>
    </w:p>
    <w:sectPr w:rsidR="002229EE">
      <w:headerReference w:type="default" r:id="rId8"/>
      <w:footerReference w:type="default" r:id="rId9"/>
      <w:pgSz w:w="11906" w:h="16838"/>
      <w:pgMar w:top="1417" w:right="1701" w:bottom="1417" w:left="1701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:rsidR="003D6FCD" w:rsidRDefault="003D6FCD">
      <w:pPr>
        <w:spacing w:after="0" w:line="240" w:lineRule="auto"/>
      </w:pPr>
      <w:r>
        <w:separator/>
      </w:r>
    </w:p>
  </w:endnote>
  <w:endnote w:type="continuationSeparator" w:id="0">
    <w:p w:rsidR="003D6FCD" w:rsidRDefault="003D6FC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F9630645-3400-4BEC-9F14-495B820B9426}"/>
    <w:embedBold r:id="rId2" w:fontKey="{EE9FDB74-CCCF-4073-B0B5-87EB37BE7A7A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3" w:fontKey="{979FBBE6-298A-4BD0-A17D-0859CD300B2F}"/>
    <w:embedBold r:id="rId4" w:fontKey="{FC336D55-CC5A-490B-9B52-2384EECFC094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5" w:fontKey="{DD12A060-A733-4A79-A098-391E6531C3FF}"/>
    <w:embedItalic r:id="rId6" w:fontKey="{BAD56EAF-E3F0-42DC-B045-C80E96D3381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7" w:fontKey="{F6BB6679-64E2-4B76-9036-93CBCBA83F04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8" w:fontKey="{4CFE3C4A-9CDF-4415-9925-204DD8D1990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9" w:fontKey="{5A108CD5-EC4A-46FD-96B5-026F4039367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229EE" w:rsidRDefault="002229EE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ind w:left="-115"/>
      <w:rPr>
        <w:b/>
        <w:color w:val="000000"/>
        <w:sz w:val="28"/>
        <w:szCs w:val="28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:rsidR="003D6FCD" w:rsidRDefault="003D6FCD">
      <w:pPr>
        <w:spacing w:after="0" w:line="240" w:lineRule="auto"/>
      </w:pPr>
      <w:r>
        <w:separator/>
      </w:r>
    </w:p>
  </w:footnote>
  <w:footnote w:type="continuationSeparator" w:id="0">
    <w:p w:rsidR="003D6FCD" w:rsidRDefault="003D6FCD">
      <w:pPr>
        <w:spacing w:after="0" w:line="240" w:lineRule="auto"/>
      </w:pPr>
      <w:r>
        <w:continuationSeparator/>
      </w:r>
    </w:p>
  </w:footnote>
  <w:footnote w:id="1">
    <w:p w:rsidR="002229EE" w:rsidRPr="00BD2E11" w:rsidRDefault="00000000" w:rsidP="00BD2E11">
      <w:pPr>
        <w:pStyle w:val="Textodenotaderodap"/>
        <w:jc w:val="both"/>
        <w:rPr>
          <w:rFonts w:ascii="Arial" w:eastAsia="Times New Roman" w:hAnsi="Arial" w:cs="Arial"/>
          <w:lang w:eastAsia="pt-BR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</w:rPr>
        <w:t xml:space="preserve"> </w:t>
      </w:r>
      <w:r w:rsidR="00BD2E11" w:rsidRPr="00BD2E11">
        <w:rPr>
          <w:rFonts w:ascii="Times New Roman" w:eastAsia="Times New Roman" w:hAnsi="Times New Roman" w:cs="Times New Roman"/>
          <w:lang w:eastAsia="pt-BR"/>
        </w:rPr>
        <w:t>Doutoranda no Programa de Pós-Graduação em Comunicação, Cultura e Amazônia, carlageogria24@yahoo.com.br</w:t>
      </w:r>
    </w:p>
  </w:footnote>
  <w:footnote w:id="2">
    <w:p w:rsidR="002229EE" w:rsidRPr="00BD2E11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Times New Roman" w:eastAsia="Times New Roman" w:hAnsi="Times New Roman" w:cs="Times New Roman"/>
          <w:color w:val="000000"/>
          <w:sz w:val="18"/>
          <w:szCs w:val="18"/>
        </w:rPr>
      </w:pPr>
      <w:r>
        <w:rPr>
          <w:vertAlign w:val="superscript"/>
        </w:rPr>
        <w:footnoteRef/>
      </w:r>
      <w:r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 </w:t>
      </w:r>
      <w:r w:rsidR="00BD2E11" w:rsidRPr="00BD2E1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Mestra </w:t>
      </w:r>
      <w:r w:rsidR="00BD2E11">
        <w:rPr>
          <w:rFonts w:ascii="Times New Roman" w:eastAsia="Times New Roman" w:hAnsi="Times New Roman" w:cs="Times New Roman"/>
          <w:color w:val="000000"/>
          <w:sz w:val="20"/>
          <w:szCs w:val="20"/>
        </w:rPr>
        <w:t xml:space="preserve">pelo </w:t>
      </w:r>
      <w:r w:rsidR="00BD2E11" w:rsidRPr="00BD2E11">
        <w:rPr>
          <w:rFonts w:ascii="Times New Roman" w:eastAsia="Times New Roman" w:hAnsi="Times New Roman" w:cs="Times New Roman"/>
          <w:sz w:val="20"/>
          <w:szCs w:val="20"/>
        </w:rPr>
        <w:t>Programa de Pós-Graduação em Comunicação, Cultura e Amazônia</w:t>
      </w:r>
      <w:r w:rsidR="00BD2E11">
        <w:rPr>
          <w:rFonts w:ascii="Times New Roman" w:eastAsia="Times New Roman" w:hAnsi="Times New Roman" w:cs="Times New Roman"/>
          <w:sz w:val="20"/>
          <w:szCs w:val="20"/>
        </w:rPr>
        <w:t xml:space="preserve">, </w:t>
      </w:r>
      <w:r w:rsidR="00BD2E11" w:rsidRPr="00BD2E11">
        <w:rPr>
          <w:rFonts w:ascii="Times New Roman" w:eastAsia="Times New Roman" w:hAnsi="Times New Roman" w:cs="Times New Roman"/>
          <w:sz w:val="20"/>
          <w:szCs w:val="20"/>
        </w:rPr>
        <w:t>marcelyborges.jorn@gmail.com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:rsidR="002229EE" w:rsidRDefault="00000000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  <w:r>
      <w:rPr>
        <w:noProof/>
        <w:color w:val="000000"/>
      </w:rPr>
      <w:drawing>
        <wp:inline distT="0" distB="0" distL="0" distR="0">
          <wp:extent cx="5400040" cy="1080135"/>
          <wp:effectExtent l="0" t="0" r="0" b="0"/>
          <wp:docPr id="7" name="image1.jpg" descr="Cabeçalho_ModeloArtigo_Prancheta 1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jpg" descr="Cabeçalho_ModeloArtigo_Prancheta 1.jp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5400040" cy="10801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embedTrueTypeFonts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229EE"/>
    <w:rsid w:val="002229EE"/>
    <w:rsid w:val="003A17EB"/>
    <w:rsid w:val="003D6FCD"/>
    <w:rsid w:val="005E3F6E"/>
    <w:rsid w:val="00BD2E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77528F3"/>
  <w15:docId w15:val="{8C45DAC8-1B71-40AF-840A-CA58BAF525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Calibri" w:eastAsia="Calibri" w:hAnsi="Calibri" w:cs="Calibr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2"/>
    <w:next w:val="Normal2"/>
    <w:uiPriority w:val="9"/>
    <w:qFormat/>
    <w:rsid w:val="00470971"/>
    <w:pPr>
      <w:widowControl w:val="0"/>
      <w:spacing w:after="0" w:line="240" w:lineRule="auto"/>
      <w:ind w:left="213" w:right="62"/>
      <w:jc w:val="center"/>
      <w:outlineLvl w:val="0"/>
    </w:pPr>
    <w:rPr>
      <w:rFonts w:ascii="Arial Narrow" w:eastAsia="Arial Narrow" w:hAnsi="Arial Narrow" w:cs="Arial Narrow"/>
      <w:b/>
    </w:rPr>
  </w:style>
  <w:style w:type="paragraph" w:styleId="Ttulo2">
    <w:name w:val="heading 2"/>
    <w:basedOn w:val="Normal2"/>
    <w:next w:val="Normal2"/>
    <w:uiPriority w:val="9"/>
    <w:semiHidden/>
    <w:unhideWhenUsed/>
    <w:qFormat/>
    <w:rsid w:val="00470971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2"/>
    <w:next w:val="Normal2"/>
    <w:uiPriority w:val="9"/>
    <w:semiHidden/>
    <w:unhideWhenUsed/>
    <w:qFormat/>
    <w:rsid w:val="00470971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2"/>
    <w:next w:val="Normal2"/>
    <w:uiPriority w:val="9"/>
    <w:semiHidden/>
    <w:unhideWhenUsed/>
    <w:qFormat/>
    <w:rsid w:val="00470971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2"/>
    <w:next w:val="Normal2"/>
    <w:uiPriority w:val="9"/>
    <w:semiHidden/>
    <w:unhideWhenUsed/>
    <w:qFormat/>
    <w:rsid w:val="00470971"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2"/>
    <w:next w:val="Normal2"/>
    <w:uiPriority w:val="9"/>
    <w:semiHidden/>
    <w:unhideWhenUsed/>
    <w:qFormat/>
    <w:rsid w:val="00470971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2"/>
    <w:next w:val="Normal2"/>
    <w:uiPriority w:val="10"/>
    <w:qFormat/>
    <w:rsid w:val="00470971"/>
    <w:pPr>
      <w:keepNext/>
      <w:keepLines/>
      <w:spacing w:before="480" w:after="120"/>
    </w:pPr>
    <w:rPr>
      <w:b/>
      <w:sz w:val="72"/>
      <w:szCs w:val="72"/>
    </w:rPr>
  </w:style>
  <w:style w:type="paragraph" w:customStyle="1" w:styleId="Normal1">
    <w:name w:val="Normal1"/>
    <w:rsid w:val="00470971"/>
  </w:style>
  <w:style w:type="table" w:customStyle="1" w:styleId="TableNormal0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Normal2">
    <w:name w:val="Normal2"/>
    <w:rsid w:val="00470971"/>
  </w:style>
  <w:style w:type="table" w:customStyle="1" w:styleId="TableNormal1">
    <w:name w:val="Table Normal"/>
    <w:rsid w:val="00470971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a0">
    <w:basedOn w:val="TableNormal1"/>
    <w:rsid w:val="00470971"/>
    <w:pPr>
      <w:spacing w:after="0" w:line="240" w:lineRule="auto"/>
    </w:pPr>
    <w:tblPr>
      <w:tblStyleRowBandSize w:val="1"/>
      <w:tblStyleColBandSize w:val="1"/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extodebalo">
    <w:name w:val="Balloon Text"/>
    <w:basedOn w:val="Normal"/>
    <w:link w:val="TextodebaloChar"/>
    <w:uiPriority w:val="99"/>
    <w:semiHidden/>
    <w:unhideWhenUsed/>
    <w:rsid w:val="006772D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6772DC"/>
    <w:rPr>
      <w:rFonts w:ascii="Tahoma" w:hAnsi="Tahoma" w:cs="Tahoma"/>
      <w:sz w:val="16"/>
      <w:szCs w:val="16"/>
    </w:rPr>
  </w:style>
  <w:style w:type="paragraph" w:styleId="Cabealho">
    <w:name w:val="header"/>
    <w:basedOn w:val="Normal"/>
    <w:link w:val="Cabealho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6772DC"/>
  </w:style>
  <w:style w:type="paragraph" w:styleId="Rodap">
    <w:name w:val="footer"/>
    <w:basedOn w:val="Normal"/>
    <w:link w:val="RodapChar"/>
    <w:uiPriority w:val="99"/>
    <w:semiHidden/>
    <w:unhideWhenUsed/>
    <w:rsid w:val="006772DC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6772DC"/>
  </w:style>
  <w:style w:type="paragraph" w:styleId="Textodenotaderodap">
    <w:name w:val="footnote text"/>
    <w:basedOn w:val="Normal"/>
    <w:link w:val="TextodenotaderodapChar"/>
    <w:uiPriority w:val="99"/>
    <w:unhideWhenUsed/>
    <w:rsid w:val="00BD2E11"/>
    <w:pPr>
      <w:spacing w:after="0" w:line="240" w:lineRule="auto"/>
    </w:pPr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rsid w:val="00BD2E11"/>
    <w:rPr>
      <w:rFonts w:asciiTheme="minorHAnsi" w:eastAsiaTheme="minorHAnsi" w:hAnsiTheme="minorHAnsi" w:cstheme="minorBidi"/>
      <w:sz w:val="20"/>
      <w:szCs w:val="20"/>
      <w:lang w:eastAsia="en-US"/>
    </w:rPr>
  </w:style>
  <w:style w:type="character" w:styleId="Forte">
    <w:name w:val="Strong"/>
    <w:basedOn w:val="Fontepargpadro"/>
    <w:uiPriority w:val="22"/>
    <w:qFormat/>
    <w:rsid w:val="00BD2E11"/>
    <w:rPr>
      <w:b/>
      <w:bCs/>
    </w:rPr>
  </w:style>
  <w:style w:type="paragraph" w:styleId="NormalWeb">
    <w:name w:val="Normal (Web)"/>
    <w:basedOn w:val="Normal"/>
    <w:uiPriority w:val="99"/>
    <w:semiHidden/>
    <w:unhideWhenUsed/>
    <w:rsid w:val="00BD2E1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Hyperlink">
    <w:name w:val="Hyperlink"/>
    <w:basedOn w:val="Fontepargpadro"/>
    <w:uiPriority w:val="99"/>
    <w:unhideWhenUsed/>
    <w:rsid w:val="00BD2E11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://faciaead.com.br/ojs/index.php/intrefacis/article/view/74" TargetMode="Externa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KoqMhiVqQ0u9iV2u4W2s2JIIGag==">CgMxLjA4AHIhMWZ3cjJtZGZJemJzSWVtaHcyTVprVU1ucldIaXZKU0dO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6</Pages>
  <Words>1826</Words>
  <Characters>9863</Characters>
  <Application>Microsoft Office Word</Application>
  <DocSecurity>0</DocSecurity>
  <Lines>82</Lines>
  <Paragraphs>23</Paragraphs>
  <ScaleCrop>false</ScaleCrop>
  <Company/>
  <LinksUpToDate>false</LinksUpToDate>
  <CharactersWithSpaces>11666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Carla Georgia</cp:lastModifiedBy>
  <cp:revision>3</cp:revision>
  <dcterms:created xsi:type="dcterms:W3CDTF">2024-08-29T13:22:00Z</dcterms:created>
  <dcterms:modified xsi:type="dcterms:W3CDTF">2024-10-17T16:22:00Z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0x01010065A529ADCD4D7541AB86B5A45FD3FA75</vt:lpwstr>
  </property>
</Properties>
</file>