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02E6" w14:textId="77777777" w:rsidR="0052501C" w:rsidRDefault="00C9609C">
      <w:pPr>
        <w:pBdr>
          <w:top w:val="single" w:sz="8" w:space="0" w:color="C0C0C0"/>
          <w:left w:val="nil"/>
          <w:bottom w:val="nil"/>
          <w:right w:val="nil"/>
          <w:between w:val="nil"/>
        </w:pBdr>
        <w:spacing w:before="1100" w:after="0" w:line="276" w:lineRule="auto"/>
        <w:ind w:firstLine="0"/>
        <w:jc w:val="left"/>
        <w:rPr>
          <w:rFonts w:ascii="Open Sans" w:eastAsia="Open Sans" w:hAnsi="Open Sans" w:cs="Open Sans"/>
          <w:color w:val="C0C0C0"/>
          <w:sz w:val="56"/>
          <w:szCs w:val="56"/>
        </w:rPr>
        <w:sectPr w:rsidR="0052501C">
          <w:headerReference w:type="default" r:id="rId8"/>
          <w:footerReference w:type="default" r:id="rId9"/>
          <w:pgSz w:w="11907" w:h="16840"/>
          <w:pgMar w:top="1440" w:right="1800" w:bottom="1440" w:left="1800" w:header="720" w:footer="720" w:gutter="0"/>
          <w:pgNumType w:start="1"/>
          <w:cols w:space="720"/>
        </w:sectPr>
      </w:pPr>
      <w:bookmarkStart w:id="0" w:name="_heading=h.gjdgxs" w:colFirst="0" w:colLast="0"/>
      <w:bookmarkEnd w:id="0"/>
      <w:proofErr w:type="spellStart"/>
      <w:r>
        <w:rPr>
          <w:rFonts w:ascii="Open Sans" w:eastAsia="Open Sans" w:hAnsi="Open Sans" w:cs="Open Sans"/>
          <w:color w:val="C0C0C0"/>
          <w:sz w:val="56"/>
          <w:szCs w:val="56"/>
        </w:rPr>
        <w:t>Relato</w:t>
      </w:r>
      <w:proofErr w:type="spellEnd"/>
      <w:r>
        <w:rPr>
          <w:rFonts w:ascii="Open Sans" w:eastAsia="Open Sans" w:hAnsi="Open Sans" w:cs="Open Sans"/>
          <w:color w:val="C0C0C0"/>
          <w:sz w:val="56"/>
          <w:szCs w:val="56"/>
        </w:rPr>
        <w:t xml:space="preserve"> de </w:t>
      </w:r>
      <w:proofErr w:type="spellStart"/>
      <w:r>
        <w:rPr>
          <w:rFonts w:ascii="Open Sans" w:eastAsia="Open Sans" w:hAnsi="Open Sans" w:cs="Open Sans"/>
          <w:color w:val="C0C0C0"/>
          <w:sz w:val="56"/>
          <w:szCs w:val="56"/>
        </w:rPr>
        <w:t>Experiência</w:t>
      </w:r>
      <w:proofErr w:type="spellEnd"/>
      <w:r>
        <w:rPr>
          <w:rFonts w:ascii="Open Sans" w:eastAsia="Open Sans" w:hAnsi="Open Sans" w:cs="Open Sans"/>
          <w:color w:val="C0C0C0"/>
          <w:sz w:val="56"/>
          <w:szCs w:val="56"/>
        </w:rPr>
        <w:t xml:space="preserve"> </w:t>
      </w:r>
      <w:proofErr w:type="spellStart"/>
      <w:r>
        <w:rPr>
          <w:rFonts w:ascii="Open Sans" w:eastAsia="Open Sans" w:hAnsi="Open Sans" w:cs="Open Sans"/>
          <w:color w:val="C0C0C0"/>
          <w:sz w:val="56"/>
          <w:szCs w:val="56"/>
        </w:rPr>
        <w:t>Pibid</w:t>
      </w:r>
      <w:proofErr w:type="spellEnd"/>
      <w:r>
        <w:rPr>
          <w:rFonts w:ascii="Open Sans" w:eastAsia="Open Sans" w:hAnsi="Open Sans" w:cs="Open Sans"/>
          <w:color w:val="C0C0C0"/>
          <w:sz w:val="56"/>
          <w:szCs w:val="56"/>
        </w:rPr>
        <w:t>/RP/</w:t>
      </w:r>
      <w:proofErr w:type="spellStart"/>
      <w:r>
        <w:rPr>
          <w:rFonts w:ascii="Open Sans" w:eastAsia="Open Sans" w:hAnsi="Open Sans" w:cs="Open Sans"/>
          <w:color w:val="C0C0C0"/>
          <w:sz w:val="56"/>
          <w:szCs w:val="56"/>
        </w:rPr>
        <w:t>Alvorecer</w:t>
      </w:r>
      <w:proofErr w:type="spellEnd"/>
      <w:r>
        <w:rPr>
          <w:rFonts w:ascii="Open Sans" w:eastAsia="Open Sans" w:hAnsi="Open Sans" w:cs="Open Sans"/>
          <w:color w:val="C0C0C0"/>
          <w:sz w:val="56"/>
          <w:szCs w:val="56"/>
        </w:rPr>
        <w:t>/RP/</w:t>
      </w:r>
      <w:proofErr w:type="spellStart"/>
      <w:r>
        <w:rPr>
          <w:rFonts w:ascii="Open Sans" w:eastAsia="Open Sans" w:hAnsi="Open Sans" w:cs="Open Sans"/>
          <w:color w:val="C0C0C0"/>
          <w:sz w:val="56"/>
          <w:szCs w:val="56"/>
        </w:rPr>
        <w:t>Parfor</w:t>
      </w:r>
      <w:proofErr w:type="spellEnd"/>
    </w:p>
    <w:p w14:paraId="5E851668" w14:textId="77777777" w:rsidR="0052501C" w:rsidRDefault="00C9609C">
      <w:pPr>
        <w:pBdr>
          <w:top w:val="nil"/>
          <w:left w:val="nil"/>
          <w:bottom w:val="nil"/>
          <w:right w:val="nil"/>
          <w:between w:val="nil"/>
        </w:pBdr>
        <w:tabs>
          <w:tab w:val="left" w:pos="6630"/>
        </w:tabs>
        <w:spacing w:before="100" w:after="0" w:line="276" w:lineRule="auto"/>
        <w:ind w:firstLine="0"/>
        <w:jc w:val="left"/>
        <w:rPr>
          <w:rFonts w:ascii="Open Sans" w:eastAsia="Open Sans" w:hAnsi="Open Sans" w:cs="Open Sans"/>
          <w:color w:val="000000"/>
          <w:sz w:val="40"/>
          <w:szCs w:val="40"/>
        </w:rPr>
      </w:pPr>
      <w:r>
        <w:rPr>
          <w:rFonts w:ascii="Open Sans" w:eastAsia="Open Sans" w:hAnsi="Open Sans" w:cs="Open Sans"/>
          <w:color w:val="000000"/>
          <w:sz w:val="40"/>
          <w:szCs w:val="40"/>
        </w:rPr>
        <w:tab/>
      </w:r>
    </w:p>
    <w:p w14:paraId="32B98081" w14:textId="6D7CCA63" w:rsidR="0052501C" w:rsidRDefault="00C9609C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VIVENCIANDO RUPTURAS E DESCONSTRUÇÕES COMO BOLSISTAS DO PIBID DE LÍNGUA INGLESA</w:t>
      </w:r>
    </w:p>
    <w:p w14:paraId="11839DD9" w14:textId="77777777" w:rsidR="0052501C" w:rsidRDefault="0052501C">
      <w:pPr>
        <w:spacing w:line="276" w:lineRule="auto"/>
        <w:ind w:firstLine="0"/>
        <w:jc w:val="left"/>
        <w:rPr>
          <w:rFonts w:ascii="Open Sans" w:eastAsia="Open Sans" w:hAnsi="Open Sans" w:cs="Open Sans"/>
          <w:sz w:val="28"/>
          <w:szCs w:val="28"/>
        </w:rPr>
      </w:pPr>
    </w:p>
    <w:p w14:paraId="014B3E2A" w14:textId="77777777" w:rsidR="0052501C" w:rsidRDefault="00C9609C">
      <w:pPr>
        <w:shd w:val="clear" w:color="auto" w:fill="FFFFFF"/>
        <w:spacing w:line="276" w:lineRule="auto"/>
        <w:ind w:left="-20" w:right="-20" w:firstLine="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Deborah Sousa Dias- Email: </w:t>
      </w:r>
      <w:hyperlink r:id="rId10">
        <w:r>
          <w:rPr>
            <w:rFonts w:ascii="Open Sans" w:eastAsia="Open Sans" w:hAnsi="Open Sans" w:cs="Open Sans"/>
            <w:color w:val="1155CC"/>
            <w:u w:val="single"/>
          </w:rPr>
          <w:t>debby@gmail.com</w:t>
        </w:r>
      </w:hyperlink>
      <w:r>
        <w:rPr>
          <w:rFonts w:ascii="Open Sans" w:eastAsia="Open Sans" w:hAnsi="Open Sans" w:cs="Open Sans"/>
          <w:vertAlign w:val="superscript"/>
        </w:rPr>
        <w:footnoteReference w:id="1"/>
      </w:r>
    </w:p>
    <w:p w14:paraId="3E9C8ACE" w14:textId="77777777" w:rsidR="0052501C" w:rsidRDefault="00C9609C">
      <w:pPr>
        <w:spacing w:line="276" w:lineRule="auto"/>
        <w:ind w:firstLine="0"/>
        <w:jc w:val="right"/>
        <w:rPr>
          <w:rFonts w:ascii="Roboto" w:eastAsia="Roboto" w:hAnsi="Roboto" w:cs="Roboto"/>
          <w:color w:val="1F1F1F"/>
          <w:sz w:val="21"/>
          <w:szCs w:val="21"/>
        </w:rPr>
      </w:pPr>
      <w:proofErr w:type="spellStart"/>
      <w:r>
        <w:rPr>
          <w:rFonts w:ascii="Open Sans" w:eastAsia="Open Sans" w:hAnsi="Open Sans" w:cs="Open Sans"/>
        </w:rPr>
        <w:t>Erivânia</w:t>
      </w:r>
      <w:proofErr w:type="spellEnd"/>
      <w:r>
        <w:rPr>
          <w:rFonts w:ascii="Open Sans" w:eastAsia="Open Sans" w:hAnsi="Open Sans" w:cs="Open Sans"/>
        </w:rPr>
        <w:t xml:space="preserve"> Batista Costa- Email:   </w:t>
      </w:r>
      <w:hyperlink r:id="rId11">
        <w:r>
          <w:rPr>
            <w:rFonts w:ascii="Open Sans" w:eastAsia="Open Sans" w:hAnsi="Open Sans" w:cs="Open Sans"/>
            <w:color w:val="0000FF"/>
            <w:u w:val="single"/>
          </w:rPr>
          <w:t>erivania.batista@mail.uft.edu.br</w:t>
        </w:r>
      </w:hyperlink>
      <w:r>
        <w:rPr>
          <w:rFonts w:ascii="Roboto" w:eastAsia="Roboto" w:hAnsi="Roboto" w:cs="Roboto"/>
          <w:color w:val="1F1F1F"/>
          <w:sz w:val="21"/>
          <w:szCs w:val="21"/>
          <w:vertAlign w:val="superscript"/>
        </w:rPr>
        <w:footnoteReference w:id="2"/>
      </w:r>
    </w:p>
    <w:p w14:paraId="1685C77F" w14:textId="77777777" w:rsidR="0052501C" w:rsidRDefault="00C9609C">
      <w:pPr>
        <w:spacing w:line="276" w:lineRule="auto"/>
        <w:ind w:firstLine="0"/>
        <w:jc w:val="right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Jhenifer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Campelo</w:t>
      </w:r>
      <w:proofErr w:type="spellEnd"/>
      <w:r>
        <w:rPr>
          <w:rFonts w:ascii="Open Sans" w:eastAsia="Open Sans" w:hAnsi="Open Sans" w:cs="Open Sans"/>
        </w:rPr>
        <w:t xml:space="preserve"> Cavalcante- Email: </w:t>
      </w:r>
      <w:hyperlink r:id="rId12">
        <w:r>
          <w:rPr>
            <w:rFonts w:ascii="Open Sans" w:eastAsia="Open Sans" w:hAnsi="Open Sans" w:cs="Open Sans"/>
            <w:color w:val="0000FF"/>
            <w:u w:val="single"/>
          </w:rPr>
          <w:t>jhenifer.cavalcante@mail.uft.edu.br</w:t>
        </w:r>
      </w:hyperlink>
      <w:r>
        <w:rPr>
          <w:rFonts w:ascii="Open Sans" w:eastAsia="Open Sans" w:hAnsi="Open Sans" w:cs="Open Sans"/>
          <w:vertAlign w:val="superscript"/>
        </w:rPr>
        <w:footnoteReference w:id="3"/>
      </w:r>
    </w:p>
    <w:p w14:paraId="25431D18" w14:textId="77777777" w:rsidR="0052501C" w:rsidRDefault="00C9609C">
      <w:pPr>
        <w:spacing w:line="276" w:lineRule="auto"/>
        <w:ind w:firstLine="0"/>
        <w:jc w:val="right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Maycon</w:t>
      </w:r>
      <w:proofErr w:type="spellEnd"/>
      <w:r>
        <w:rPr>
          <w:rFonts w:ascii="Open Sans" w:eastAsia="Open Sans" w:hAnsi="Open Sans" w:cs="Open Sans"/>
        </w:rPr>
        <w:t xml:space="preserve"> Douglas </w:t>
      </w:r>
      <w:proofErr w:type="spellStart"/>
      <w:r>
        <w:rPr>
          <w:rFonts w:ascii="Open Sans" w:eastAsia="Open Sans" w:hAnsi="Open Sans" w:cs="Open Sans"/>
        </w:rPr>
        <w:t>Meneses</w:t>
      </w:r>
      <w:proofErr w:type="spellEnd"/>
      <w:r>
        <w:rPr>
          <w:rFonts w:ascii="Open Sans" w:eastAsia="Open Sans" w:hAnsi="Open Sans" w:cs="Open Sans"/>
        </w:rPr>
        <w:t xml:space="preserve"> de An</w:t>
      </w:r>
      <w:r>
        <w:rPr>
          <w:rFonts w:ascii="Open Sans" w:eastAsia="Open Sans" w:hAnsi="Open Sans" w:cs="Open Sans"/>
        </w:rPr>
        <w:t xml:space="preserve">drade- Email: </w:t>
      </w:r>
      <w:hyperlink r:id="rId13">
        <w:r>
          <w:rPr>
            <w:rFonts w:ascii="Open Sans" w:eastAsia="Open Sans" w:hAnsi="Open Sans" w:cs="Open Sans"/>
            <w:color w:val="0000FF"/>
            <w:u w:val="single"/>
          </w:rPr>
          <w:t>maycon.meneses@mail.uft.edu.br</w:t>
        </w:r>
      </w:hyperlink>
      <w:r>
        <w:rPr>
          <w:rFonts w:ascii="Open Sans" w:eastAsia="Open Sans" w:hAnsi="Open Sans" w:cs="Open Sans"/>
          <w:vertAlign w:val="superscript"/>
        </w:rPr>
        <w:footnoteReference w:id="4"/>
      </w:r>
    </w:p>
    <w:p w14:paraId="1ABFDFE9" w14:textId="77777777" w:rsidR="0052501C" w:rsidRDefault="00C9609C">
      <w:pPr>
        <w:spacing w:line="276" w:lineRule="auto"/>
        <w:ind w:firstLine="0"/>
        <w:jc w:val="right"/>
      </w:pPr>
      <w:proofErr w:type="spellStart"/>
      <w:r>
        <w:rPr>
          <w:rFonts w:ascii="Open Sans" w:eastAsia="Open Sans" w:hAnsi="Open Sans" w:cs="Open Sans"/>
        </w:rPr>
        <w:t>Verissimo</w:t>
      </w:r>
      <w:proofErr w:type="spellEnd"/>
      <w:r>
        <w:rPr>
          <w:rFonts w:ascii="Open Sans" w:eastAsia="Open Sans" w:hAnsi="Open Sans" w:cs="Open Sans"/>
        </w:rPr>
        <w:t xml:space="preserve"> José Cruz </w:t>
      </w:r>
      <w:proofErr w:type="spellStart"/>
      <w:r>
        <w:rPr>
          <w:rFonts w:ascii="Open Sans" w:eastAsia="Open Sans" w:hAnsi="Open Sans" w:cs="Open Sans"/>
        </w:rPr>
        <w:t>Guimarães</w:t>
      </w:r>
      <w:proofErr w:type="spellEnd"/>
      <w:r>
        <w:rPr>
          <w:rFonts w:ascii="Open Sans" w:eastAsia="Open Sans" w:hAnsi="Open Sans" w:cs="Open Sans"/>
        </w:rPr>
        <w:t xml:space="preserve">- Email: </w:t>
      </w:r>
      <w:hyperlink r:id="rId14">
        <w:r>
          <w:rPr>
            <w:rFonts w:ascii="Open Sans" w:eastAsia="Open Sans" w:hAnsi="Open Sans" w:cs="Open Sans"/>
            <w:color w:val="0000FF"/>
            <w:u w:val="single"/>
          </w:rPr>
          <w:t>verissimo.guimaraes@mail.uft.edu.br</w:t>
        </w:r>
      </w:hyperlink>
      <w:r>
        <w:rPr>
          <w:vertAlign w:val="superscript"/>
        </w:rPr>
        <w:footnoteReference w:id="5"/>
      </w:r>
    </w:p>
    <w:p w14:paraId="4DFDBE57" w14:textId="77777777" w:rsidR="0052501C" w:rsidRDefault="0052501C">
      <w:pPr>
        <w:spacing w:line="276" w:lineRule="auto"/>
        <w:ind w:firstLine="0"/>
        <w:jc w:val="right"/>
      </w:pPr>
    </w:p>
    <w:p w14:paraId="1A7C0180" w14:textId="77777777" w:rsidR="0052501C" w:rsidRDefault="0052501C">
      <w:pPr>
        <w:ind w:firstLine="0"/>
      </w:pPr>
    </w:p>
    <w:p w14:paraId="22524293" w14:textId="77777777" w:rsidR="0052501C" w:rsidRDefault="00C9609C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CIÊNCIAS HUM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ANAS, SOCIAIS APLICADAS E LETRAS.</w:t>
      </w:r>
    </w:p>
    <w:p w14:paraId="48D0C849" w14:textId="77777777" w:rsidR="0052501C" w:rsidRDefault="0052501C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A06BEB" w14:textId="77777777" w:rsidR="0052501C" w:rsidRDefault="0052501C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58D038" w14:textId="77777777" w:rsidR="0052501C" w:rsidRDefault="0052501C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38B083" w14:textId="77777777" w:rsidR="0052501C" w:rsidRDefault="0052501C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D865F5" w14:textId="77777777" w:rsidR="0052501C" w:rsidRDefault="0052501C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CC6189" w14:textId="77777777" w:rsidR="0052501C" w:rsidRDefault="0052501C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C6B670" w14:textId="77777777" w:rsidR="0052501C" w:rsidRDefault="0052501C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51AF39" w14:textId="77777777" w:rsidR="0052501C" w:rsidRDefault="0052501C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BBCA98" w14:textId="77777777" w:rsidR="0052501C" w:rsidRDefault="0052501C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57D520" w14:textId="77777777" w:rsidR="0052501C" w:rsidRDefault="0052501C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AA4593" w14:textId="77777777" w:rsidR="00A36934" w:rsidRDefault="00A36934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3CDA93" w14:textId="77777777" w:rsidR="00A36934" w:rsidRDefault="00A36934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F884B1" w14:textId="77777777" w:rsidR="00A36934" w:rsidRDefault="00A36934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CFA823" w14:textId="77777777" w:rsidR="00A36934" w:rsidRDefault="00A36934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81767" w14:textId="3A7BB6B9" w:rsidR="0052501C" w:rsidRDefault="00C9609C" w:rsidP="00A36934">
      <w:pPr>
        <w:spacing w:before="0" w:after="0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65C677BF" w14:textId="77777777" w:rsidR="0052501C" w:rsidRDefault="00C9609C" w:rsidP="00A36934">
      <w:pPr>
        <w:spacing w:before="0"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trabalho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relatar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experiências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vivenciadas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graduandos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Institucional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Iniciação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(PIBID)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núcleo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Língua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Inglesa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(LI).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futuros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docentes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observaram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dinâmica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aula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discursos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permeiam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língua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inglesa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apresentado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elaboração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aula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  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abordando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modo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preparada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aula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aprendizagem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Emerge,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portanto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</w:t>
      </w:r>
      <w:r>
        <w:rPr>
          <w:rFonts w:ascii="Times New Roman" w:eastAsia="Times New Roman" w:hAnsi="Times New Roman" w:cs="Times New Roman"/>
          <w:sz w:val="24"/>
          <w:szCs w:val="24"/>
        </w:rPr>
        <w:t>essidade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trabalhar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criticamente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a LI,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tornando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necessário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problematizar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questionar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desconstruir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romper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conceitos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método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pesquisa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trabalho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qualitativo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envolve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sensações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percepções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opiniões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pibidianos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tiveram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vivenciar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experiências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Apoiando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discussões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(2018) e Lima (2011)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LI,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PIBID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conseguiram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romper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concepções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aprendizado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LI,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permitindo-lhes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elaboração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aulas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significativas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enriquecedoras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EC971A" w14:textId="77777777" w:rsidR="0052501C" w:rsidRDefault="00C9609C" w:rsidP="00A36934">
      <w:pPr>
        <w:spacing w:before="0"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6934">
        <w:rPr>
          <w:rFonts w:ascii="Times New Roman" w:eastAsia="Times New Roman" w:hAnsi="Times New Roman" w:cs="Times New Roman"/>
          <w:b/>
          <w:bCs/>
          <w:sz w:val="24"/>
          <w:szCs w:val="24"/>
        </w:rPr>
        <w:t>Palavras-chave</w:t>
      </w:r>
      <w:proofErr w:type="spellEnd"/>
      <w:r w:rsidRPr="00A3693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Ensino;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Experiências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Língua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Inglesa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PIBID.</w:t>
      </w:r>
    </w:p>
    <w:p w14:paraId="586DB4A8" w14:textId="77777777" w:rsidR="0052501C" w:rsidRDefault="0052501C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9132EB4" w14:textId="57D7749B" w:rsidR="0052501C" w:rsidRPr="00A36934" w:rsidRDefault="00C9609C" w:rsidP="00A36934">
      <w:pPr>
        <w:spacing w:before="0" w:after="80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I.INTRODUÇÃO</w:t>
      </w:r>
    </w:p>
    <w:p w14:paraId="4FF38E66" w14:textId="77777777" w:rsidR="0052501C" w:rsidRDefault="00C9609C" w:rsidP="00A36934">
      <w:pPr>
        <w:spacing w:before="0"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trabalho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algumas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experiências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reflexões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práticas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vivenciadas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bolsistas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Instituciona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Iniciação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(PIBID)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núcleo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Língua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Inglesa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(LI),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Escola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Pública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Araguaína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-TO. O PIBID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oferecer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bolsistas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primeiros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Graduação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Licenciatura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experiênci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teórico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inserindo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futuros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rotina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escolar do Ensino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Básico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objetivos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específicos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discutir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adaptação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aula,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destacar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alguns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relevantes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vivenciados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aula,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contribuirão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apresentar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elaboração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6°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abordando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planejamento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AAC52E" w14:textId="77777777" w:rsidR="0052501C" w:rsidRDefault="00C9609C" w:rsidP="00A36934">
      <w:pPr>
        <w:spacing w:before="0"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PIBID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horária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12 horas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divididas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escolas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sob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orientação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professoras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supervisoras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Federal do Norte do Tocantins (UFNT), sob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orientação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coordenadora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encontros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UFNT,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debatemos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elaboramos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micro-aulas,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apresentamos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seminários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trocamos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experiências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escolas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planejamos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aulas,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orientamos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monitorias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jogos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brincadeiras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pesquisamos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atividades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enriquecermos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aulas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aprendizagem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LI. </w:t>
      </w:r>
    </w:p>
    <w:p w14:paraId="6BE670C1" w14:textId="77777777" w:rsidR="00A36934" w:rsidRDefault="00C9609C" w:rsidP="00A36934">
      <w:pPr>
        <w:spacing w:before="0"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trajetória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dividida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alguns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princípio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orientados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observar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 local,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explorando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escolar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estabelecendo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conexões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significativas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professores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modo,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verificamos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estrutura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local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recursos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disponíveis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ensin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aprendizagem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LI. Tais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conhecimentos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experiências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desencadearam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bolsistas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possibilidade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reflexão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crítica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pois,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futuros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preciso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inseridos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sob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27F620" w14:textId="77777777" w:rsidR="00A36934" w:rsidRDefault="00A36934" w:rsidP="00A36934">
      <w:pPr>
        <w:spacing w:before="0"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78E513A" w14:textId="77777777" w:rsidR="00A36934" w:rsidRDefault="00A36934" w:rsidP="00A36934">
      <w:pPr>
        <w:spacing w:before="0"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5A1A4F3" w14:textId="77777777" w:rsidR="00A36934" w:rsidRDefault="00A36934" w:rsidP="00A36934">
      <w:pPr>
        <w:spacing w:before="0"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E4597F1" w14:textId="77777777" w:rsidR="00A36934" w:rsidRDefault="00A36934" w:rsidP="00A36934">
      <w:pPr>
        <w:spacing w:before="0"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21DB06D" w14:textId="77777777" w:rsidR="00A36934" w:rsidRDefault="00A36934" w:rsidP="00A36934">
      <w:pPr>
        <w:spacing w:before="0"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E9D5599" w14:textId="77777777" w:rsidR="00A36934" w:rsidRDefault="00A36934" w:rsidP="00A36934">
      <w:pPr>
        <w:spacing w:before="0"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C71B080" w14:textId="77777777" w:rsidR="00A36934" w:rsidRDefault="00A36934" w:rsidP="00A36934">
      <w:pPr>
        <w:spacing w:before="0"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B5B65A8" w14:textId="5F5073A7" w:rsidR="0052501C" w:rsidRDefault="00C9609C" w:rsidP="00A36934">
      <w:pPr>
        <w:spacing w:before="0"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vista social, cultural,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econômico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político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pensarmos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atuais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graduação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579FBE" w14:textId="77777777" w:rsidR="0052501C" w:rsidRDefault="00C9609C" w:rsidP="00A36934">
      <w:pPr>
        <w:spacing w:before="0"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compreensão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dessas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conjunturas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planejamento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aula 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às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professoras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supervisoras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Nesta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auxiliamos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atividades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entendimento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conteúdos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8982153" w14:textId="77777777" w:rsidR="0052501C" w:rsidRDefault="00C9609C" w:rsidP="00A36934">
      <w:pPr>
        <w:spacing w:before="0"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terceiro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começamos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monitores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aulas.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orientados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colaborar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aulas,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prestando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ocada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íamos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carteiras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explicávamos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individualmente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chamavam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laços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fortalecendo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tornou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aulas. E no quarto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planejamos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aula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desenvol</w:t>
      </w:r>
      <w:r>
        <w:rPr>
          <w:rFonts w:ascii="Times New Roman" w:eastAsia="Times New Roman" w:hAnsi="Times New Roman" w:cs="Times New Roman"/>
          <w:sz w:val="24"/>
          <w:szCs w:val="24"/>
        </w:rPr>
        <w:t>vê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-la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bolsista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ficou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responsável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aula.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planejamos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o 6º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aula com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“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Foods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)” a qual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relataremos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adiante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435D2B" w14:textId="77777777" w:rsidR="0052501C" w:rsidRDefault="00C9609C" w:rsidP="00A36934">
      <w:pPr>
        <w:spacing w:before="0"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Durante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etapas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mencionadas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ancorados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alguns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Letramento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Crítico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Duboc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2018,  Montemór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,2006,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Alencar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2017, Aguiar, 2023), o modo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interagiam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língua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inglesa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sentiam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LI,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aula,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discursos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desmotiva</w:t>
      </w:r>
      <w:r>
        <w:rPr>
          <w:rFonts w:ascii="Times New Roman" w:eastAsia="Times New Roman" w:hAnsi="Times New Roman" w:cs="Times New Roman"/>
          <w:sz w:val="24"/>
          <w:szCs w:val="24"/>
        </w:rPr>
        <w:t>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leituras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compreendemos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letramento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crítico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filosofia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visa romper com o senso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desestabilizando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padrão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cultural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hegemônico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problematizações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desnaturalização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desconstrução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pensamentos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estruturais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estereotipados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algumas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leituras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debates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LI.   </w:t>
      </w:r>
    </w:p>
    <w:p w14:paraId="565A29BD" w14:textId="77777777" w:rsidR="0052501C" w:rsidRDefault="00C9609C" w:rsidP="00A36934">
      <w:pPr>
        <w:spacing w:before="0"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depararmos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desmotivação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autoestima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LI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frequentes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aulas),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buscamos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problematizar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questionar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desconstrui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romper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alguns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discursos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negativos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vindos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deles.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algumas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precisamos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”;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língua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serventia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”;“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precisamos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dela para nada”; “a aula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”;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ouvirmos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procuramos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apenas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contribuir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preparação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aulas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interessantes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significativas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levantar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reflexões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“Por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você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?”; “Se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fosse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pessoas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estariam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aprendê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-la?”;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Você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horária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espaço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LI?”; “Se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tivesse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espaço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lúdico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você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 “;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espaços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lúdicos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?”; e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fluente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?”.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levantamos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reflexões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problematizações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procuramos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discursos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fracasso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conformistas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naturalizados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mas sim,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questionados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desconstruídos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Durante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encontros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teóricos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UFNT,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experiências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conhecimento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 Yes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orrer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dominar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língua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inglesa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e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Inglês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Escola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Pública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Funciona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2018,; Lima, 2011)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fundamentais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desenvolvimento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senso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crítico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capacidade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debate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crítico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Acreditamos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leituras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ajudam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construirmos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pensamento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crítico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propulsor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atitudes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reconstrutivas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escolar. </w:t>
      </w:r>
    </w:p>
    <w:p w14:paraId="5C001FE2" w14:textId="77777777" w:rsidR="0052501C" w:rsidRDefault="0052501C" w:rsidP="00A36934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5CCA369" w14:textId="77777777" w:rsidR="00A36934" w:rsidRDefault="00A36934" w:rsidP="00A36934">
      <w:pPr>
        <w:spacing w:before="0" w:after="0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C9A4CE" w14:textId="77777777" w:rsidR="00A36934" w:rsidRDefault="00A36934" w:rsidP="00A36934">
      <w:pPr>
        <w:spacing w:before="0" w:after="0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E12FFE" w14:textId="77777777" w:rsidR="00A36934" w:rsidRDefault="00A36934" w:rsidP="00A36934">
      <w:pPr>
        <w:spacing w:before="0" w:after="0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04E152" w14:textId="77777777" w:rsidR="00A36934" w:rsidRDefault="00A36934" w:rsidP="00A36934">
      <w:pPr>
        <w:spacing w:before="0" w:after="0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AC9AB3" w14:textId="77777777" w:rsidR="00A36934" w:rsidRDefault="00A36934" w:rsidP="00A36934">
      <w:pPr>
        <w:spacing w:before="0" w:after="0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09B95E" w14:textId="77777777" w:rsidR="00A36934" w:rsidRDefault="00A36934" w:rsidP="00A36934">
      <w:pPr>
        <w:spacing w:before="0" w:after="0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26E63B" w14:textId="77777777" w:rsidR="00A36934" w:rsidRDefault="00A36934" w:rsidP="00A36934">
      <w:pPr>
        <w:spacing w:before="0" w:after="0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E9A306" w14:textId="77777777" w:rsidR="00A36934" w:rsidRDefault="00A36934" w:rsidP="00A36934">
      <w:pPr>
        <w:spacing w:before="0" w:after="0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E0A0AC" w14:textId="5B5DB4B0" w:rsidR="00A36934" w:rsidRPr="00A36934" w:rsidRDefault="00C9609C" w:rsidP="00A36934">
      <w:pPr>
        <w:spacing w:before="0" w:after="0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II.EXPERIENCIAR O APRENDER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ENSINAR- A AULA FOODS</w:t>
      </w:r>
    </w:p>
    <w:p w14:paraId="1595BA09" w14:textId="22D29667" w:rsidR="0052501C" w:rsidRDefault="00C9609C" w:rsidP="00A36934">
      <w:pPr>
        <w:spacing w:before="0"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período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assistência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às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aulas,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graduandos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dquiriram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compreensão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profunda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práticas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planejamento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aula. E, para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ocorresse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fundamental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debates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questões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reverberam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aprendizado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LI.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sentido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elaboramos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aulas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conduziram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detalhamos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aula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Foods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idealizada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o 6º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0E9F0C" w14:textId="77777777" w:rsidR="0052501C" w:rsidRDefault="00C9609C" w:rsidP="00A36934">
      <w:pPr>
        <w:spacing w:before="0"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Como base para a aula,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seguimos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aula,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denominado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“PPP- Presentation, Practice, Production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</w:t>
      </w:r>
      <w:r>
        <w:rPr>
          <w:rFonts w:ascii="Times New Roman" w:eastAsia="Times New Roman" w:hAnsi="Times New Roman" w:cs="Times New Roman"/>
          <w:sz w:val="24"/>
          <w:szCs w:val="24"/>
        </w:rPr>
        <w:t>sentação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)” (Richards, 2015),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etapas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“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Warm-up, Presentation, Practice, Production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Evaluation”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O “Warm-up”,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aquecimentos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antes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início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aula,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rápida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brincad</w:t>
      </w:r>
      <w:r>
        <w:rPr>
          <w:rFonts w:ascii="Times New Roman" w:eastAsia="Times New Roman" w:hAnsi="Times New Roman" w:cs="Times New Roman"/>
          <w:sz w:val="24"/>
          <w:szCs w:val="24"/>
        </w:rPr>
        <w:t>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discussão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prévia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estabelecer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alegria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abertura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aula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língua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inglesa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Presentation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apresenta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forma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vocabulário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estruturas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ativando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z w:val="24"/>
          <w:szCs w:val="24"/>
        </w:rPr>
        <w:t>hecimento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prévio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entrelaçando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novo. </w:t>
      </w:r>
    </w:p>
    <w:p w14:paraId="47F8568B" w14:textId="77777777" w:rsidR="0052501C" w:rsidRDefault="00C9609C" w:rsidP="00A36934">
      <w:pPr>
        <w:spacing w:before="0"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Practice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desenvolvimento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apresentado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estruturas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gramaticais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vocabulário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reconhecimento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gênero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textual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questão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objetivos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propostos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Neste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atividades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envolvendo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praticar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ensinado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Production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é 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ocasião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aplicabilidade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conhecimentos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consolidação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aprendizagens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vínculos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estabelecidos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saberes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apreend</w:t>
      </w:r>
      <w:r>
        <w:rPr>
          <w:rFonts w:ascii="Times New Roman" w:eastAsia="Times New Roman" w:hAnsi="Times New Roman" w:cs="Times New Roman"/>
          <w:sz w:val="24"/>
          <w:szCs w:val="24"/>
        </w:rPr>
        <w:t>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significativas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É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reconhece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produzir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vocabulário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estruturas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gênero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textual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apresentado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1CDB67" w14:textId="77777777" w:rsidR="0052501C" w:rsidRDefault="00C9609C" w:rsidP="00A36934">
      <w:pPr>
        <w:spacing w:before="0"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Planejamos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início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aula com um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warm up”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mostrando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tografias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multiculturais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fotógrafo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-americano Gregg Segal.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fotografou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hábitos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alimentares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crianças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fotografias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faríamos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breve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discussão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hábitos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alimentares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conseguimos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executar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planejamento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estímulo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visual, pois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deparamos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desempenho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aparelho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data-show. Mas,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instruídos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antemão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mediadores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aula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conseguiram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desenrolar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um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eficaz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Impedimentos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correram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específica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servem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bolsistas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pudéssemos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par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professor,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estimulando-nos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elaborar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aulas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práticas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secundárias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famosos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A, B e C”.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obstáculos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</w:t>
      </w:r>
      <w:r>
        <w:rPr>
          <w:rFonts w:ascii="Times New Roman" w:eastAsia="Times New Roman" w:hAnsi="Times New Roman" w:cs="Times New Roman"/>
          <w:sz w:val="24"/>
          <w:szCs w:val="24"/>
        </w:rPr>
        <w:t>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discussões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relevantes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hábitos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alimentares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alimentações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saudáveis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C774D78" w14:textId="77777777" w:rsidR="00A36934" w:rsidRDefault="00C9609C" w:rsidP="00A36934">
      <w:pPr>
        <w:spacing w:before="0"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aquecimento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apresentamos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vocabulário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através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perguntas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vocês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gostam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comer?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What do you like to eat?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); É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saudável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Is it healthy?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comidas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saudáveis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What foods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are  healthy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saudáveis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What foods are not healthy?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); Por que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comermos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(Why is it important to eat?). 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bordado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diversas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questões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E429FE" w14:textId="77777777" w:rsidR="00A36934" w:rsidRDefault="00A36934" w:rsidP="00A36934">
      <w:pPr>
        <w:spacing w:before="0"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955A7ED" w14:textId="77777777" w:rsidR="00A36934" w:rsidRDefault="00A36934" w:rsidP="00A36934">
      <w:pPr>
        <w:spacing w:before="0"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194C272" w14:textId="77777777" w:rsidR="00A36934" w:rsidRDefault="00A36934" w:rsidP="00A36934">
      <w:pPr>
        <w:spacing w:before="0"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8E64CB7" w14:textId="77777777" w:rsidR="00A36934" w:rsidRDefault="00A36934" w:rsidP="00A36934">
      <w:pPr>
        <w:spacing w:before="0"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4F8EFEB" w14:textId="77777777" w:rsidR="00A36934" w:rsidRDefault="00A36934" w:rsidP="00A36934">
      <w:pPr>
        <w:spacing w:before="0"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C571B8D" w14:textId="77777777" w:rsidR="00A36934" w:rsidRDefault="00A36934" w:rsidP="00A36934">
      <w:pPr>
        <w:spacing w:before="0"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6B49135" w14:textId="77777777" w:rsidR="00A36934" w:rsidRDefault="00A36934" w:rsidP="00A36934">
      <w:pPr>
        <w:spacing w:before="0"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A39BAE4" w14:textId="77777777" w:rsidR="00A36934" w:rsidRDefault="00A36934" w:rsidP="00A36934">
      <w:pPr>
        <w:spacing w:before="0"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719CE23" w14:textId="647016A0" w:rsidR="0052501C" w:rsidRDefault="00C9609C" w:rsidP="00A36934">
      <w:pPr>
        <w:spacing w:before="0"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sequência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inserimos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dinâmica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Clap Your Hands Game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jogo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do bate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palma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mencionávamos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inglês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silêncio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português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”. Logo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pedimos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atividade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sistematização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compreensão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conteúdo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Percebemos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aula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tornou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interessante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propostas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lúdicas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dinâmicas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interativas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acabam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cativando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que,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 aulas.</w:t>
      </w:r>
    </w:p>
    <w:p w14:paraId="34061F1C" w14:textId="77777777" w:rsidR="0052501C" w:rsidRDefault="00C9609C" w:rsidP="00A36934">
      <w:pPr>
        <w:spacing w:before="0"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cadeia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desafios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adaptação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diferentes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escolares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busca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estratégias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envolver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eficiente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desafios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estimulam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flexívei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criativos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persistentes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jornadas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enquanto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futuros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Mas,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exposto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questionamos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Por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aparelhos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data-show para 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aulas?;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excluídos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aulas de LI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práticas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pedagógicas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lúdicas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inclusivas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instalações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prediais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adequadas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escolas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particulares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têm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?; Estamos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ensinados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naturalizar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escassez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exclusão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perguntas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deixam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reflexivos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pois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sabemos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“contra o Sistema”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árduo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E43B87" w14:textId="77777777" w:rsidR="0052501C" w:rsidRDefault="0052501C" w:rsidP="00A36934">
      <w:pPr>
        <w:spacing w:before="0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2541A9" w14:textId="00A927E1" w:rsidR="0052501C" w:rsidRPr="00A36934" w:rsidRDefault="00C9609C" w:rsidP="00A36934">
      <w:pPr>
        <w:spacing w:before="0" w:after="0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III.REGISTROS DAS AÇÕES REALIZADAS PELO PIBID NA ELABORAÇÃO DA AULA</w:t>
      </w:r>
    </w:p>
    <w:p w14:paraId="79093586" w14:textId="77777777" w:rsidR="00A36934" w:rsidRDefault="00A36934" w:rsidP="00A36934">
      <w:pPr>
        <w:keepLines/>
        <w:spacing w:before="0" w:after="0"/>
        <w:jc w:val="center"/>
        <w:rPr>
          <w:rFonts w:ascii="Times New Roman" w:eastAsia="Times New Roman" w:hAnsi="Times New Roman" w:cs="Times New Roman"/>
          <w:b/>
        </w:rPr>
      </w:pPr>
    </w:p>
    <w:p w14:paraId="3CE003C9" w14:textId="77777777" w:rsidR="00A36934" w:rsidRDefault="00A36934" w:rsidP="00A36934">
      <w:pPr>
        <w:keepLines/>
        <w:spacing w:before="0" w:after="0"/>
        <w:jc w:val="center"/>
        <w:rPr>
          <w:rFonts w:ascii="Times New Roman" w:eastAsia="Times New Roman" w:hAnsi="Times New Roman" w:cs="Times New Roman"/>
          <w:b/>
        </w:rPr>
      </w:pPr>
    </w:p>
    <w:p w14:paraId="2F54AA04" w14:textId="5C3A66C6" w:rsidR="0052501C" w:rsidRPr="00A36934" w:rsidRDefault="00A36934" w:rsidP="00A36934">
      <w:pPr>
        <w:keepLines/>
        <w:spacing w:before="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6D13374B" wp14:editId="21949E0B">
            <wp:simplePos x="0" y="0"/>
            <wp:positionH relativeFrom="column">
              <wp:posOffset>1019175</wp:posOffset>
            </wp:positionH>
            <wp:positionV relativeFrom="paragraph">
              <wp:posOffset>194310</wp:posOffset>
            </wp:positionV>
            <wp:extent cx="3943350" cy="2409825"/>
            <wp:effectExtent l="0" t="0" r="0" b="0"/>
            <wp:wrapTopAndBottom distT="0" distB="0"/>
            <wp:docPr id="169403905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409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C9609C" w:rsidRPr="00A36934">
        <w:rPr>
          <w:rFonts w:ascii="Times New Roman" w:eastAsia="Times New Roman" w:hAnsi="Times New Roman" w:cs="Times New Roman"/>
          <w:b/>
          <w:sz w:val="24"/>
          <w:szCs w:val="24"/>
        </w:rPr>
        <w:t>Figura</w:t>
      </w:r>
      <w:proofErr w:type="spellEnd"/>
      <w:r w:rsidR="00C9609C" w:rsidRPr="00A36934">
        <w:rPr>
          <w:rFonts w:ascii="Times New Roman" w:eastAsia="Times New Roman" w:hAnsi="Times New Roman" w:cs="Times New Roman"/>
          <w:b/>
          <w:sz w:val="24"/>
          <w:szCs w:val="24"/>
        </w:rPr>
        <w:t xml:space="preserve"> 1: </w:t>
      </w:r>
      <w:proofErr w:type="spellStart"/>
      <w:r w:rsidR="00C9609C" w:rsidRPr="00A36934">
        <w:rPr>
          <w:rFonts w:ascii="Times New Roman" w:eastAsia="Times New Roman" w:hAnsi="Times New Roman" w:cs="Times New Roman"/>
          <w:sz w:val="24"/>
          <w:szCs w:val="24"/>
        </w:rPr>
        <w:t>Encontro</w:t>
      </w:r>
      <w:proofErr w:type="spellEnd"/>
      <w:r w:rsidR="00C9609C" w:rsidRPr="00A36934">
        <w:rPr>
          <w:rFonts w:ascii="Times New Roman" w:eastAsia="Times New Roman" w:hAnsi="Times New Roman" w:cs="Times New Roman"/>
          <w:sz w:val="24"/>
          <w:szCs w:val="24"/>
        </w:rPr>
        <w:t xml:space="preserve"> de debates </w:t>
      </w:r>
      <w:proofErr w:type="spellStart"/>
      <w:r w:rsidR="00C9609C" w:rsidRPr="00A36934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="00C9609C" w:rsidRPr="00A36934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="00C9609C" w:rsidRPr="00A36934">
        <w:rPr>
          <w:rFonts w:ascii="Times New Roman" w:eastAsia="Times New Roman" w:hAnsi="Times New Roman" w:cs="Times New Roman"/>
          <w:sz w:val="24"/>
          <w:szCs w:val="24"/>
        </w:rPr>
        <w:t>leituras</w:t>
      </w:r>
      <w:proofErr w:type="spellEnd"/>
      <w:r w:rsidR="00C9609C" w:rsidRPr="00A369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B34AC2" w14:textId="24A4AAD5" w:rsidR="00A36934" w:rsidRDefault="00C9609C" w:rsidP="00A36934">
      <w:pPr>
        <w:spacing w:before="0" w:after="0"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Fonte:</w:t>
      </w:r>
      <w:r>
        <w:rPr>
          <w:rFonts w:ascii="Times New Roman" w:eastAsia="Times New Roman" w:hAnsi="Times New Roman" w:cs="Times New Roman"/>
        </w:rPr>
        <w:t xml:space="preserve"> PIBID 2023.</w:t>
      </w:r>
    </w:p>
    <w:p w14:paraId="44714B14" w14:textId="77777777" w:rsidR="00A36934" w:rsidRDefault="00A36934" w:rsidP="00A36934">
      <w:pPr>
        <w:spacing w:before="0" w:after="0"/>
        <w:ind w:firstLine="0"/>
        <w:jc w:val="left"/>
        <w:rPr>
          <w:rFonts w:ascii="Times New Roman" w:eastAsia="Times New Roman" w:hAnsi="Times New Roman" w:cs="Times New Roman"/>
          <w:b/>
        </w:rPr>
      </w:pPr>
    </w:p>
    <w:p w14:paraId="207E13EE" w14:textId="77777777" w:rsidR="00A36934" w:rsidRDefault="00A36934" w:rsidP="00A36934">
      <w:pPr>
        <w:spacing w:before="0" w:after="0"/>
        <w:ind w:firstLine="0"/>
        <w:jc w:val="left"/>
        <w:rPr>
          <w:rFonts w:ascii="Times New Roman" w:eastAsia="Times New Roman" w:hAnsi="Times New Roman" w:cs="Times New Roman"/>
          <w:b/>
        </w:rPr>
      </w:pPr>
    </w:p>
    <w:p w14:paraId="71998E8F" w14:textId="77777777" w:rsidR="00A36934" w:rsidRDefault="00A36934" w:rsidP="00A36934">
      <w:pPr>
        <w:spacing w:before="0" w:after="0"/>
        <w:ind w:firstLine="0"/>
        <w:jc w:val="left"/>
        <w:rPr>
          <w:rFonts w:ascii="Times New Roman" w:eastAsia="Times New Roman" w:hAnsi="Times New Roman" w:cs="Times New Roman"/>
          <w:b/>
        </w:rPr>
      </w:pPr>
    </w:p>
    <w:p w14:paraId="119D3CF5" w14:textId="77777777" w:rsidR="00A36934" w:rsidRDefault="00A36934" w:rsidP="00A36934">
      <w:pPr>
        <w:spacing w:before="0" w:after="0"/>
        <w:ind w:firstLine="0"/>
        <w:jc w:val="left"/>
        <w:rPr>
          <w:rFonts w:ascii="Times New Roman" w:eastAsia="Times New Roman" w:hAnsi="Times New Roman" w:cs="Times New Roman"/>
          <w:b/>
        </w:rPr>
      </w:pPr>
    </w:p>
    <w:p w14:paraId="7F470196" w14:textId="77777777" w:rsidR="00A36934" w:rsidRDefault="00A36934" w:rsidP="00A36934">
      <w:pPr>
        <w:spacing w:before="0" w:after="0"/>
        <w:ind w:firstLine="0"/>
        <w:jc w:val="left"/>
        <w:rPr>
          <w:rFonts w:ascii="Times New Roman" w:eastAsia="Times New Roman" w:hAnsi="Times New Roman" w:cs="Times New Roman"/>
          <w:b/>
        </w:rPr>
      </w:pPr>
    </w:p>
    <w:p w14:paraId="52C38EEF" w14:textId="77777777" w:rsidR="00A36934" w:rsidRDefault="00A36934" w:rsidP="00A36934">
      <w:pPr>
        <w:spacing w:before="0" w:after="0"/>
        <w:ind w:firstLine="0"/>
        <w:jc w:val="left"/>
        <w:rPr>
          <w:rFonts w:ascii="Times New Roman" w:eastAsia="Times New Roman" w:hAnsi="Times New Roman" w:cs="Times New Roman"/>
          <w:b/>
        </w:rPr>
      </w:pPr>
    </w:p>
    <w:p w14:paraId="02063038" w14:textId="77777777" w:rsidR="00A36934" w:rsidRDefault="00A36934" w:rsidP="00A36934">
      <w:pPr>
        <w:spacing w:before="0" w:after="0"/>
        <w:ind w:firstLine="0"/>
        <w:jc w:val="left"/>
        <w:rPr>
          <w:rFonts w:ascii="Times New Roman" w:eastAsia="Times New Roman" w:hAnsi="Times New Roman" w:cs="Times New Roman"/>
          <w:b/>
        </w:rPr>
      </w:pPr>
    </w:p>
    <w:p w14:paraId="0B54B76D" w14:textId="77777777" w:rsidR="00A36934" w:rsidRDefault="00A36934" w:rsidP="00A36934">
      <w:pPr>
        <w:spacing w:before="0" w:after="0"/>
        <w:ind w:firstLine="0"/>
        <w:jc w:val="left"/>
        <w:rPr>
          <w:rFonts w:ascii="Times New Roman" w:eastAsia="Times New Roman" w:hAnsi="Times New Roman" w:cs="Times New Roman"/>
          <w:b/>
        </w:rPr>
      </w:pPr>
    </w:p>
    <w:p w14:paraId="3018175E" w14:textId="77777777" w:rsidR="00A36934" w:rsidRDefault="00A36934" w:rsidP="00A36934">
      <w:pPr>
        <w:spacing w:before="0" w:after="0"/>
        <w:ind w:firstLine="0"/>
        <w:jc w:val="left"/>
        <w:rPr>
          <w:rFonts w:ascii="Times New Roman" w:eastAsia="Times New Roman" w:hAnsi="Times New Roman" w:cs="Times New Roman"/>
          <w:b/>
        </w:rPr>
      </w:pPr>
    </w:p>
    <w:p w14:paraId="2757E939" w14:textId="77777777" w:rsidR="00A36934" w:rsidRDefault="00A36934" w:rsidP="00A36934">
      <w:pPr>
        <w:spacing w:before="0" w:after="0"/>
        <w:ind w:firstLine="0"/>
        <w:jc w:val="left"/>
        <w:rPr>
          <w:rFonts w:ascii="Times New Roman" w:eastAsia="Times New Roman" w:hAnsi="Times New Roman" w:cs="Times New Roman"/>
          <w:b/>
        </w:rPr>
      </w:pPr>
    </w:p>
    <w:p w14:paraId="3ED0284B" w14:textId="77777777" w:rsidR="00A36934" w:rsidRDefault="00A36934" w:rsidP="00A36934">
      <w:pPr>
        <w:spacing w:before="0" w:after="0"/>
        <w:ind w:firstLine="0"/>
        <w:jc w:val="left"/>
        <w:rPr>
          <w:rFonts w:ascii="Times New Roman" w:eastAsia="Times New Roman" w:hAnsi="Times New Roman" w:cs="Times New Roman"/>
          <w:b/>
        </w:rPr>
      </w:pPr>
    </w:p>
    <w:p w14:paraId="5C9C6763" w14:textId="77777777" w:rsidR="00A36934" w:rsidRDefault="00A36934" w:rsidP="00A36934">
      <w:pPr>
        <w:spacing w:before="0" w:after="0"/>
        <w:ind w:firstLine="0"/>
        <w:jc w:val="left"/>
        <w:rPr>
          <w:rFonts w:ascii="Times New Roman" w:eastAsia="Times New Roman" w:hAnsi="Times New Roman" w:cs="Times New Roman"/>
          <w:b/>
        </w:rPr>
      </w:pPr>
    </w:p>
    <w:p w14:paraId="1B593C7D" w14:textId="77777777" w:rsidR="00A36934" w:rsidRDefault="00A36934" w:rsidP="00A36934">
      <w:pPr>
        <w:spacing w:before="0" w:after="0"/>
        <w:ind w:firstLine="0"/>
        <w:jc w:val="left"/>
        <w:rPr>
          <w:rFonts w:ascii="Times New Roman" w:eastAsia="Times New Roman" w:hAnsi="Times New Roman" w:cs="Times New Roman"/>
          <w:b/>
        </w:rPr>
      </w:pPr>
    </w:p>
    <w:p w14:paraId="409FCD3D" w14:textId="77777777" w:rsidR="00A36934" w:rsidRDefault="00A36934" w:rsidP="00A36934">
      <w:pPr>
        <w:spacing w:before="0" w:after="0"/>
        <w:ind w:firstLine="0"/>
        <w:jc w:val="left"/>
        <w:rPr>
          <w:rFonts w:ascii="Times New Roman" w:eastAsia="Times New Roman" w:hAnsi="Times New Roman" w:cs="Times New Roman"/>
          <w:b/>
        </w:rPr>
      </w:pPr>
    </w:p>
    <w:p w14:paraId="5E83E435" w14:textId="77777777" w:rsidR="00A36934" w:rsidRDefault="00A36934" w:rsidP="00A36934">
      <w:pPr>
        <w:spacing w:before="0" w:after="0"/>
        <w:ind w:firstLine="0"/>
        <w:jc w:val="left"/>
        <w:rPr>
          <w:rFonts w:ascii="Times New Roman" w:eastAsia="Times New Roman" w:hAnsi="Times New Roman" w:cs="Times New Roman"/>
          <w:b/>
        </w:rPr>
      </w:pPr>
    </w:p>
    <w:p w14:paraId="76195794" w14:textId="3F0CCD64" w:rsidR="0052501C" w:rsidRPr="00A36934" w:rsidRDefault="00A36934" w:rsidP="00A36934">
      <w:pPr>
        <w:spacing w:before="0" w:after="0"/>
        <w:ind w:firstLine="0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681BABFD" wp14:editId="63FFB793">
            <wp:simplePos x="0" y="0"/>
            <wp:positionH relativeFrom="column">
              <wp:posOffset>1024255</wp:posOffset>
            </wp:positionH>
            <wp:positionV relativeFrom="paragraph">
              <wp:posOffset>245110</wp:posOffset>
            </wp:positionV>
            <wp:extent cx="3943271" cy="2247900"/>
            <wp:effectExtent l="0" t="0" r="0" b="0"/>
            <wp:wrapTopAndBottom distT="0" distB="0"/>
            <wp:docPr id="169403905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3271" cy="224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C9609C" w:rsidRPr="00A36934">
        <w:rPr>
          <w:rFonts w:ascii="Times New Roman" w:eastAsia="Times New Roman" w:hAnsi="Times New Roman" w:cs="Times New Roman"/>
          <w:b/>
          <w:sz w:val="24"/>
          <w:szCs w:val="24"/>
        </w:rPr>
        <w:t>Figura</w:t>
      </w:r>
      <w:proofErr w:type="spellEnd"/>
      <w:r w:rsidR="00C9609C" w:rsidRPr="00A369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609C" w:rsidRPr="00A36934">
        <w:rPr>
          <w:rFonts w:ascii="Times New Roman" w:eastAsia="Times New Roman" w:hAnsi="Times New Roman" w:cs="Times New Roman"/>
          <w:b/>
          <w:sz w:val="24"/>
          <w:szCs w:val="24"/>
        </w:rPr>
        <w:t>2:</w:t>
      </w:r>
      <w:r w:rsidR="00C9609C" w:rsidRPr="00A36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09C" w:rsidRPr="00A36934">
        <w:rPr>
          <w:rFonts w:ascii="Times New Roman" w:eastAsia="Times New Roman" w:hAnsi="Times New Roman" w:cs="Times New Roman"/>
          <w:sz w:val="24"/>
          <w:szCs w:val="24"/>
        </w:rPr>
        <w:t>Planejamento</w:t>
      </w:r>
      <w:proofErr w:type="spellEnd"/>
      <w:r w:rsidR="00C9609C" w:rsidRPr="00A36934"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proofErr w:type="gramStart"/>
      <w:r w:rsidR="00C9609C" w:rsidRPr="00A36934">
        <w:rPr>
          <w:rFonts w:ascii="Times New Roman" w:eastAsia="Times New Roman" w:hAnsi="Times New Roman" w:cs="Times New Roman"/>
          <w:sz w:val="24"/>
          <w:szCs w:val="24"/>
        </w:rPr>
        <w:t>aulas.</w:t>
      </w:r>
      <w:r w:rsidR="00C9609C">
        <w:rPr>
          <w:rFonts w:ascii="Times New Roman" w:eastAsia="Times New Roman" w:hAnsi="Times New Roman" w:cs="Times New Roman"/>
        </w:rPr>
        <w:t>.</w:t>
      </w:r>
      <w:proofErr w:type="gramEnd"/>
      <w:r w:rsidR="00C9609C">
        <w:rPr>
          <w:rFonts w:ascii="Times New Roman" w:eastAsia="Times New Roman" w:hAnsi="Times New Roman" w:cs="Times New Roman"/>
        </w:rPr>
        <w:t xml:space="preserve">   </w:t>
      </w:r>
      <w:r w:rsidR="00C9609C">
        <w:rPr>
          <w:rFonts w:ascii="Times New Roman" w:eastAsia="Times New Roman" w:hAnsi="Times New Roman" w:cs="Times New Roman"/>
        </w:rPr>
        <w:br/>
      </w:r>
      <w:r w:rsidR="00C9609C">
        <w:rPr>
          <w:rFonts w:ascii="Times New Roman" w:eastAsia="Times New Roman" w:hAnsi="Times New Roman" w:cs="Times New Roman"/>
          <w:b/>
        </w:rPr>
        <w:t>Fonte:</w:t>
      </w:r>
      <w:r w:rsidR="00C9609C">
        <w:rPr>
          <w:rFonts w:ascii="Times New Roman" w:eastAsia="Times New Roman" w:hAnsi="Times New Roman" w:cs="Times New Roman"/>
        </w:rPr>
        <w:t xml:space="preserve"> PIBID 2023</w:t>
      </w:r>
    </w:p>
    <w:p w14:paraId="1923171F" w14:textId="77777777" w:rsidR="00A36934" w:rsidRDefault="00A36934" w:rsidP="00A36934">
      <w:pPr>
        <w:spacing w:before="0" w:after="0"/>
        <w:jc w:val="center"/>
        <w:rPr>
          <w:rFonts w:ascii="Times New Roman" w:eastAsia="Times New Roman" w:hAnsi="Times New Roman" w:cs="Times New Roman"/>
          <w:b/>
        </w:rPr>
      </w:pPr>
    </w:p>
    <w:p w14:paraId="50EE8CC1" w14:textId="77777777" w:rsidR="00A36934" w:rsidRDefault="00A36934" w:rsidP="00A36934">
      <w:pPr>
        <w:spacing w:before="0" w:after="0"/>
        <w:jc w:val="center"/>
        <w:rPr>
          <w:rFonts w:ascii="Times New Roman" w:eastAsia="Times New Roman" w:hAnsi="Times New Roman" w:cs="Times New Roman"/>
          <w:b/>
        </w:rPr>
      </w:pPr>
    </w:p>
    <w:p w14:paraId="00D7DDB2" w14:textId="53646644" w:rsidR="0052501C" w:rsidRDefault="00A36934" w:rsidP="00A36934">
      <w:pPr>
        <w:spacing w:before="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6934">
        <w:rPr>
          <w:noProof/>
          <w:sz w:val="24"/>
          <w:szCs w:val="24"/>
        </w:rPr>
        <w:drawing>
          <wp:anchor distT="0" distB="0" distL="0" distR="0" simplePos="0" relativeHeight="251660288" behindDoc="0" locked="0" layoutInCell="1" hidden="0" allowOverlap="1" wp14:anchorId="48A0ED99" wp14:editId="39E819CF">
            <wp:simplePos x="0" y="0"/>
            <wp:positionH relativeFrom="column">
              <wp:posOffset>-238125</wp:posOffset>
            </wp:positionH>
            <wp:positionV relativeFrom="paragraph">
              <wp:posOffset>250190</wp:posOffset>
            </wp:positionV>
            <wp:extent cx="2867025" cy="2066925"/>
            <wp:effectExtent l="12700" t="12700" r="12700" b="12700"/>
            <wp:wrapTopAndBottom distT="0" distB="0"/>
            <wp:docPr id="169403905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06692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proofErr w:type="spellStart"/>
      <w:r w:rsidR="00C9609C" w:rsidRPr="00A36934">
        <w:rPr>
          <w:rFonts w:ascii="Times New Roman" w:eastAsia="Times New Roman" w:hAnsi="Times New Roman" w:cs="Times New Roman"/>
          <w:b/>
          <w:sz w:val="24"/>
          <w:szCs w:val="24"/>
        </w:rPr>
        <w:t>Figura</w:t>
      </w:r>
      <w:proofErr w:type="spellEnd"/>
      <w:r w:rsidR="00C9609C" w:rsidRPr="00A369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9609C" w:rsidRPr="00A36934">
        <w:rPr>
          <w:rFonts w:ascii="Times New Roman" w:eastAsia="Times New Roman" w:hAnsi="Times New Roman" w:cs="Times New Roman"/>
          <w:b/>
          <w:sz w:val="24"/>
          <w:szCs w:val="24"/>
        </w:rPr>
        <w:t>3 :</w:t>
      </w:r>
      <w:proofErr w:type="gramEnd"/>
      <w:r w:rsidR="00C9609C" w:rsidRPr="00A36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09C" w:rsidRPr="00A36934"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 w:rsidR="00C9609C" w:rsidRPr="00A36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09C" w:rsidRPr="00A36934"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 w:rsidR="00C9609C" w:rsidRPr="00A36934">
        <w:rPr>
          <w:rFonts w:ascii="Times New Roman" w:eastAsia="Times New Roman" w:hAnsi="Times New Roman" w:cs="Times New Roman"/>
          <w:sz w:val="24"/>
          <w:szCs w:val="24"/>
        </w:rPr>
        <w:t xml:space="preserve"> as aulas</w:t>
      </w:r>
      <w:r w:rsidRPr="00A36934">
        <w:rPr>
          <w:noProof/>
          <w:sz w:val="24"/>
          <w:szCs w:val="24"/>
        </w:rPr>
        <w:drawing>
          <wp:anchor distT="0" distB="0" distL="0" distR="0" simplePos="0" relativeHeight="251661312" behindDoc="0" locked="0" layoutInCell="1" hidden="0" allowOverlap="1" wp14:anchorId="704F7184" wp14:editId="5C237CC1">
            <wp:simplePos x="0" y="0"/>
            <wp:positionH relativeFrom="column">
              <wp:posOffset>2659380</wp:posOffset>
            </wp:positionH>
            <wp:positionV relativeFrom="paragraph">
              <wp:posOffset>206375</wp:posOffset>
            </wp:positionV>
            <wp:extent cx="2828925" cy="2076450"/>
            <wp:effectExtent l="12700" t="12700" r="12700" b="12700"/>
            <wp:wrapSquare wrapText="bothSides" distT="0" distB="0" distL="0" distR="0"/>
            <wp:docPr id="169403905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07645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7D894F2D" w14:textId="52A3681A" w:rsidR="00A36934" w:rsidRDefault="00A36934" w:rsidP="00A36934">
      <w:pPr>
        <w:spacing w:before="0"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934">
        <w:rPr>
          <w:rFonts w:ascii="Times New Roman" w:eastAsia="Times New Roman" w:hAnsi="Times New Roman" w:cs="Times New Roman"/>
          <w:b/>
        </w:rPr>
        <w:t xml:space="preserve">Fonte: </w:t>
      </w:r>
      <w:r w:rsidRPr="00A36934">
        <w:rPr>
          <w:rFonts w:ascii="Times New Roman" w:eastAsia="Times New Roman" w:hAnsi="Times New Roman" w:cs="Times New Roman"/>
        </w:rPr>
        <w:t>PIBID 2023</w:t>
      </w:r>
      <w:r>
        <w:rPr>
          <w:rFonts w:ascii="Times New Roman" w:eastAsia="Times New Roman" w:hAnsi="Times New Roman" w:cs="Times New Roman"/>
        </w:rPr>
        <w:t>.</w:t>
      </w:r>
    </w:p>
    <w:p w14:paraId="5E62C2BE" w14:textId="77777777" w:rsidR="00A36934" w:rsidRDefault="00A36934" w:rsidP="00A36934">
      <w:pPr>
        <w:spacing w:before="0" w:after="0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D5CCCA" w14:textId="77777777" w:rsidR="00A36934" w:rsidRDefault="00A36934" w:rsidP="00A36934">
      <w:pPr>
        <w:spacing w:before="0" w:after="0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609608" w14:textId="0DD5DEEC" w:rsidR="0052501C" w:rsidRDefault="00C9609C" w:rsidP="00A36934">
      <w:pPr>
        <w:spacing w:before="0" w:after="0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IV.CONSIDERAÇÕES FINAIS</w:t>
      </w:r>
    </w:p>
    <w:p w14:paraId="1004AAD8" w14:textId="77777777" w:rsidR="00A36934" w:rsidRDefault="00C9609C" w:rsidP="00A36934">
      <w:pPr>
        <w:spacing w:before="0"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 PIBID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sz w:val="24"/>
          <w:szCs w:val="24"/>
        </w:rPr>
        <w:t>ibilitou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entendimento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um novo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horizonte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aula; lidar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determinadas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culturas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práticas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diferenciadas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perceber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imensidão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 peso, que é ser professor dentro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âmbito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educacional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Com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desenrolar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tempo e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xperiências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fantásticas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percebeu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apenas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planejar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aula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-la com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esperança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ocorrer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planejado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contrário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encadeamento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dificuldades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implicam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execução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planejadas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acontecimentos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preparado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contornar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lidar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possíveis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entraves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teóricos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tornaram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cruciais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entendêssemos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</w:p>
    <w:p w14:paraId="09389A73" w14:textId="77777777" w:rsidR="00A36934" w:rsidRDefault="00A36934" w:rsidP="00A36934">
      <w:pPr>
        <w:spacing w:before="0"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17124DB" w14:textId="77777777" w:rsidR="00A36934" w:rsidRDefault="00A36934" w:rsidP="00A36934">
      <w:pPr>
        <w:spacing w:before="0"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9C8E359" w14:textId="77777777" w:rsidR="00A36934" w:rsidRDefault="00A36934" w:rsidP="00A36934">
      <w:pPr>
        <w:spacing w:before="0"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CBB51B3" w14:textId="77777777" w:rsidR="00A36934" w:rsidRDefault="00A36934" w:rsidP="00A36934">
      <w:pPr>
        <w:spacing w:before="0"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338FFC1" w14:textId="77777777" w:rsidR="00A36934" w:rsidRDefault="00A36934" w:rsidP="00A36934">
      <w:pPr>
        <w:spacing w:before="0"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965ACE6" w14:textId="77777777" w:rsidR="00A36934" w:rsidRDefault="00A36934" w:rsidP="00A36934">
      <w:pPr>
        <w:spacing w:before="0"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6F1640E" w14:textId="77777777" w:rsidR="00A36934" w:rsidRDefault="00A36934" w:rsidP="00A36934">
      <w:pPr>
        <w:spacing w:before="0"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8689CBB" w14:textId="5CA6D2CA" w:rsidR="0052501C" w:rsidRDefault="00C9609C" w:rsidP="00A36934">
      <w:pPr>
        <w:spacing w:before="0" w:after="0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iniciação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dentro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aula,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protagonistas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possuidores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conhecimentos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vivências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distintas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517FA3" w14:textId="77777777" w:rsidR="0052501C" w:rsidRDefault="00C9609C" w:rsidP="00A36934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atuação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monitores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conferiu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autoconfiança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trabalhar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aula,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aprendemos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crianças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adolescentes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 saber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capazes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mudanças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desejarem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Compreendemos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que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Língua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Inglesa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vista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olhos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pública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preparando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significativas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questi</w:t>
      </w:r>
      <w:r>
        <w:rPr>
          <w:rFonts w:ascii="Times New Roman" w:eastAsia="Times New Roman" w:hAnsi="Times New Roman" w:cs="Times New Roman"/>
          <w:sz w:val="24"/>
          <w:szCs w:val="24"/>
        </w:rPr>
        <w:t>onadoras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desnaturalizam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sensos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rompem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conformismo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exclusão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Sempre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“luz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túnel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”. Sob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ótica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segredo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acreditar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“micro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fazem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diferença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cidadãos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aprend</w:t>
      </w:r>
      <w:r>
        <w:rPr>
          <w:rFonts w:ascii="Times New Roman" w:eastAsia="Times New Roman" w:hAnsi="Times New Roman" w:cs="Times New Roman"/>
          <w:sz w:val="24"/>
          <w:szCs w:val="24"/>
        </w:rPr>
        <w:t>izagem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reflexão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crítica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inseridos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professores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comprometidos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responsáveis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estudiosos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parece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caminho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possível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transformação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social.</w:t>
      </w:r>
    </w:p>
    <w:p w14:paraId="719A518D" w14:textId="0E4E323C" w:rsidR="0052501C" w:rsidRDefault="00C9609C" w:rsidP="00A36934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Uma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marcantes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PIBID é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sensação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pertencimento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comprometida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graduandos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aprendizado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contribuindo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próprio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crescimento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de outros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sujeitos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Logo,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rede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incentivo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magistério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fortalecimento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licenciaturas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política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professores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país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visa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aprofundamento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permitindo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intensa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escolar.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professores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professores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escolas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37770C" w14:textId="699BB52B" w:rsidR="0052501C" w:rsidRDefault="00C9609C" w:rsidP="00A36934">
      <w:pPr>
        <w:spacing w:before="0"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parceiras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futuros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trabalhando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juntas.</w:t>
      </w:r>
    </w:p>
    <w:p w14:paraId="12DEE5B2" w14:textId="77777777" w:rsidR="0052501C" w:rsidRDefault="0052501C">
      <w:pPr>
        <w:spacing w:before="2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C1EAB71" w14:textId="77777777" w:rsidR="0052501C" w:rsidRDefault="00C9609C">
      <w:pPr>
        <w:spacing w:before="0" w:after="80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V.REFERÊNCIAS BIBLIOGRÁFICAS</w:t>
      </w:r>
    </w:p>
    <w:p w14:paraId="0FA3D65C" w14:textId="77777777" w:rsidR="0052501C" w:rsidRDefault="0052501C">
      <w:pPr>
        <w:spacing w:before="0"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B6345C4" w14:textId="77777777" w:rsidR="0052501C" w:rsidRDefault="00C9609C">
      <w:pPr>
        <w:spacing w:before="0"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AGUIAR, André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MILEA,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González.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Entrelaçando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linguagens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história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práticas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torturas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partir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visão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letramento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crítico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[S. l.]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v. 24, n. 74, p. 230–247, 2023.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Disponível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9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1982-0305-teias-24-74-0230.pdf (fcc.org.br)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04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</w:p>
    <w:p w14:paraId="4A782879" w14:textId="77777777" w:rsidR="0052501C" w:rsidRDefault="0052501C">
      <w:pPr>
        <w:spacing w:before="0"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EB5939A" w14:textId="77777777" w:rsidR="0052501C" w:rsidRDefault="00C9609C">
      <w:pPr>
        <w:spacing w:before="0"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ALENCAR, E. B. A.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Formação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professores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Língua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Inglesa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 rede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pública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 Tocantins: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cenas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letramento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crítico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2017. 268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Doutorado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Linguística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— Centro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Ciências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Federal de São Carlos.</w:t>
      </w:r>
    </w:p>
    <w:p w14:paraId="16EC7F7F" w14:textId="77777777" w:rsidR="0052501C" w:rsidRDefault="0052501C">
      <w:pPr>
        <w:spacing w:before="0"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9E3EB0E" w14:textId="77777777" w:rsidR="0052501C" w:rsidRDefault="00C9609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DUBOC, A. P. M.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Letramento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crítico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brechas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aula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línguas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estrangeiras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In: TAKAKI, N. H.; MACIEL, R. F. (Org.).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Letramentos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terra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Paulo Freire. Campinas: Pontes, 2014. p. 209-229.</w:t>
      </w:r>
    </w:p>
    <w:p w14:paraId="07BD293E" w14:textId="77777777" w:rsidR="0052501C" w:rsidRDefault="0052501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EE3E8FD" w14:textId="77777777" w:rsidR="0052501C" w:rsidRDefault="00C9609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LEITE.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Patrícia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Yes,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vamos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correr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para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dominar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”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língua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língua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inglesa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representada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textos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midiáticos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Curitiba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CRV, 2018.</w:t>
      </w:r>
    </w:p>
    <w:p w14:paraId="086E3E54" w14:textId="77777777" w:rsidR="0052501C" w:rsidRDefault="0052501C">
      <w:pPr>
        <w:spacing w:before="0" w:after="0"/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859DF48" w14:textId="77777777" w:rsidR="0052501C" w:rsidRDefault="00C9609C">
      <w:pPr>
        <w:spacing w:before="0"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LIMA.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Diógenes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(org.).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Inglês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escolas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públi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funciona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? Uma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questão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múltiplos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olhares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São Paulo: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Parábola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Editorial, 2011.</w:t>
      </w:r>
    </w:p>
    <w:p w14:paraId="7AD77A8F" w14:textId="77777777" w:rsidR="0052501C" w:rsidRDefault="0052501C">
      <w:pPr>
        <w:spacing w:before="0"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3785C300" w14:textId="77777777" w:rsidR="0052501C" w:rsidRDefault="00C9609C">
      <w:pPr>
        <w:spacing w:before="0"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MONTE MÓR. W. 2015.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Crítica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Letramentos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Críticos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Reflexões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Preliminares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In: ROCHA, C.H.; MACIEL, R.F. (Orgs),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Língua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Estrangeira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Cidadã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Por entre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</w:t>
      </w:r>
      <w:r>
        <w:rPr>
          <w:rFonts w:ascii="Times New Roman" w:eastAsia="Times New Roman" w:hAnsi="Times New Roman" w:cs="Times New Roman"/>
          <w:sz w:val="24"/>
          <w:szCs w:val="24"/>
        </w:rPr>
        <w:t>ursos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Práticas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Campinas: Ed Pontes, 2015. p 31-50.</w:t>
      </w:r>
    </w:p>
    <w:p w14:paraId="2196A501" w14:textId="77777777" w:rsidR="0052501C" w:rsidRDefault="0052501C">
      <w:pPr>
        <w:spacing w:before="0"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B44CE36" w14:textId="77777777" w:rsidR="0052501C" w:rsidRDefault="00C9609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RICHARDS, Jack C.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Key issues in language teaching</w:t>
      </w:r>
      <w:r>
        <w:rPr>
          <w:rFonts w:ascii="Times New Roman" w:eastAsia="Times New Roman" w:hAnsi="Times New Roman" w:cs="Times New Roman"/>
          <w:sz w:val="24"/>
          <w:szCs w:val="24"/>
        </w:rPr>
        <w:t>. Cambridge University Press, 2015.</w:t>
      </w:r>
    </w:p>
    <w:p w14:paraId="09A7C5F6" w14:textId="77777777" w:rsidR="0052501C" w:rsidRDefault="0052501C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46227C4" w14:textId="68E9D427" w:rsidR="0052501C" w:rsidRDefault="00C9609C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</w:t>
      </w:r>
      <w:r w:rsidR="00A369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AGRADECIMENTOS</w:t>
      </w:r>
    </w:p>
    <w:p w14:paraId="449C42ED" w14:textId="77777777" w:rsidR="0052501C" w:rsidRDefault="0052501C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C044D5" w14:textId="77777777" w:rsidR="0052501C" w:rsidRDefault="00C9609C">
      <w:pPr>
        <w:spacing w:before="20"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Agradecemos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primeiramente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Coordenação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Aperfeiçoamento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Pessoal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Nível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Superior (CAPES),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executar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Federal do Norte do Tocantins (UFNT)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tornar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possível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PIBID.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alia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enriquecendo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envolvidos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1D64D7" w14:textId="77777777" w:rsidR="0052501C" w:rsidRDefault="00C9609C">
      <w:pPr>
        <w:spacing w:before="2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À Elisa Borges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Alcântara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Alencar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coordenadora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empenho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dedicação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professora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supervisora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Deborah Dias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auxiliar Mara Lima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auxiliar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primeiro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B24E32" w14:textId="77777777" w:rsidR="0052501C" w:rsidRDefault="0052501C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D6E8F95" w14:textId="77777777" w:rsidR="0052501C" w:rsidRDefault="0052501C">
      <w:pPr>
        <w:ind w:firstLine="0"/>
        <w:rPr>
          <w:rFonts w:ascii="Times New Roman" w:eastAsia="Times New Roman" w:hAnsi="Times New Roman" w:cs="Times New Roman"/>
          <w:sz w:val="24"/>
          <w:szCs w:val="24"/>
        </w:rPr>
        <w:sectPr w:rsidR="0052501C">
          <w:headerReference w:type="default" r:id="rId20"/>
          <w:type w:val="continuous"/>
          <w:pgSz w:w="11907" w:h="16840"/>
          <w:pgMar w:top="1440" w:right="1800" w:bottom="1440" w:left="1800" w:header="720" w:footer="720" w:gutter="0"/>
          <w:cols w:space="720"/>
        </w:sectPr>
      </w:pPr>
    </w:p>
    <w:p w14:paraId="0587228C" w14:textId="77777777" w:rsidR="0052501C" w:rsidRDefault="0052501C">
      <w:pPr>
        <w:pBdr>
          <w:top w:val="nil"/>
          <w:left w:val="nil"/>
          <w:bottom w:val="nil"/>
          <w:right w:val="nil"/>
          <w:between w:val="nil"/>
        </w:pBdr>
        <w:spacing w:before="0" w:after="8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</w:p>
    <w:p w14:paraId="2C44F90D" w14:textId="77777777" w:rsidR="0052501C" w:rsidRDefault="0052501C">
      <w:pPr>
        <w:spacing w:line="360" w:lineRule="auto"/>
        <w:rPr>
          <w:rFonts w:ascii="Open Sans" w:eastAsia="Open Sans" w:hAnsi="Open Sans" w:cs="Open Sans"/>
          <w:color w:val="000000"/>
        </w:rPr>
      </w:pPr>
    </w:p>
    <w:p w14:paraId="463D54CA" w14:textId="77777777" w:rsidR="00A36934" w:rsidRDefault="00A36934">
      <w:pPr>
        <w:spacing w:line="360" w:lineRule="auto"/>
        <w:rPr>
          <w:rFonts w:ascii="Open Sans" w:eastAsia="Open Sans" w:hAnsi="Open Sans" w:cs="Open Sans"/>
          <w:color w:val="000000"/>
        </w:rPr>
      </w:pPr>
    </w:p>
    <w:sectPr w:rsidR="00A36934">
      <w:footerReference w:type="default" r:id="rId21"/>
      <w:pgSz w:w="11907" w:h="16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7E9F" w14:textId="77777777" w:rsidR="00C9609C" w:rsidRDefault="00C9609C">
      <w:pPr>
        <w:spacing w:before="0" w:after="0"/>
      </w:pPr>
      <w:r>
        <w:separator/>
      </w:r>
    </w:p>
  </w:endnote>
  <w:endnote w:type="continuationSeparator" w:id="0">
    <w:p w14:paraId="5DD41FA0" w14:textId="77777777" w:rsidR="00C9609C" w:rsidRDefault="00C960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Open Sans">
    <w:charset w:val="00"/>
    <w:family w:val="auto"/>
    <w:pitch w:val="default"/>
  </w:font>
  <w:font w:name="Robot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C120" w14:textId="77777777" w:rsidR="0052501C" w:rsidRDefault="0052501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14:paraId="597FC53C" w14:textId="77777777" w:rsidR="0052501C" w:rsidRDefault="0052501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1381" w14:textId="1D0D7987" w:rsidR="0052501C" w:rsidRDefault="00C9609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36934">
      <w:rPr>
        <w:noProof/>
        <w:color w:val="000000"/>
      </w:rPr>
      <w:t>1</w:t>
    </w:r>
    <w:r>
      <w:rPr>
        <w:color w:val="000000"/>
      </w:rPr>
      <w:fldChar w:fldCharType="end"/>
    </w:r>
  </w:p>
  <w:p w14:paraId="661C0CB5" w14:textId="77777777" w:rsidR="0052501C" w:rsidRDefault="0052501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968DB" w14:textId="77777777" w:rsidR="00C9609C" w:rsidRDefault="00C9609C">
      <w:pPr>
        <w:spacing w:before="0" w:after="0"/>
      </w:pPr>
      <w:r>
        <w:separator/>
      </w:r>
    </w:p>
  </w:footnote>
  <w:footnote w:type="continuationSeparator" w:id="0">
    <w:p w14:paraId="7856D209" w14:textId="77777777" w:rsidR="00C9609C" w:rsidRDefault="00C9609C">
      <w:pPr>
        <w:spacing w:before="0" w:after="0"/>
      </w:pPr>
      <w:r>
        <w:continuationSeparator/>
      </w:r>
    </w:p>
  </w:footnote>
  <w:footnote w:id="1">
    <w:p w14:paraId="09B4DFE0" w14:textId="77777777" w:rsidR="0052501C" w:rsidRDefault="00C9609C">
      <w:pPr>
        <w:spacing w:before="0" w:after="0"/>
      </w:pPr>
      <w:r>
        <w:rPr>
          <w:vertAlign w:val="superscript"/>
        </w:rPr>
        <w:footnoteRef/>
      </w:r>
      <w:r>
        <w:t xml:space="preserve"> </w:t>
      </w:r>
      <w:proofErr w:type="spellStart"/>
      <w:r>
        <w:rPr>
          <w:rFonts w:ascii="Open Sans" w:eastAsia="Open Sans" w:hAnsi="Open Sans" w:cs="Open Sans"/>
        </w:rPr>
        <w:t>Colégio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Estadual</w:t>
      </w:r>
      <w:proofErr w:type="spellEnd"/>
      <w:r>
        <w:rPr>
          <w:rFonts w:ascii="Open Sans" w:eastAsia="Open Sans" w:hAnsi="Open Sans" w:cs="Open Sans"/>
        </w:rPr>
        <w:t xml:space="preserve"> Jorge Amado</w:t>
      </w:r>
    </w:p>
  </w:footnote>
  <w:footnote w:id="2">
    <w:p w14:paraId="7AFD5449" w14:textId="77777777" w:rsidR="0052501C" w:rsidRDefault="00C9609C">
      <w:pPr>
        <w:spacing w:before="0" w:after="0"/>
      </w:pPr>
      <w:r>
        <w:rPr>
          <w:vertAlign w:val="superscript"/>
        </w:rPr>
        <w:footnoteRef/>
      </w:r>
      <w:r>
        <w:t xml:space="preserve"> </w:t>
      </w:r>
      <w:proofErr w:type="spellStart"/>
      <w:r>
        <w:rPr>
          <w:rFonts w:ascii="Open Sans" w:eastAsia="Open Sans" w:hAnsi="Open Sans" w:cs="Open Sans"/>
        </w:rPr>
        <w:t>Universidade</w:t>
      </w:r>
      <w:proofErr w:type="spellEnd"/>
      <w:r>
        <w:rPr>
          <w:rFonts w:ascii="Open Sans" w:eastAsia="Open Sans" w:hAnsi="Open Sans" w:cs="Open Sans"/>
        </w:rPr>
        <w:t xml:space="preserve"> Federal do Norte do Tocantins (UFNT).</w:t>
      </w:r>
    </w:p>
  </w:footnote>
  <w:footnote w:id="3">
    <w:p w14:paraId="63977266" w14:textId="77777777" w:rsidR="0052501C" w:rsidRDefault="00C9609C">
      <w:pPr>
        <w:spacing w:before="0" w:after="0"/>
      </w:pPr>
      <w:r>
        <w:rPr>
          <w:vertAlign w:val="superscript"/>
        </w:rPr>
        <w:footnoteRef/>
      </w:r>
      <w:r>
        <w:t xml:space="preserve"> </w:t>
      </w:r>
      <w:proofErr w:type="spellStart"/>
      <w:r>
        <w:rPr>
          <w:rFonts w:ascii="Open Sans" w:eastAsia="Open Sans" w:hAnsi="Open Sans" w:cs="Open Sans"/>
        </w:rPr>
        <w:t>Universidade</w:t>
      </w:r>
      <w:proofErr w:type="spellEnd"/>
      <w:r>
        <w:rPr>
          <w:rFonts w:ascii="Open Sans" w:eastAsia="Open Sans" w:hAnsi="Open Sans" w:cs="Open Sans"/>
        </w:rPr>
        <w:t xml:space="preserve"> Federal do Norte do Tocantins (UFNT).</w:t>
      </w:r>
    </w:p>
  </w:footnote>
  <w:footnote w:id="4">
    <w:p w14:paraId="440C92E3" w14:textId="77777777" w:rsidR="0052501C" w:rsidRDefault="00C9609C">
      <w:pPr>
        <w:spacing w:before="0" w:after="0"/>
      </w:pPr>
      <w:r>
        <w:rPr>
          <w:vertAlign w:val="superscript"/>
        </w:rPr>
        <w:footnoteRef/>
      </w:r>
      <w:r>
        <w:t xml:space="preserve"> </w:t>
      </w:r>
      <w:proofErr w:type="spellStart"/>
      <w:r>
        <w:rPr>
          <w:rFonts w:ascii="Open Sans" w:eastAsia="Open Sans" w:hAnsi="Open Sans" w:cs="Open Sans"/>
        </w:rPr>
        <w:t>Universidade</w:t>
      </w:r>
      <w:proofErr w:type="spellEnd"/>
      <w:r>
        <w:rPr>
          <w:rFonts w:ascii="Open Sans" w:eastAsia="Open Sans" w:hAnsi="Open Sans" w:cs="Open Sans"/>
        </w:rPr>
        <w:t xml:space="preserve"> Federal do Norte do Tocantins (UFNT).</w:t>
      </w:r>
    </w:p>
  </w:footnote>
  <w:footnote w:id="5">
    <w:p w14:paraId="316BF485" w14:textId="77777777" w:rsidR="0052501C" w:rsidRDefault="00C9609C">
      <w:pPr>
        <w:spacing w:before="0" w:after="0"/>
      </w:pPr>
      <w:r>
        <w:rPr>
          <w:vertAlign w:val="superscript"/>
        </w:rPr>
        <w:footnoteRef/>
      </w:r>
      <w:r>
        <w:t xml:space="preserve"> </w:t>
      </w:r>
      <w:proofErr w:type="spellStart"/>
      <w:r>
        <w:rPr>
          <w:rFonts w:ascii="Open Sans" w:eastAsia="Open Sans" w:hAnsi="Open Sans" w:cs="Open Sans"/>
        </w:rPr>
        <w:t>Universidade</w:t>
      </w:r>
      <w:proofErr w:type="spellEnd"/>
      <w:r>
        <w:rPr>
          <w:rFonts w:ascii="Open Sans" w:eastAsia="Open Sans" w:hAnsi="Open Sans" w:cs="Open Sans"/>
        </w:rPr>
        <w:t xml:space="preserve"> Federal do Norte do Tocantins (UFNT).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9407" w14:textId="77777777" w:rsidR="0052501C" w:rsidRDefault="00C9609C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ind w:firstLine="0"/>
      <w:jc w:val="lef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D44AFCA" wp14:editId="7773D8C7">
          <wp:simplePos x="0" y="0"/>
          <wp:positionH relativeFrom="column">
            <wp:posOffset>-590550</wp:posOffset>
          </wp:positionH>
          <wp:positionV relativeFrom="paragraph">
            <wp:posOffset>-361950</wp:posOffset>
          </wp:positionV>
          <wp:extent cx="6408075" cy="2019300"/>
          <wp:effectExtent l="0" t="0" r="0" b="0"/>
          <wp:wrapNone/>
          <wp:docPr id="169403905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8075" cy="2019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1E8898" w14:textId="77777777" w:rsidR="0052501C" w:rsidRDefault="0052501C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ind w:firstLine="0"/>
      <w:jc w:val="left"/>
    </w:pPr>
  </w:p>
  <w:p w14:paraId="506ADD99" w14:textId="77777777" w:rsidR="0052501C" w:rsidRDefault="0052501C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ind w:firstLine="0"/>
      <w:jc w:val="left"/>
    </w:pPr>
  </w:p>
  <w:p w14:paraId="2EC42122" w14:textId="77777777" w:rsidR="0052501C" w:rsidRDefault="0052501C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ind w:firstLine="0"/>
      <w:jc w:val="left"/>
    </w:pPr>
  </w:p>
  <w:p w14:paraId="3537D411" w14:textId="77777777" w:rsidR="0052501C" w:rsidRDefault="0052501C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ind w:firstLine="0"/>
      <w:jc w:val="left"/>
    </w:pPr>
  </w:p>
  <w:p w14:paraId="39CF6B4A" w14:textId="77777777" w:rsidR="0052501C" w:rsidRDefault="0052501C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ind w:firstLine="0"/>
      <w:jc w:val="left"/>
    </w:pPr>
  </w:p>
  <w:p w14:paraId="6553CAED" w14:textId="77777777" w:rsidR="0052501C" w:rsidRDefault="0052501C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6543" w14:textId="74A12F09" w:rsidR="0052501C" w:rsidRDefault="00A36934"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66966248" wp14:editId="03F417AF">
          <wp:simplePos x="0" y="0"/>
          <wp:positionH relativeFrom="column">
            <wp:posOffset>-310515</wp:posOffset>
          </wp:positionH>
          <wp:positionV relativeFrom="paragraph">
            <wp:posOffset>-409575</wp:posOffset>
          </wp:positionV>
          <wp:extent cx="6408075" cy="2019300"/>
          <wp:effectExtent l="0" t="0" r="0" b="0"/>
          <wp:wrapNone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8075" cy="2019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01C"/>
    <w:rsid w:val="0052501C"/>
    <w:rsid w:val="00A36934"/>
    <w:rsid w:val="00C9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C62C"/>
  <w15:docId w15:val="{1E36AFC6-80FE-4AF0-AD76-9635F8AA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lang w:val="en-US" w:eastAsia="pt-BR" w:bidi="ar-SA"/>
      </w:rPr>
    </w:rPrDefault>
    <w:pPrDefault>
      <w:pPr>
        <w:spacing w:before="60" w:after="6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408AE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8408AE"/>
  </w:style>
  <w:style w:type="paragraph" w:styleId="Rodap">
    <w:name w:val="footer"/>
    <w:basedOn w:val="Normal"/>
    <w:link w:val="RodapChar"/>
    <w:uiPriority w:val="99"/>
    <w:unhideWhenUsed/>
    <w:rsid w:val="008408AE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8408AE"/>
  </w:style>
  <w:style w:type="character" w:styleId="Refdecomentrio">
    <w:name w:val="annotation reference"/>
    <w:basedOn w:val="Fontepargpadro"/>
    <w:uiPriority w:val="99"/>
    <w:semiHidden/>
    <w:unhideWhenUsed/>
    <w:rsid w:val="00092E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2EA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2EA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2E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2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aycon.meneses@mail.uft.edu.br" TargetMode="External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jhenifer.cavalcante@mail.uft.edu.br" TargetMode="External"/><Relationship Id="rId17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ivania.batista@mail.uft.edu.b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hyperlink" Target="mailto:debby@gmail.com" TargetMode="External"/><Relationship Id="rId19" Type="http://schemas.openxmlformats.org/officeDocument/2006/relationships/hyperlink" Target="http://educa.fcc.org.br/pdf/tei/v24n74/1982-0305-teias-24-74-0230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verissimo.guimaraes@mail.uft.edu.b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2L1TWCFm+yqrc4+KSaVYes4bFg==">CgMxLjAyCGguZ2pkZ3hzMgloLjMwajB6bGw4AHIhMUo3dU1RVk5idXBGakY4MWV0aG9MaURCajNNNXZEbmlX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0B20D2F-9F1F-471A-BEE8-4E7F4768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2573</Words>
  <Characters>13896</Characters>
  <Application>Microsoft Office Word</Application>
  <DocSecurity>0</DocSecurity>
  <Lines>115</Lines>
  <Paragraphs>32</Paragraphs>
  <ScaleCrop>false</ScaleCrop>
  <Company/>
  <LinksUpToDate>false</LinksUpToDate>
  <CharactersWithSpaces>16437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2024-03-28T02:07:00Z</dcterms:created>
  <dcterms:modified xsi:type="dcterms:W3CDTF">2024-03-28T02:07:00Z</dcterms:modified>
</cp:coreProperties>
</file>