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78BBB" w14:textId="566C0FE5" w:rsidR="007D5E48" w:rsidRPr="007D5E48" w:rsidRDefault="007D5E48" w:rsidP="007D5E48">
      <w:pPr>
        <w:shd w:val="clear" w:color="auto" w:fill="FFFFFF"/>
        <w:jc w:val="center"/>
        <w:rPr>
          <w:b/>
          <w:bCs/>
          <w:sz w:val="24"/>
          <w:szCs w:val="24"/>
        </w:rPr>
      </w:pPr>
      <w:r w:rsidRPr="007D5E48">
        <w:rPr>
          <w:b/>
          <w:bCs/>
          <w:sz w:val="24"/>
          <w:szCs w:val="24"/>
        </w:rPr>
        <w:t>O FUTURO DO BACURI: MODELAGEM DA DISTRIBUIÇÃO DA PLATONIA INSIGNIS FRENTE ÀS MUDANÇAS CLIMÁTICAS</w:t>
      </w:r>
    </w:p>
    <w:p w14:paraId="4EA2C8E5" w14:textId="77777777" w:rsidR="007D5E48" w:rsidRDefault="007D5E48" w:rsidP="007D5E48">
      <w:pPr>
        <w:shd w:val="clear" w:color="auto" w:fill="FFFFFF"/>
        <w:jc w:val="center"/>
        <w:rPr>
          <w:sz w:val="24"/>
          <w:szCs w:val="24"/>
        </w:rPr>
      </w:pPr>
    </w:p>
    <w:p w14:paraId="09F896D4" w14:textId="75C2C4DF" w:rsidR="004D254A" w:rsidRDefault="00000000" w:rsidP="007D5E48">
      <w:pPr>
        <w:shd w:val="clear" w:color="auto" w:fill="FFFFFF"/>
        <w:jc w:val="center"/>
        <w:rPr>
          <w:color w:val="FF0000"/>
          <w:sz w:val="24"/>
          <w:szCs w:val="24"/>
          <w:u w:val="single"/>
        </w:rPr>
      </w:pPr>
      <w:r>
        <w:rPr>
          <w:sz w:val="24"/>
          <w:szCs w:val="24"/>
        </w:rPr>
        <w:t>Laurent Fernandes dos Santos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Denilson Pereira Corpes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Levy Medeiros de Araújo³; Felipe Luan da Silva Cordeiro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Roberto Senna Rodrigues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Francisca Nara da Conceição Moreira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;</w:t>
      </w:r>
      <w:r>
        <w:rPr>
          <w:sz w:val="24"/>
          <w:szCs w:val="24"/>
          <w:u w:val="single"/>
        </w:rPr>
        <w:t xml:space="preserve"> Tássia Toyoi Gomes Takashima</w:t>
      </w:r>
      <w:r>
        <w:rPr>
          <w:sz w:val="24"/>
          <w:szCs w:val="24"/>
          <w:u w:val="single"/>
          <w:vertAlign w:val="superscript"/>
        </w:rPr>
        <w:t>7</w:t>
      </w:r>
    </w:p>
    <w:p w14:paraId="20BEFA3D" w14:textId="77777777" w:rsidR="004D254A" w:rsidRDefault="004D254A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5992CAFA" w14:textId="77777777" w:rsidR="004D254A" w:rsidRPr="007D5E48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em Tecnologia em Gestão Ambiental. Instituto Federal do Pará. </w:t>
      </w:r>
      <w:hyperlink r:id="rId8">
        <w:r w:rsidRPr="007D5E48">
          <w:rPr>
            <w:sz w:val="24"/>
            <w:szCs w:val="24"/>
          </w:rPr>
          <w:t>laurentfernandes660@gmail.com</w:t>
        </w:r>
      </w:hyperlink>
    </w:p>
    <w:p w14:paraId="6F81CA56" w14:textId="74DA51F6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² Graduando em Tecnologia em Gestão Ambiental. Instituto Federal do Pará.  </w:t>
      </w:r>
    </w:p>
    <w:p w14:paraId="613C2633" w14:textId="76874266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³ Graduando em Tecnologia em Gestão Ambiental. Instituto Federal do Pará. </w:t>
      </w:r>
      <w:r>
        <w:rPr>
          <w:sz w:val="24"/>
          <w:szCs w:val="24"/>
          <w:u w:val="single"/>
        </w:rPr>
        <w:t xml:space="preserve"> </w:t>
      </w:r>
    </w:p>
    <w:p w14:paraId="5B924E2A" w14:textId="46EF7C0E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Graduando em Tecnologia em Gestão Ambiental. Instituto Federal do Pará. </w:t>
      </w:r>
    </w:p>
    <w:p w14:paraId="16CD80B8" w14:textId="6C76FC3A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Mestre em Gestão de Recursos Naturais em Desenvolvimento Local da Amazônia. instituto Federal do Pará. </w:t>
      </w:r>
    </w:p>
    <w:p w14:paraId="64CFD60D" w14:textId="2BB7206D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Mestre em Engenharia Civil. Instituto Federal do Pará. </w:t>
      </w:r>
    </w:p>
    <w:p w14:paraId="1453AE4E" w14:textId="2B63CA0B" w:rsidR="004D254A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Doutora em Biodiversidade e Evolução. Instituto Federal do Pará. </w:t>
      </w:r>
    </w:p>
    <w:p w14:paraId="6952AA4B" w14:textId="77777777" w:rsidR="004D254A" w:rsidRDefault="004D254A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35BF5C9" w14:textId="77777777" w:rsidR="004D254A" w:rsidRPr="007D5E48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 w:rsidRPr="007D5E48">
        <w:rPr>
          <w:b/>
          <w:bCs/>
          <w:sz w:val="24"/>
          <w:szCs w:val="24"/>
          <w:u w:val="single"/>
        </w:rPr>
        <w:t>RESUMO</w:t>
      </w:r>
    </w:p>
    <w:p w14:paraId="19F0E123" w14:textId="5FF4FB41" w:rsidR="004D254A" w:rsidRDefault="00000000">
      <w:pPr>
        <w:shd w:val="clear" w:color="auto" w:fill="FFFFFF"/>
        <w:tabs>
          <w:tab w:val="left" w:pos="2500"/>
        </w:tabs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O Bacuri (</w:t>
      </w:r>
      <w:r>
        <w:rPr>
          <w:i/>
          <w:iCs/>
          <w:sz w:val="24"/>
          <w:szCs w:val="24"/>
        </w:rPr>
        <w:t xml:space="preserve">Platonia insignis </w:t>
      </w:r>
      <w:r>
        <w:rPr>
          <w:color w:val="000000"/>
          <w:sz w:val="24"/>
          <w:szCs w:val="24"/>
        </w:rPr>
        <w:t xml:space="preserve">Mart.) </w:t>
      </w:r>
      <w:r>
        <w:rPr>
          <w:sz w:val="24"/>
          <w:szCs w:val="24"/>
        </w:rPr>
        <w:t xml:space="preserve">é considerado um fruto popular da Amazônia, pela mistura de sabores doce e ácido do fruto, além de seu aroma marcante. O fruto apresenta grande importância comercial, gastronômica, medicinal e cosmética na região norte do Brasil, com destaque nos estados do Pará e Maranhão. </w:t>
      </w:r>
      <w:r>
        <w:rPr>
          <w:color w:val="000000"/>
          <w:sz w:val="24"/>
          <w:szCs w:val="24"/>
        </w:rPr>
        <w:t>Dada a importância</w:t>
      </w:r>
      <w:r>
        <w:rPr>
          <w:sz w:val="24"/>
          <w:szCs w:val="24"/>
        </w:rPr>
        <w:t xml:space="preserve">, o objetivo deste trabalho foi analisar a adequabilidade climática do Bacuri, considerando um cenário presente e futuro de mudanças </w:t>
      </w:r>
      <w:r w:rsidR="007D5E48">
        <w:rPr>
          <w:sz w:val="24"/>
          <w:szCs w:val="24"/>
        </w:rPr>
        <w:t>climáticas. OS</w:t>
      </w:r>
      <w:r>
        <w:rPr>
          <w:sz w:val="24"/>
          <w:szCs w:val="24"/>
        </w:rPr>
        <w:t xml:space="preserve"> dados de ocorrência da espécie foram obtidas através do Global Biodiversity Information Facility – GBIF. O objetivo de importação dos dados biológicos passaram por tratamento, excluindo dados com ocorrências duplicadas, sem coordenadas e que não abrangem a área de interesse (Brasil), além de reduzir sobreposição espacial. Os dados climáticos foram obtidos através de download do site WorldClim, com resolução espacial de 5 km². A modelagem de distribuição de espécies foi processada no software R (versão 4.4.2), utilizando o pacote sdm e aplicando o método Maxent para a calibração do modelo. Para projeções futuras, foram obtidos dados climáticos do modelo MIROC6, baseados no cenário de alta emissão SSP370 (2021-2040). A modelagem climática do bacurizeiro revelou que temperatura e precipitação são variáveis determinantes para sua distribuição atual e futura na Amazônia. As projeções do cenário SSP370 indicam estabilidade e leve expansão das áreas adequadas, especialmente no Pará e Maranhão. Entretanto, fatores como desmatamento e fragmentação podem comprometer essa tendência, reforçando a necessidade de ações integradas de conservação e manejo sustentável.</w:t>
      </w:r>
    </w:p>
    <w:p w14:paraId="75A91D7E" w14:textId="77777777" w:rsidR="007D5E48" w:rsidRDefault="007D5E48" w:rsidP="007D5E4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CDFA6B1" w14:textId="2FAF5DAA" w:rsidR="004D254A" w:rsidRDefault="00000000" w:rsidP="007D5E4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Bacuri, Amazônia, Distribuição geográfica.</w:t>
      </w:r>
    </w:p>
    <w:p w14:paraId="1B0A99FD" w14:textId="77777777" w:rsidR="004D254A" w:rsidRDefault="004D254A" w:rsidP="007D5E4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0C22F8B" w14:textId="77777777" w:rsidR="004D254A" w:rsidRDefault="00000000" w:rsidP="007D5E4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Ciências Biológicas </w:t>
      </w:r>
      <w:r>
        <w:br w:type="page"/>
      </w:r>
    </w:p>
    <w:p w14:paraId="34A6968D" w14:textId="77777777" w:rsidR="004D254A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 INTRODUÇÃO</w:t>
      </w:r>
    </w:p>
    <w:p w14:paraId="75EA7BC2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Brasil abriga a maior diversidade vegetal do planeta, com mais de 33 mil espécies catalogadas, distribuídas em diferentes biomas que refletem a heterogeneidade climática e ecológica do território nacional (Lima et al., 2021). Dentre essas espécies, destaca-se a </w:t>
      </w:r>
      <w:r>
        <w:rPr>
          <w:i/>
          <w:iCs/>
          <w:color w:val="000000"/>
          <w:sz w:val="24"/>
          <w:szCs w:val="24"/>
        </w:rPr>
        <w:t>Platonia insignis</w:t>
      </w:r>
      <w:r>
        <w:rPr>
          <w:color w:val="000000"/>
          <w:sz w:val="24"/>
          <w:szCs w:val="24"/>
        </w:rPr>
        <w:t xml:space="preserve"> Mart., popularmente conhecida como bacurizeiro, um representante monoespecífico da família Clusiaceae, caracterizado por sua imponência, podendo alcançar até 25 metros de altura e ampla ocorrência natural nas regiões Norte e Nordeste, especialmente na Amazônia e em áreas de transição com o Cerrado.</w:t>
      </w:r>
    </w:p>
    <w:p w14:paraId="3F9AB355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bacurizeiro possui grande relevância econômica, social e cultural para as comunidades amazônicas. Seus frutos, de sabor agridoce e alto valor nutricional, são amplamente comercializados em feiras e mercados locais, constituindo uma importante fonte de renda para agricultores familiares e extrativistas. A cadeia produtiva do bacuri está fortemente baseada no extrativismo sustentável, um sistema que alia conservação da biodiversidade e geração de renda, representando um modelo de uso racional dos recursos florestais </w:t>
      </w:r>
      <w:r>
        <w:rPr>
          <w:sz w:val="24"/>
          <w:szCs w:val="24"/>
        </w:rPr>
        <w:t xml:space="preserve">(Silva </w:t>
      </w:r>
      <w:r w:rsidRPr="007D5E48"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., 2020)</w:t>
      </w:r>
      <w:r>
        <w:rPr>
          <w:color w:val="000000"/>
          <w:sz w:val="24"/>
          <w:szCs w:val="24"/>
        </w:rPr>
        <w:t>.</w:t>
      </w:r>
    </w:p>
    <w:p w14:paraId="2CDE8AB0" w14:textId="7E0A2690" w:rsidR="004D254A" w:rsidRDefault="00000000">
      <w:pPr>
        <w:widowControl/>
        <w:tabs>
          <w:tab w:val="left" w:pos="69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Além de sua importância alimentar, o bacuri tem expressiva aplicação na indústria de cosméticos e farmacêutica, em razão do óleo extraído de suas sementes, rico em substâncias com propriedades anti-inflamatórias, cicatrizantes e antioxidantes. Esse subproduto tem sido amplamente utilizado na formulação de pomadas e cremes dermatológicos, o que amplia o potencial econômico da espécie e reforça sua relevância na bioeconomia amazônica </w:t>
      </w:r>
      <w:r>
        <w:rPr>
          <w:sz w:val="24"/>
          <w:szCs w:val="24"/>
        </w:rPr>
        <w:t>(Oliveira &amp; Santos, 2021</w:t>
      </w:r>
      <w:r w:rsidR="007D5E48">
        <w:rPr>
          <w:sz w:val="24"/>
          <w:szCs w:val="24"/>
        </w:rPr>
        <w:t>)</w:t>
      </w:r>
      <w:r w:rsidR="007D5E48">
        <w:rPr>
          <w:color w:val="000000"/>
          <w:sz w:val="24"/>
          <w:szCs w:val="24"/>
        </w:rPr>
        <w:t>. Alterações</w:t>
      </w:r>
      <w:r>
        <w:rPr>
          <w:color w:val="000000"/>
          <w:sz w:val="24"/>
          <w:szCs w:val="24"/>
        </w:rPr>
        <w:t xml:space="preserve"> nos padrões de temperatura e precipitação podem afetar o crescimento, a frutificação e a área de ocorrência do bacurizeiro, impactando diretamente as comunidades que dela dependem. Nesse contexto, a modelagem de distribuição de espécies (SDM) surge como uma ferramenta essencial para compreender a adequabilidade climática atual e futura de </w:t>
      </w:r>
      <w:r>
        <w:rPr>
          <w:i/>
          <w:iCs/>
          <w:color w:val="000000"/>
          <w:sz w:val="24"/>
          <w:szCs w:val="24"/>
        </w:rPr>
        <w:t>P. insignis</w:t>
      </w:r>
      <w:r>
        <w:rPr>
          <w:color w:val="000000"/>
          <w:sz w:val="24"/>
          <w:szCs w:val="24"/>
        </w:rPr>
        <w:t>.</w:t>
      </w:r>
    </w:p>
    <w:p w14:paraId="707B4E5D" w14:textId="1A4C3538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uso de modelos baseados em máxima entropia (MaxEnt), aliado a dados bioclimáticos obtidos de plataformas como WorldClim e registros de ocorrência provenientes do Global Biodiversity Information Facility (GBIF), permite identificar áreas potenciais de ocorrência da espécie sob diferentes cenários de mudança climática </w:t>
      </w:r>
      <w:r>
        <w:rPr>
          <w:sz w:val="24"/>
          <w:szCs w:val="24"/>
        </w:rPr>
        <w:t>(Phillips</w:t>
      </w:r>
      <w:r w:rsidR="007D5E48">
        <w:rPr>
          <w:sz w:val="24"/>
          <w:szCs w:val="24"/>
        </w:rPr>
        <w:t>;</w:t>
      </w:r>
      <w:r>
        <w:rPr>
          <w:sz w:val="24"/>
          <w:szCs w:val="24"/>
        </w:rPr>
        <w:t xml:space="preserve"> Anderson</w:t>
      </w:r>
      <w:r w:rsidR="007D5E48">
        <w:rPr>
          <w:sz w:val="24"/>
          <w:szCs w:val="24"/>
        </w:rPr>
        <w:t xml:space="preserve">; </w:t>
      </w:r>
      <w:r>
        <w:rPr>
          <w:sz w:val="24"/>
          <w:szCs w:val="24"/>
        </w:rPr>
        <w:t>Schapire, 2006)</w:t>
      </w:r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Essa abordagem possibilita antecipar impactos e subsidiar estratégias de manejo, conservação e adaptação da cadeia produtiva, garantindo a resiliência do bacurizeiro frente às novas condições ambientais.</w:t>
      </w:r>
    </w:p>
    <w:p w14:paraId="457A2A1D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Assim, este estudo tem por objetivo avaliar a adequabilidade climática atual e futura do bacurizeiro (</w:t>
      </w:r>
      <w:r>
        <w:rPr>
          <w:i/>
          <w:iCs/>
          <w:color w:val="000000"/>
          <w:sz w:val="24"/>
          <w:szCs w:val="24"/>
        </w:rPr>
        <w:t>Platonia insignis</w:t>
      </w:r>
      <w:r>
        <w:rPr>
          <w:color w:val="000000"/>
          <w:sz w:val="24"/>
          <w:szCs w:val="24"/>
        </w:rPr>
        <w:t>) na região amazônica, utilizando modelagem de distribuição de espécies para projeções da adequabilidade climática em cenário atual e de mudanças climáticas, contribuindo para a conservação da espécie e para o planejamento sustentável das atividades extrativistas que sustentam milhares de famílias na Amazônia.</w:t>
      </w:r>
    </w:p>
    <w:p w14:paraId="7AAE7CC3" w14:textId="77777777" w:rsidR="004D254A" w:rsidRDefault="004D254A">
      <w:pPr>
        <w:widowControl/>
        <w:tabs>
          <w:tab w:val="left" w:pos="699"/>
        </w:tabs>
        <w:spacing w:line="360" w:lineRule="auto"/>
        <w:jc w:val="both"/>
        <w:rPr>
          <w:b/>
          <w:bCs/>
          <w:sz w:val="24"/>
          <w:szCs w:val="24"/>
        </w:rPr>
      </w:pPr>
    </w:p>
    <w:p w14:paraId="12F54A11" w14:textId="77777777" w:rsidR="004D254A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2. METODOLOGIA</w:t>
      </w:r>
    </w:p>
    <w:p w14:paraId="630957ED" w14:textId="6C09A41C" w:rsidR="004D254A" w:rsidRDefault="00000000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adequabilidade climática atual e futura do bacurizeiro (</w:t>
      </w:r>
      <w:r>
        <w:rPr>
          <w:i/>
          <w:iCs/>
          <w:color w:val="000000"/>
          <w:sz w:val="24"/>
          <w:szCs w:val="24"/>
        </w:rPr>
        <w:t>Platonia insignis</w:t>
      </w:r>
      <w:r>
        <w:rPr>
          <w:color w:val="000000"/>
          <w:sz w:val="24"/>
          <w:szCs w:val="24"/>
        </w:rPr>
        <w:t xml:space="preserve">) na região amazônica foi realizada utilizando técnicas de modelagem de distribuição de espécies (SDM – </w:t>
      </w:r>
      <w:r>
        <w:rPr>
          <w:i/>
          <w:iCs/>
          <w:color w:val="000000"/>
          <w:sz w:val="24"/>
          <w:szCs w:val="24"/>
        </w:rPr>
        <w:t>Species Distribution Modeling</w:t>
      </w:r>
      <w:r>
        <w:rPr>
          <w:color w:val="000000"/>
          <w:sz w:val="24"/>
          <w:szCs w:val="24"/>
        </w:rPr>
        <w:t>), processados no software RStudio (versão 4.4.2). As etapas metodológicas seguiram: (i) Obtenção e tratamento dos dados de ocorrência; (ii) Download de variáveis bioclimáticas; (iii) Modelagem de distribuição; (iv) Cenário futuro de mudanças climáticas; (v) Análise dos resultados.</w:t>
      </w:r>
    </w:p>
    <w:p w14:paraId="787EFE2E" w14:textId="4AD98924" w:rsidR="004D254A" w:rsidRPr="007D5E48" w:rsidRDefault="007D5E48">
      <w:pPr>
        <w:widowControl/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2.1. OBTENÇÃO E TRATAMENTO DOS DADOS DE OCORRÊNCIA</w:t>
      </w:r>
    </w:p>
    <w:p w14:paraId="3AEA17CF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registros de ocorrência de </w:t>
      </w:r>
      <w:r>
        <w:rPr>
          <w:i/>
          <w:iCs/>
          <w:color w:val="000000"/>
          <w:sz w:val="24"/>
          <w:szCs w:val="24"/>
        </w:rPr>
        <w:t>P. insignis</w:t>
      </w:r>
      <w:r>
        <w:rPr>
          <w:color w:val="000000"/>
          <w:sz w:val="24"/>
          <w:szCs w:val="24"/>
        </w:rPr>
        <w:t xml:space="preserve"> foram obtidos a partir da base de dados do Global Biodiversity Information Facility (GBIF, 2024), utilizando o nome científico validado da espécie. Os dados de ocorrência passaram pelo tratamento de limpeza e filtragem com:</w:t>
      </w:r>
    </w:p>
    <w:p w14:paraId="41A025A8" w14:textId="77777777" w:rsidR="004D254A" w:rsidRDefault="00000000">
      <w:pPr>
        <w:widowControl/>
        <w:numPr>
          <w:ilvl w:val="0"/>
          <w:numId w:val="1"/>
        </w:numPr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Remoção de duplicatas e coordenadas inválidas (registros sem latitude/longitude ou com erros geográficos evidentes);</w:t>
      </w:r>
    </w:p>
    <w:p w14:paraId="37D1867B" w14:textId="77777777" w:rsidR="004D254A" w:rsidRDefault="00000000">
      <w:pPr>
        <w:widowControl/>
        <w:numPr>
          <w:ilvl w:val="0"/>
          <w:numId w:val="1"/>
        </w:numPr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Eliminação de registros fora da área de ocorrência natural da espécie (pontos costeiros e oceânicos);</w:t>
      </w:r>
    </w:p>
    <w:p w14:paraId="7C20FE76" w14:textId="77777777" w:rsidR="004D254A" w:rsidRDefault="00000000">
      <w:pPr>
        <w:widowControl/>
        <w:numPr>
          <w:ilvl w:val="0"/>
          <w:numId w:val="1"/>
        </w:numPr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Aplicação de rarefação espacial para reduzir o viés amostral, garantindo uma distância mínima de 10 km entre os pontos de ocorrência válidos.</w:t>
      </w:r>
    </w:p>
    <w:p w14:paraId="18CEF6A5" w14:textId="2D929923" w:rsidR="004D254A" w:rsidRPr="007D5E48" w:rsidRDefault="007D5E48">
      <w:pPr>
        <w:widowControl/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2.2. VARIÁVEIS BIOCLIMÁTICAS</w:t>
      </w:r>
    </w:p>
    <w:p w14:paraId="56D8E27E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70C0"/>
          <w:sz w:val="24"/>
          <w:szCs w:val="24"/>
        </w:rPr>
      </w:pPr>
      <w:r>
        <w:rPr>
          <w:color w:val="000000"/>
          <w:sz w:val="24"/>
          <w:szCs w:val="24"/>
        </w:rPr>
        <w:t xml:space="preserve">Foram utilizadas 19 variáveis bioclimáticas derivadas do banco de dados WorldClim v2.1, com resolução espacial de 2,5 minutos de arco (~5 km²), representando médias climáticas </w:t>
      </w:r>
      <w:r>
        <w:rPr>
          <w:color w:val="000000"/>
          <w:sz w:val="24"/>
          <w:szCs w:val="24"/>
        </w:rPr>
        <w:lastRenderedPageBreak/>
        <w:t>do período de 1970 a 2000. Para reduzir a multicolinearidade entre as variáveis, aplicou-se Fator de Inflação de Variância (VIF &lt; 10), resultando em um conjunto de variáveis não correlacionadas, representativas dos principais gradientes de temperatura e precipitação. Essas variáveis foram posteriormente utilizadas como preditoras na modelagem de adequabilidade climática</w:t>
      </w:r>
      <w:r>
        <w:rPr>
          <w:color w:val="0070C0"/>
          <w:sz w:val="24"/>
          <w:szCs w:val="24"/>
        </w:rPr>
        <w:t>.</w:t>
      </w:r>
    </w:p>
    <w:p w14:paraId="5975F1B6" w14:textId="2AD3089A" w:rsidR="004D254A" w:rsidRPr="007D5E48" w:rsidRDefault="007D5E48">
      <w:pPr>
        <w:widowControl/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2.3 MODELAGEM DE DISTRIBUIÇÃO</w:t>
      </w:r>
    </w:p>
    <w:p w14:paraId="1CC6A936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modelagem foi realizada com o algoritmo MaxEnt (Maximum Entropy Modeling), empregado em estudos ecológicos preditivos (</w:t>
      </w:r>
      <w:r>
        <w:rPr>
          <w:sz w:val="24"/>
          <w:szCs w:val="24"/>
        </w:rPr>
        <w:t>Morales et al. 2017)</w:t>
      </w:r>
      <w:r>
        <w:rPr>
          <w:color w:val="000000"/>
          <w:sz w:val="24"/>
          <w:szCs w:val="24"/>
        </w:rPr>
        <w:t xml:space="preserve">. O modelo foi implementado utilizando os pacotes sdm, ggspatial e raster. A calibração dos parâmetros do MaxEnt foi conduzida com base em validação cruzada k-fold (k = 5), sendo 70% dos registros destinados ao treinamento e 30% à validação. </w:t>
      </w:r>
    </w:p>
    <w:p w14:paraId="0C564B25" w14:textId="0613DE51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performance dos modelos foi avaliada pelas métricas Área Sob a Curva ROC (AUC) e </w:t>
      </w:r>
      <w:proofErr w:type="spellStart"/>
      <w:r>
        <w:rPr>
          <w:color w:val="000000"/>
          <w:sz w:val="24"/>
          <w:szCs w:val="24"/>
        </w:rPr>
        <w:t>True</w:t>
      </w:r>
      <w:proofErr w:type="spellEnd"/>
      <w:r>
        <w:rPr>
          <w:color w:val="000000"/>
          <w:sz w:val="24"/>
          <w:szCs w:val="24"/>
        </w:rPr>
        <w:t xml:space="preserve"> Skill </w:t>
      </w:r>
      <w:proofErr w:type="spellStart"/>
      <w:r>
        <w:rPr>
          <w:color w:val="000000"/>
          <w:sz w:val="24"/>
          <w:szCs w:val="24"/>
        </w:rPr>
        <w:t>Statistic</w:t>
      </w:r>
      <w:proofErr w:type="spellEnd"/>
      <w:r>
        <w:rPr>
          <w:color w:val="000000"/>
          <w:sz w:val="24"/>
          <w:szCs w:val="24"/>
        </w:rPr>
        <w:t xml:space="preserve"> (TSS), parâmetros reconhecidos por medir o poder discriminatório e a acurácia preditiva do modelo </w:t>
      </w:r>
      <w:r>
        <w:rPr>
          <w:sz w:val="24"/>
          <w:szCs w:val="24"/>
        </w:rPr>
        <w:t>(Allouche</w:t>
      </w:r>
      <w:r w:rsidR="007D5E48">
        <w:rPr>
          <w:sz w:val="24"/>
          <w:szCs w:val="24"/>
        </w:rPr>
        <w:t>;</w:t>
      </w:r>
      <w:r>
        <w:rPr>
          <w:sz w:val="24"/>
          <w:szCs w:val="24"/>
        </w:rPr>
        <w:t xml:space="preserve"> Tsoar</w:t>
      </w:r>
      <w:r w:rsidR="007D5E48">
        <w:rPr>
          <w:sz w:val="24"/>
          <w:szCs w:val="24"/>
        </w:rPr>
        <w:t xml:space="preserve">; </w:t>
      </w:r>
      <w:r>
        <w:rPr>
          <w:sz w:val="24"/>
          <w:szCs w:val="24"/>
        </w:rPr>
        <w:t>Kadmon, 2006)</w:t>
      </w:r>
    </w:p>
    <w:p w14:paraId="658D8BB4" w14:textId="7FBD1EB2" w:rsidR="004D254A" w:rsidRPr="007D5E48" w:rsidRDefault="007D5E48">
      <w:pPr>
        <w:widowControl/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2.4 CENÁRIO FUTURO DE MUDANÇAS CLIMÁTICAS</w:t>
      </w:r>
    </w:p>
    <w:p w14:paraId="02355A40" w14:textId="77777777" w:rsidR="004D254A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a projeção futura, foram utilizados dados climáticos do modelo MIROC6 (</w:t>
      </w:r>
      <w:r w:rsidRPr="007D5E48">
        <w:rPr>
          <w:i/>
          <w:iCs/>
          <w:color w:val="000000"/>
          <w:sz w:val="24"/>
          <w:szCs w:val="24"/>
        </w:rPr>
        <w:t>Model for Interdisciplinary Research on Climate</w:t>
      </w:r>
      <w:r>
        <w:rPr>
          <w:color w:val="000000"/>
          <w:sz w:val="24"/>
          <w:szCs w:val="24"/>
        </w:rPr>
        <w:t xml:space="preserve">), sob o cenário de emissões SSP370, para o período de 2021–2040, disponíveis na plataforma WorldClim. As variáveis foram reamostradas para a mesma resolução espacial das condições atuais, garantindo comparabilidade entre os cenários. A adequabilidade climática futura foi projetada com base na média das variáveis selecionadas e comparada com o modelo atual, </w:t>
      </w:r>
      <w:r>
        <w:rPr>
          <w:sz w:val="24"/>
          <w:szCs w:val="24"/>
        </w:rPr>
        <w:t>que permite</w:t>
      </w:r>
      <w:r>
        <w:rPr>
          <w:color w:val="000000"/>
          <w:sz w:val="24"/>
          <w:szCs w:val="24"/>
        </w:rPr>
        <w:t xml:space="preserve"> a identificação de áreas de estabilidade, expansão e retração da distribuição potencial da espécie.</w:t>
      </w:r>
    </w:p>
    <w:p w14:paraId="53D40544" w14:textId="559DC44D" w:rsidR="004D254A" w:rsidRPr="007D5E48" w:rsidRDefault="007D5E48">
      <w:pPr>
        <w:widowControl/>
        <w:tabs>
          <w:tab w:val="left" w:pos="699"/>
        </w:tabs>
        <w:spacing w:after="160"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2.5 ANÁLISE DOS RESULTADOS</w:t>
      </w:r>
    </w:p>
    <w:p w14:paraId="74FC8B73" w14:textId="4C8F2A64" w:rsidR="004D254A" w:rsidRPr="007D5E48" w:rsidRDefault="00000000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mapas de adequabilidade climática foram gerados e classificados em cinco classes (muito baixa, baixa, média, alta e muito alta), com base nos valores de probabilidade de ocorrência produzidos pelo MaxEnt (0–1). A análise espacial foi conduzida no RStudio 4.4.2, possibilitando a identificação das áreas adequadas em cada cenário e das regiões mais propícias. Os resultados foram interpretados de forma comparativa, destacando as regiões com potencial de expansão e redução de adequabilidade climática, contribuindo para estratégias de conservação e manejo da espécie.</w:t>
      </w:r>
    </w:p>
    <w:p w14:paraId="177EAAA6" w14:textId="77777777" w:rsidR="004D254A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71655D1F" w14:textId="77777777" w:rsidR="004D254A" w:rsidRDefault="00000000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modelagem de distribuição de espécies realizada para </w:t>
      </w:r>
      <w:r>
        <w:rPr>
          <w:i/>
          <w:iCs/>
          <w:color w:val="000000"/>
          <w:sz w:val="24"/>
          <w:szCs w:val="24"/>
        </w:rPr>
        <w:t>Platonia insignis</w:t>
      </w:r>
      <w:r>
        <w:rPr>
          <w:color w:val="000000"/>
          <w:sz w:val="24"/>
          <w:szCs w:val="24"/>
        </w:rPr>
        <w:t xml:space="preserve"> apresentou desempenho satisfatório, com AUC superior a 0,9 e TSS acima de 0,6, indicando alta capacidade preditiva do modelo. Esses resultados confirmaram que as variáveis bioclimáticas utilizadas foram adequadas para representar a distribuição atual da espécie.</w:t>
      </w:r>
    </w:p>
    <w:p w14:paraId="58B25EA7" w14:textId="77777777" w:rsidR="004D254A" w:rsidRDefault="00000000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variáveis com maior contribuição no modelo foram a isoterma anual (BIO3) e a precipitação do trimestre mais chuvoso (BIO16), que juntas explicaram mais de 60% da variabilidade total. Isso evidencia que o regime térmico e a disponibilidade hídrica são fatores determinantes para o desenvolvimento do bacurizeiro na Amazônia, o que está de acordo com os padrões ecológicos observados em espécies tropicais sensíveis a alterações de umidade e temperatura.</w:t>
      </w:r>
    </w:p>
    <w:p w14:paraId="7503326C" w14:textId="43447D6D" w:rsidR="004D254A" w:rsidRPr="007D5E48" w:rsidRDefault="00000000" w:rsidP="007D5E48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Figura 1 é mostrado o mapa de adequabilidade climática atual da espécie, indicando ampla distribuição em áreas do nordeste do Pará, Amapá, Maranhão e porções leste do Amazonas. Essas regiões apresentaram valores de probabilidade de ocorrência superiores a 0,7, </w:t>
      </w:r>
      <w:r>
        <w:rPr>
          <w:sz w:val="24"/>
          <w:szCs w:val="24"/>
        </w:rPr>
        <w:t>o que caracteriza</w:t>
      </w:r>
      <w:r>
        <w:rPr>
          <w:color w:val="000000"/>
          <w:sz w:val="24"/>
          <w:szCs w:val="24"/>
        </w:rPr>
        <w:t xml:space="preserve"> alta adequabilidade. Em contrapartida, o sudoeste do Amazonas e o Acre exibiram baixa adequabilidade climática, possivelmente em razão de variações de temperatura e precipitação extremas que limitam a expansão natural da espécie.</w:t>
      </w:r>
    </w:p>
    <w:p w14:paraId="16B2498E" w14:textId="77777777" w:rsidR="004D254A" w:rsidRDefault="00000000">
      <w:pPr>
        <w:widowControl/>
        <w:tabs>
          <w:tab w:val="left" w:pos="1290"/>
        </w:tabs>
        <w:spacing w:line="360" w:lineRule="auto"/>
        <w:jc w:val="both"/>
      </w:pPr>
      <w:bookmarkStart w:id="0" w:name="_heading=h.k9hc17z57h5o" w:colFirst="0" w:colLast="0"/>
      <w:bookmarkEnd w:id="0"/>
      <w:r>
        <w:t xml:space="preserve">Figura 1 – </w:t>
      </w:r>
      <w:r>
        <w:rPr>
          <w:color w:val="000000"/>
        </w:rPr>
        <w:t>Mapa de adequabilidade climática atual do bacurizeiro (</w:t>
      </w:r>
      <w:r>
        <w:rPr>
          <w:i/>
          <w:iCs/>
          <w:color w:val="000000"/>
        </w:rPr>
        <w:t>Platonia insignis</w:t>
      </w:r>
      <w:r>
        <w:rPr>
          <w:color w:val="000000"/>
        </w:rPr>
        <w:t>) na Amazônia.</w:t>
      </w:r>
    </w:p>
    <w:p w14:paraId="6E170E7A" w14:textId="5F1FAB36" w:rsidR="007D5E48" w:rsidRPr="007D5E48" w:rsidRDefault="007D5E48" w:rsidP="007D5E48">
      <w:pPr>
        <w:widowControl/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7021D67" wp14:editId="271A77B4">
            <wp:extent cx="4969738" cy="3171825"/>
            <wp:effectExtent l="0" t="0" r="2540" b="0"/>
            <wp:docPr id="11758066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97" cy="323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1B534" w14:textId="3C33586D" w:rsidR="004D254A" w:rsidRPr="007D5E48" w:rsidRDefault="007D5E48" w:rsidP="007D5E48">
      <w:pPr>
        <w:pBdr>
          <w:bottom w:val="none" w:sz="0" w:space="8" w:color="000000"/>
        </w:pBdr>
        <w:shd w:val="clear" w:color="auto" w:fill="FFFFFF"/>
        <w:tabs>
          <w:tab w:val="left" w:pos="0"/>
        </w:tabs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ab/>
      </w:r>
      <w:r w:rsidR="00000000" w:rsidRPr="007D5E48">
        <w:rPr>
          <w:sz w:val="24"/>
          <w:szCs w:val="24"/>
          <w:highlight w:val="white"/>
        </w:rPr>
        <w:t xml:space="preserve">Fonte: Fernandes </w:t>
      </w:r>
      <w:r w:rsidR="00000000" w:rsidRPr="007D5E48">
        <w:rPr>
          <w:i/>
          <w:iCs/>
          <w:sz w:val="24"/>
          <w:szCs w:val="24"/>
          <w:highlight w:val="white"/>
        </w:rPr>
        <w:t>et al</w:t>
      </w:r>
      <w:r w:rsidR="00000000" w:rsidRPr="007D5E48">
        <w:rPr>
          <w:sz w:val="24"/>
          <w:szCs w:val="24"/>
          <w:highlight w:val="white"/>
        </w:rPr>
        <w:t xml:space="preserve">, 2025. </w:t>
      </w:r>
    </w:p>
    <w:p w14:paraId="034787EE" w14:textId="1C7B7690" w:rsidR="004D254A" w:rsidRPr="007D5E48" w:rsidRDefault="00000000" w:rsidP="007D5E48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projeção para o cenário futuro (2021–2040), gerada a partir do modelo climático MIROC6 sob o cenário SSP370, indicou mudanças moderadas na distribuição potencial da espécie. Observou-se uma expansão das áreas adequadas na porção oriental da Amazônia, especialmente nos estados do Pará e Maranhão, associada à manutenção de condições térmicas favoráveis e à estabilidade do regime pluviométrico. Por outro lado, foi identificada redução da adequabilidade em áreas do oeste amazônico, com provável deslocamento do centro de distribuição em direção ao leste.</w:t>
      </w:r>
    </w:p>
    <w:p w14:paraId="6A366663" w14:textId="6A7EF0C3" w:rsidR="004D254A" w:rsidRPr="007D5E48" w:rsidRDefault="007D5E48" w:rsidP="007D5E48">
      <w:pPr>
        <w:widowControl/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  <w:highlight w:val="white"/>
        </w:rPr>
        <w:tab/>
      </w:r>
      <w:r w:rsidR="00000000" w:rsidRPr="007D5E48">
        <w:rPr>
          <w:sz w:val="24"/>
          <w:szCs w:val="24"/>
          <w:highlight w:val="white"/>
        </w:rPr>
        <w:t xml:space="preserve">Figura 2 – </w:t>
      </w:r>
      <w:r w:rsidR="00000000" w:rsidRPr="007D5E48">
        <w:rPr>
          <w:color w:val="000000"/>
          <w:sz w:val="24"/>
          <w:szCs w:val="24"/>
        </w:rPr>
        <w:t xml:space="preserve">Mapa da adequabilidade climática futura (2021–2040) para </w:t>
      </w:r>
      <w:r w:rsidR="00000000" w:rsidRPr="007D5E48">
        <w:rPr>
          <w:i/>
          <w:iCs/>
          <w:color w:val="000000"/>
          <w:sz w:val="24"/>
          <w:szCs w:val="24"/>
        </w:rPr>
        <w:t>Platonia insignis</w:t>
      </w:r>
      <w:r w:rsidR="00000000" w:rsidRPr="007D5E48">
        <w:rPr>
          <w:color w:val="000000"/>
          <w:sz w:val="24"/>
          <w:szCs w:val="24"/>
        </w:rPr>
        <w:t xml:space="preserve"> sob o cenário SSP370</w:t>
      </w:r>
      <w:r w:rsidRPr="007D5E48">
        <w:rPr>
          <w:color w:val="000000"/>
          <w:sz w:val="24"/>
          <w:szCs w:val="24"/>
        </w:rPr>
        <w:t>.</w:t>
      </w:r>
    </w:p>
    <w:p w14:paraId="46A3C50A" w14:textId="77777777" w:rsidR="007D5E48" w:rsidRDefault="007D5E48" w:rsidP="007D5E48">
      <w:pPr>
        <w:widowControl/>
        <w:spacing w:line="360" w:lineRule="auto"/>
        <w:jc w:val="center"/>
        <w:rPr>
          <w:sz w:val="24"/>
          <w:szCs w:val="24"/>
          <w:highlight w:val="white"/>
        </w:rPr>
      </w:pPr>
      <w:r>
        <w:rPr>
          <w:noProof/>
          <w:color w:val="000000"/>
        </w:rPr>
        <w:lastRenderedPageBreak/>
        <w:drawing>
          <wp:inline distT="0" distB="0" distL="0" distR="0" wp14:anchorId="0D770F5F" wp14:editId="57860C35">
            <wp:extent cx="4682330" cy="2990850"/>
            <wp:effectExtent l="0" t="0" r="4445" b="0"/>
            <wp:docPr id="12207632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01" cy="300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C2808" w14:textId="76A22CF6" w:rsidR="004D254A" w:rsidRDefault="00000000" w:rsidP="007D5E48">
      <w:pPr>
        <w:widowControl/>
        <w:spacing w:line="360" w:lineRule="auto"/>
        <w:ind w:firstLine="720"/>
        <w:rPr>
          <w:sz w:val="24"/>
          <w:szCs w:val="24"/>
        </w:rPr>
      </w:pPr>
      <w:r w:rsidRPr="007D5E48">
        <w:rPr>
          <w:sz w:val="24"/>
          <w:szCs w:val="24"/>
          <w:highlight w:val="white"/>
        </w:rPr>
        <w:t xml:space="preserve">Fonte: Fernandes </w:t>
      </w:r>
      <w:r w:rsidRPr="007D5E48">
        <w:rPr>
          <w:i/>
          <w:iCs/>
          <w:sz w:val="24"/>
          <w:szCs w:val="24"/>
          <w:highlight w:val="white"/>
        </w:rPr>
        <w:t>et al</w:t>
      </w:r>
      <w:r w:rsidRPr="007D5E48">
        <w:rPr>
          <w:sz w:val="24"/>
          <w:szCs w:val="24"/>
          <w:highlight w:val="white"/>
        </w:rPr>
        <w:t xml:space="preserve">. (2025). </w:t>
      </w:r>
    </w:p>
    <w:p w14:paraId="4DC1C69A" w14:textId="77777777" w:rsidR="007D5E48" w:rsidRDefault="007D5E48" w:rsidP="007D5E48">
      <w:pPr>
        <w:widowControl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A Tabela 1 apresenta a variação das áreas adequadas à ocorrência do bacurizeiro entre os cenários atual e futuro, indicando uma expansão de aproximadamente 8% nas áreas de alta adequabilidade e uma redução de 5% nas áreas de baixa adequabilidade. Esses resultados sugerem que o bacurizeiro poderá manter ou até ampliar sua área potencial sob o cenário climático analisado, o que reforça a resiliência ecológica da espécie diante das mudanças climáticas moderadas previstas para as próximas décadas.</w:t>
      </w:r>
    </w:p>
    <w:p w14:paraId="3C5899B1" w14:textId="7C43BD4A" w:rsidR="004D254A" w:rsidRPr="007D5E48" w:rsidRDefault="00000000" w:rsidP="007D5E48">
      <w:pPr>
        <w:widowControl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 xml:space="preserve">Tabela 1 – Variação percentual da área adequada de ocorrência de </w:t>
      </w:r>
      <w:r w:rsidRPr="007D5E48">
        <w:rPr>
          <w:i/>
          <w:iCs/>
          <w:color w:val="000000"/>
          <w:sz w:val="24"/>
          <w:szCs w:val="24"/>
        </w:rPr>
        <w:t>Platonia insignis</w:t>
      </w:r>
      <w:r w:rsidRPr="007D5E48">
        <w:rPr>
          <w:color w:val="000000"/>
          <w:sz w:val="24"/>
          <w:szCs w:val="24"/>
        </w:rPr>
        <w:t xml:space="preserve"> entre os cenários atual e futuro.</w:t>
      </w:r>
    </w:p>
    <w:tbl>
      <w:tblPr>
        <w:tblStyle w:val="a1"/>
        <w:tblW w:w="9075" w:type="dxa"/>
        <w:tblInd w:w="0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3014"/>
        <w:gridCol w:w="2086"/>
        <w:gridCol w:w="2227"/>
        <w:gridCol w:w="1748"/>
      </w:tblGrid>
      <w:tr w:rsidR="004D254A" w14:paraId="0BC92DA8" w14:textId="77777777" w:rsidTr="004D25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single" w:sz="4" w:space="0" w:color="7F7F7F"/>
              <w:bottom w:val="single" w:sz="4" w:space="0" w:color="000000"/>
            </w:tcBorders>
          </w:tcPr>
          <w:p w14:paraId="2E0CEC86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de adequabilidade</w:t>
            </w:r>
          </w:p>
        </w:tc>
        <w:tc>
          <w:tcPr>
            <w:tcW w:w="2086" w:type="dxa"/>
            <w:tcBorders>
              <w:top w:val="single" w:sz="4" w:space="0" w:color="7F7F7F"/>
              <w:bottom w:val="single" w:sz="4" w:space="0" w:color="000000"/>
            </w:tcBorders>
          </w:tcPr>
          <w:p w14:paraId="40DAA69F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atual (km²)</w:t>
            </w:r>
          </w:p>
        </w:tc>
        <w:tc>
          <w:tcPr>
            <w:tcW w:w="2227" w:type="dxa"/>
            <w:tcBorders>
              <w:top w:val="single" w:sz="4" w:space="0" w:color="7F7F7F"/>
              <w:bottom w:val="single" w:sz="4" w:space="0" w:color="000000"/>
            </w:tcBorders>
          </w:tcPr>
          <w:p w14:paraId="1F3708B7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 futura (km²)</w:t>
            </w:r>
          </w:p>
        </w:tc>
        <w:tc>
          <w:tcPr>
            <w:tcW w:w="1748" w:type="dxa"/>
            <w:tcBorders>
              <w:top w:val="single" w:sz="4" w:space="0" w:color="7F7F7F"/>
              <w:bottom w:val="single" w:sz="4" w:space="0" w:color="000000"/>
            </w:tcBorders>
          </w:tcPr>
          <w:p w14:paraId="1D561DFD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Variação (%)</w:t>
            </w:r>
          </w:p>
        </w:tc>
      </w:tr>
      <w:tr w:rsidR="004D254A" w14:paraId="27D16C74" w14:textId="77777777" w:rsidTr="004D2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single" w:sz="4" w:space="0" w:color="000000"/>
              <w:bottom w:val="nil"/>
            </w:tcBorders>
          </w:tcPr>
          <w:p w14:paraId="3FE94918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Muito baixa (0–0,2)</w:t>
            </w:r>
          </w:p>
        </w:tc>
        <w:tc>
          <w:tcPr>
            <w:tcW w:w="2086" w:type="dxa"/>
            <w:tcBorders>
              <w:top w:val="single" w:sz="4" w:space="0" w:color="000000"/>
              <w:bottom w:val="nil"/>
            </w:tcBorders>
          </w:tcPr>
          <w:p w14:paraId="73A5E6FF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410.210</w:t>
            </w:r>
          </w:p>
        </w:tc>
        <w:tc>
          <w:tcPr>
            <w:tcW w:w="2227" w:type="dxa"/>
            <w:tcBorders>
              <w:top w:val="single" w:sz="4" w:space="0" w:color="000000"/>
              <w:bottom w:val="nil"/>
            </w:tcBorders>
          </w:tcPr>
          <w:p w14:paraId="3E9BB734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380.540</w:t>
            </w:r>
          </w:p>
        </w:tc>
        <w:tc>
          <w:tcPr>
            <w:tcW w:w="1748" w:type="dxa"/>
            <w:tcBorders>
              <w:top w:val="single" w:sz="4" w:space="0" w:color="000000"/>
              <w:bottom w:val="nil"/>
            </w:tcBorders>
          </w:tcPr>
          <w:p w14:paraId="76D01563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–7,2</w:t>
            </w:r>
          </w:p>
        </w:tc>
      </w:tr>
      <w:tr w:rsidR="004D254A" w14:paraId="06E57C32" w14:textId="77777777" w:rsidTr="004D25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nil"/>
              <w:bottom w:val="nil"/>
            </w:tcBorders>
          </w:tcPr>
          <w:p w14:paraId="283A70CA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Baixa (0,2–0,4)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6505B645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612.540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72E5A72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580.230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3850980A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–5,3</w:t>
            </w:r>
          </w:p>
        </w:tc>
      </w:tr>
      <w:tr w:rsidR="004D254A" w14:paraId="1E844499" w14:textId="77777777" w:rsidTr="004D2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nil"/>
              <w:bottom w:val="nil"/>
            </w:tcBorders>
          </w:tcPr>
          <w:p w14:paraId="2CDA455C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Média (0,4–0,6)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4CA3A0EE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720.880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3C61A161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730.210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0878D4B1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+1,3</w:t>
            </w:r>
          </w:p>
        </w:tc>
      </w:tr>
      <w:tr w:rsidR="004D254A" w14:paraId="7BC312B8" w14:textId="77777777" w:rsidTr="004D25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nil"/>
              <w:bottom w:val="nil"/>
            </w:tcBorders>
          </w:tcPr>
          <w:p w14:paraId="53486132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Alta (0,6–0,8)</w:t>
            </w:r>
          </w:p>
        </w:tc>
        <w:tc>
          <w:tcPr>
            <w:tcW w:w="2086" w:type="dxa"/>
            <w:tcBorders>
              <w:top w:val="nil"/>
              <w:bottom w:val="nil"/>
            </w:tcBorders>
          </w:tcPr>
          <w:p w14:paraId="1AC59D2C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498.470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14:paraId="2A2B6AF1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540.620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5EB25DBD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+8,5</w:t>
            </w:r>
          </w:p>
        </w:tc>
      </w:tr>
      <w:tr w:rsidR="004D254A" w14:paraId="45ED2A17" w14:textId="77777777" w:rsidTr="004D2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4" w:type="dxa"/>
            <w:tcBorders>
              <w:top w:val="nil"/>
            </w:tcBorders>
          </w:tcPr>
          <w:p w14:paraId="05B20EBD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Muito alta (0,8–1,0)</w:t>
            </w:r>
          </w:p>
        </w:tc>
        <w:tc>
          <w:tcPr>
            <w:tcW w:w="2086" w:type="dxa"/>
            <w:tcBorders>
              <w:top w:val="nil"/>
            </w:tcBorders>
          </w:tcPr>
          <w:p w14:paraId="1AEC1FBC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252.310</w:t>
            </w:r>
          </w:p>
        </w:tc>
        <w:tc>
          <w:tcPr>
            <w:tcW w:w="2227" w:type="dxa"/>
            <w:tcBorders>
              <w:top w:val="nil"/>
            </w:tcBorders>
          </w:tcPr>
          <w:p w14:paraId="6F8A362D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271.900</w:t>
            </w:r>
          </w:p>
        </w:tc>
        <w:tc>
          <w:tcPr>
            <w:tcW w:w="1748" w:type="dxa"/>
            <w:tcBorders>
              <w:top w:val="nil"/>
            </w:tcBorders>
          </w:tcPr>
          <w:p w14:paraId="244D561C" w14:textId="77777777" w:rsidR="004D254A" w:rsidRDefault="00000000">
            <w:pPr>
              <w:keepNext/>
              <w:keepLines/>
              <w:widowControl/>
              <w:tabs>
                <w:tab w:val="left" w:pos="1290"/>
              </w:tabs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+7,8</w:t>
            </w:r>
          </w:p>
        </w:tc>
      </w:tr>
    </w:tbl>
    <w:p w14:paraId="36749DDB" w14:textId="77777777" w:rsidR="004D254A" w:rsidRPr="007D5E48" w:rsidRDefault="00000000">
      <w:pPr>
        <w:keepNext/>
        <w:keepLines/>
        <w:widowControl/>
        <w:tabs>
          <w:tab w:val="left" w:pos="1290"/>
        </w:tabs>
        <w:spacing w:line="259" w:lineRule="auto"/>
        <w:jc w:val="both"/>
        <w:rPr>
          <w:color w:val="000000"/>
          <w:sz w:val="24"/>
          <w:szCs w:val="24"/>
        </w:rPr>
      </w:pPr>
      <w:r w:rsidRPr="007D5E48">
        <w:rPr>
          <w:color w:val="000000"/>
          <w:sz w:val="24"/>
          <w:szCs w:val="24"/>
        </w:rPr>
        <w:t>Fonte: Fernandes et al, (2025).</w:t>
      </w:r>
    </w:p>
    <w:p w14:paraId="32D8AACF" w14:textId="77777777" w:rsidR="004D254A" w:rsidRDefault="004D254A">
      <w:pPr>
        <w:widowControl/>
        <w:tabs>
          <w:tab w:val="left" w:pos="1290"/>
        </w:tabs>
        <w:jc w:val="both"/>
        <w:rPr>
          <w:color w:val="000000"/>
          <w:sz w:val="24"/>
          <w:szCs w:val="24"/>
        </w:rPr>
      </w:pPr>
    </w:p>
    <w:p w14:paraId="3D1D8F48" w14:textId="77777777" w:rsidR="004D254A" w:rsidRDefault="00000000" w:rsidP="007D5E48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resultados obtidos corroboraram estudos anteriores que apontam o bacurizeiro como espécie adaptável a condições de alta umidade e temperatura constante, características </w:t>
      </w:r>
      <w:r>
        <w:rPr>
          <w:color w:val="000000"/>
          <w:sz w:val="24"/>
          <w:szCs w:val="24"/>
        </w:rPr>
        <w:lastRenderedPageBreak/>
        <w:t xml:space="preserve">predominantes na região amazônica (Lima </w:t>
      </w:r>
      <w:r w:rsidRPr="007D5E48">
        <w:rPr>
          <w:i/>
          <w:iCs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 xml:space="preserve">., 2021; Oliveira </w:t>
      </w:r>
      <w:r w:rsidRPr="007D5E48">
        <w:rPr>
          <w:i/>
          <w:iCs/>
          <w:color w:val="000000"/>
          <w:sz w:val="24"/>
          <w:szCs w:val="24"/>
        </w:rPr>
        <w:t>et al</w:t>
      </w:r>
      <w:r>
        <w:rPr>
          <w:color w:val="000000"/>
          <w:sz w:val="24"/>
          <w:szCs w:val="24"/>
        </w:rPr>
        <w:t>., 2023). A tendência de expansão observada em algumas áreas pode estar associada ao aumento da temperatura média anual, que favorece a germinação e o desenvolvimento vegetativo da espécie.</w:t>
      </w:r>
    </w:p>
    <w:p w14:paraId="320E8CF5" w14:textId="77777777" w:rsidR="004D254A" w:rsidRDefault="00000000" w:rsidP="007D5E48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entanto, ressalta-se que a expansão potencial não deve ser interpretada apenas como um efeito positivo das mudanças climáticas, uma vez que outros fatores ecológicos e antrópicos como desmatamento, fragmentação de habitat e redução da cobertura florestal podem limitar a dispersão e regeneração natural da espécie em ambientes alterados. Assim, a interpretação dos resultados deve considerar a integração entre cenários climáticos e de uso da terra para subsidiar políticas de conservação e manejo sustentável.</w:t>
      </w:r>
    </w:p>
    <w:p w14:paraId="5328F0BD" w14:textId="4A76ABE3" w:rsidR="004D254A" w:rsidRDefault="00000000" w:rsidP="007D5E48">
      <w:pPr>
        <w:widowControl/>
        <w:tabs>
          <w:tab w:val="left" w:pos="129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modelagem permitiu identificar áreas de estabilidade climática importantes para a conservação do bacurizeiro, especialmente no nordeste do Pará e no norte do Maranhão, que devem ser priorizadas em estratégias de planejamento territorial e fortalecimento da bioeconomia regional.</w:t>
      </w:r>
    </w:p>
    <w:p w14:paraId="2C30524F" w14:textId="1A8A4371" w:rsidR="004D254A" w:rsidRPr="007D5E48" w:rsidRDefault="00000000" w:rsidP="007D5E48">
      <w:pPr>
        <w:widowControl/>
        <w:tabs>
          <w:tab w:val="left" w:pos="129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4. CONCLUSÃO </w:t>
      </w:r>
    </w:p>
    <w:p w14:paraId="54D26781" w14:textId="77777777" w:rsidR="004D254A" w:rsidRDefault="00000000" w:rsidP="007D5E48">
      <w:pPr>
        <w:widowControl/>
        <w:tabs>
          <w:tab w:val="left" w:pos="699"/>
        </w:tabs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A modelagem de distribuição climática realizada para o bacurizeiro (</w:t>
      </w:r>
      <w:r>
        <w:rPr>
          <w:i/>
          <w:iCs/>
          <w:color w:val="000000"/>
          <w:sz w:val="24"/>
          <w:szCs w:val="24"/>
        </w:rPr>
        <w:t>Platonia insignis</w:t>
      </w:r>
      <w:r>
        <w:rPr>
          <w:color w:val="000000"/>
          <w:sz w:val="24"/>
          <w:szCs w:val="24"/>
        </w:rPr>
        <w:t>) permitiu compreender com maior precisão os padrões atuais e futuros de adequabilidade da espécie na Amazônia. Os resultados demonstraram que as variáveis climáticas relacionadas à temperatura e à precipitação são os principais determinantes da distribuição potencial, evidenciando a sensibilidade do bacurizeiro às variações térmicas e hídricas regionais.</w:t>
      </w:r>
    </w:p>
    <w:p w14:paraId="26D9B2A8" w14:textId="77777777" w:rsidR="004D254A" w:rsidRDefault="00000000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projeções obtidas pelo modelo MIROC6 – cenário SSP370 (2021–2040) indicaram estabilidade e leve expansão das áreas adequadas à ocorrência da espécie, especialmente nas porções orientais da Amazônia, abrangendo o Pará e o Maranhão. Essa tendência sugere que o bacurizeiro poderá manter sua viabilidade ecológica nas próximas décadas, desde que sejam preservadas as condições ambientais e a cobertura vegetal que sustentam seus habitats naturais.</w:t>
      </w:r>
    </w:p>
    <w:p w14:paraId="08A79500" w14:textId="77777777" w:rsidR="004D254A" w:rsidRDefault="00000000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Contudo, é importante destacar que a mudança climática não atua isoladamente. O avanço do desmatamento, a fragmentação dos ecossistemas e a expansão de atividades agropecuárias podem reduzir significativamente as áreas de ocorrência, mesmo onde as condições climáticas se mantiverem favoráveis. Assim, a integração entre planejamento territorial, conservação florestal e políticas de bioeconomia é essencial para garantir a resiliência ecológica e socioeconômica das cadeias produtivas associadas ao bacurizeiro.</w:t>
      </w:r>
    </w:p>
    <w:p w14:paraId="4F1B12DC" w14:textId="09567F6C" w:rsidR="004D254A" w:rsidRDefault="00000000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Portanto, a modelagem ecológica representa ferramenta eficaz para subsidiar estratégias de manejo sustentável e conservação da espécie, fornecendo informações relevantes para o fortalecimento da bioeconomia amazônica e a valorização dos recursos florestais nativos que compõem o patrimônio natural do Brasil</w:t>
      </w:r>
    </w:p>
    <w:p w14:paraId="794A704A" w14:textId="77777777" w:rsidR="007D5E48" w:rsidRPr="007D5E48" w:rsidRDefault="007D5E48" w:rsidP="007D5E48">
      <w:pPr>
        <w:widowControl/>
        <w:tabs>
          <w:tab w:val="left" w:pos="699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5CAF7310" w14:textId="77777777" w:rsidR="004D254A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51DE114A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GBIF. Global Biodiversity Information Facility. </w:t>
      </w:r>
      <w:r w:rsidRPr="007D5E48">
        <w:rPr>
          <w:b/>
          <w:bCs/>
          <w:sz w:val="24"/>
          <w:szCs w:val="24"/>
        </w:rPr>
        <w:t>GBIF Occurrence Download: Platonia insignis Mart.</w:t>
      </w:r>
      <w:r w:rsidRPr="007D5E48">
        <w:rPr>
          <w:sz w:val="24"/>
          <w:szCs w:val="24"/>
        </w:rPr>
        <w:t xml:space="preserve"> Disponível em: </w:t>
      </w:r>
      <w:hyperlink r:id="rId11">
        <w:r w:rsidRPr="007D5E48">
          <w:rPr>
            <w:sz w:val="24"/>
            <w:szCs w:val="24"/>
          </w:rPr>
          <w:t>https://www.gbif.org</w:t>
        </w:r>
      </w:hyperlink>
      <w:r w:rsidRPr="007D5E48">
        <w:rPr>
          <w:sz w:val="24"/>
          <w:szCs w:val="24"/>
        </w:rPr>
        <w:t>. Acesso em: 25 out. 2024.</w:t>
      </w:r>
    </w:p>
    <w:p w14:paraId="7CE3FDF9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4F4A33FA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INSTITUTO BRASILEIRO DE GEOGRAFIA E ESTATÍSTICA (IBGE). </w:t>
      </w:r>
      <w:r w:rsidRPr="007D5E48">
        <w:rPr>
          <w:b/>
          <w:bCs/>
          <w:sz w:val="24"/>
          <w:szCs w:val="24"/>
        </w:rPr>
        <w:t>Amazônia Legal: limites territoriais e caracterização ambiental.</w:t>
      </w:r>
      <w:r w:rsidRPr="007D5E48">
        <w:rPr>
          <w:sz w:val="24"/>
          <w:szCs w:val="24"/>
        </w:rPr>
        <w:t xml:space="preserve"> Rio de Janeiro: IBGE, 2023. Disponível em: </w:t>
      </w:r>
      <w:hyperlink r:id="rId12">
        <w:r w:rsidRPr="007D5E48">
          <w:rPr>
            <w:sz w:val="24"/>
            <w:szCs w:val="24"/>
          </w:rPr>
          <w:t>https://www.ibge.gov.br</w:t>
        </w:r>
      </w:hyperlink>
      <w:r w:rsidRPr="007D5E48">
        <w:rPr>
          <w:sz w:val="24"/>
          <w:szCs w:val="24"/>
        </w:rPr>
        <w:t>. Acesso em: 20 out. 2024.</w:t>
      </w:r>
    </w:p>
    <w:p w14:paraId="1582B7E4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6CB8CD77" w14:textId="77777777" w:rsidR="004D254A" w:rsidRPr="007D5E48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LIMA, R. S. et al. Caracterização morfológica e ecológica de Platonia insignis Mart. (Clusiaceae) na região amazônica. </w:t>
      </w:r>
      <w:r w:rsidRPr="007D5E48">
        <w:rPr>
          <w:b/>
          <w:bCs/>
          <w:sz w:val="24"/>
          <w:szCs w:val="24"/>
        </w:rPr>
        <w:t>Revista Brasileira de Biociências</w:t>
      </w:r>
      <w:r w:rsidRPr="007D5E48">
        <w:rPr>
          <w:sz w:val="24"/>
          <w:szCs w:val="24"/>
        </w:rPr>
        <w:t>, v. 19, n. 2, p. 125–134, 2021.</w:t>
      </w:r>
    </w:p>
    <w:p w14:paraId="08AF51A9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MUSCARELLA, Robert et al. </w:t>
      </w:r>
      <w:proofErr w:type="spellStart"/>
      <w:r w:rsidRPr="007D5E48">
        <w:rPr>
          <w:sz w:val="24"/>
          <w:szCs w:val="24"/>
        </w:rPr>
        <w:t>ENMeval</w:t>
      </w:r>
      <w:proofErr w:type="spellEnd"/>
      <w:r w:rsidRPr="007D5E48">
        <w:rPr>
          <w:sz w:val="24"/>
          <w:szCs w:val="24"/>
        </w:rPr>
        <w:t xml:space="preserve">: An R </w:t>
      </w:r>
      <w:proofErr w:type="spellStart"/>
      <w:r w:rsidRPr="007D5E48">
        <w:rPr>
          <w:sz w:val="24"/>
          <w:szCs w:val="24"/>
        </w:rPr>
        <w:t>package</w:t>
      </w:r>
      <w:proofErr w:type="spellEnd"/>
      <w:r w:rsidRPr="007D5E48">
        <w:rPr>
          <w:sz w:val="24"/>
          <w:szCs w:val="24"/>
        </w:rPr>
        <w:t xml:space="preserve"> for </w:t>
      </w:r>
      <w:proofErr w:type="spellStart"/>
      <w:r w:rsidRPr="007D5E48">
        <w:rPr>
          <w:sz w:val="24"/>
          <w:szCs w:val="24"/>
        </w:rPr>
        <w:t>conducting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spatially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independent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evaluations</w:t>
      </w:r>
      <w:proofErr w:type="spellEnd"/>
      <w:r w:rsidRPr="007D5E48">
        <w:rPr>
          <w:sz w:val="24"/>
          <w:szCs w:val="24"/>
        </w:rPr>
        <w:t xml:space="preserve"> and </w:t>
      </w:r>
      <w:proofErr w:type="spellStart"/>
      <w:r w:rsidRPr="007D5E48">
        <w:rPr>
          <w:sz w:val="24"/>
          <w:szCs w:val="24"/>
        </w:rPr>
        <w:t>estimating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optimal</w:t>
      </w:r>
      <w:proofErr w:type="spellEnd"/>
      <w:r w:rsidRPr="007D5E48">
        <w:rPr>
          <w:sz w:val="24"/>
          <w:szCs w:val="24"/>
        </w:rPr>
        <w:t xml:space="preserve"> model </w:t>
      </w:r>
      <w:proofErr w:type="spellStart"/>
      <w:r w:rsidRPr="007D5E48">
        <w:rPr>
          <w:sz w:val="24"/>
          <w:szCs w:val="24"/>
        </w:rPr>
        <w:t>complexity</w:t>
      </w:r>
      <w:proofErr w:type="spellEnd"/>
      <w:r w:rsidRPr="007D5E48">
        <w:rPr>
          <w:sz w:val="24"/>
          <w:szCs w:val="24"/>
        </w:rPr>
        <w:t xml:space="preserve"> for MaxEnt </w:t>
      </w:r>
      <w:proofErr w:type="spellStart"/>
      <w:r w:rsidRPr="007D5E48">
        <w:rPr>
          <w:sz w:val="24"/>
          <w:szCs w:val="24"/>
        </w:rPr>
        <w:t>ecological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niche</w:t>
      </w:r>
      <w:proofErr w:type="spellEnd"/>
      <w:r w:rsidRPr="007D5E48">
        <w:rPr>
          <w:sz w:val="24"/>
          <w:szCs w:val="24"/>
        </w:rPr>
        <w:t xml:space="preserve"> models. </w:t>
      </w:r>
      <w:r w:rsidRPr="007D5E48">
        <w:rPr>
          <w:b/>
          <w:bCs/>
          <w:sz w:val="24"/>
          <w:szCs w:val="24"/>
          <w:lang w:val="de-DE"/>
        </w:rPr>
        <w:t>Methods in Ecology and Evolution,</w:t>
      </w:r>
      <w:r w:rsidRPr="007D5E48">
        <w:rPr>
          <w:sz w:val="24"/>
          <w:szCs w:val="24"/>
          <w:lang w:val="de-DE"/>
        </w:rPr>
        <w:t xml:space="preserve"> v. 5, p. 1198–1205, 2014. DOI: </w:t>
      </w:r>
      <w:r w:rsidRPr="007D5E48">
        <w:rPr>
          <w:sz w:val="24"/>
          <w:szCs w:val="24"/>
        </w:rPr>
        <w:fldChar w:fldCharType="begin"/>
      </w:r>
      <w:r w:rsidRPr="007D5E48">
        <w:rPr>
          <w:sz w:val="24"/>
          <w:szCs w:val="24"/>
          <w:lang w:val="de-DE"/>
        </w:rPr>
        <w:instrText>HYPERLINK "https://doi.org/10.1111/2041-210X.12261" \h</w:instrText>
      </w:r>
      <w:r w:rsidRPr="007D5E48">
        <w:rPr>
          <w:sz w:val="24"/>
          <w:szCs w:val="24"/>
        </w:rPr>
      </w:r>
      <w:r w:rsidRPr="007D5E48">
        <w:rPr>
          <w:sz w:val="24"/>
          <w:szCs w:val="24"/>
        </w:rPr>
        <w:fldChar w:fldCharType="separate"/>
      </w:r>
      <w:r w:rsidRPr="007D5E48">
        <w:rPr>
          <w:sz w:val="24"/>
          <w:szCs w:val="24"/>
          <w:lang w:val="de-DE"/>
        </w:rPr>
        <w:t>https://doi.org/10.1111/2041-210X.12261</w:t>
      </w:r>
      <w:r w:rsidRPr="007D5E48">
        <w:rPr>
          <w:sz w:val="24"/>
          <w:szCs w:val="24"/>
        </w:rPr>
        <w:fldChar w:fldCharType="end"/>
      </w:r>
    </w:p>
    <w:p w14:paraId="5D1ABF27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  <w:lang w:val="de-DE"/>
        </w:rPr>
      </w:pPr>
    </w:p>
    <w:p w14:paraId="48DC6496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OLIVEIRA, R. F.; BARBOSA, L. M.; GONÇALVES, J. L. M. Distribuição potencial e conservação de espécies nativas sob cenários de mudança climática na Amazônia. </w:t>
      </w:r>
      <w:r w:rsidRPr="007D5E48">
        <w:rPr>
          <w:b/>
          <w:bCs/>
          <w:sz w:val="24"/>
          <w:szCs w:val="24"/>
        </w:rPr>
        <w:t>Acta Amazônica,</w:t>
      </w:r>
      <w:r w:rsidRPr="007D5E48">
        <w:rPr>
          <w:sz w:val="24"/>
          <w:szCs w:val="24"/>
        </w:rPr>
        <w:t xml:space="preserve"> v. 53, n. 1, p. 45–58, 2023. DOI: </w:t>
      </w:r>
      <w:hyperlink r:id="rId13">
        <w:r w:rsidRPr="007D5E48">
          <w:rPr>
            <w:sz w:val="24"/>
            <w:szCs w:val="24"/>
          </w:rPr>
          <w:t>https://doi.org/10.1590/1809-439220220041</w:t>
        </w:r>
      </w:hyperlink>
    </w:p>
    <w:p w14:paraId="159F2D5A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4A0B9E11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PHILLIPS, Steven J.; ANDERSON, Robert P.; SCHAPIRE, Robert E. Maximum </w:t>
      </w:r>
      <w:proofErr w:type="spellStart"/>
      <w:r w:rsidRPr="007D5E48">
        <w:rPr>
          <w:sz w:val="24"/>
          <w:szCs w:val="24"/>
        </w:rPr>
        <w:t>entropy</w:t>
      </w:r>
      <w:proofErr w:type="spellEnd"/>
      <w:r w:rsidRPr="007D5E48">
        <w:rPr>
          <w:sz w:val="24"/>
          <w:szCs w:val="24"/>
        </w:rPr>
        <w:t xml:space="preserve"> modeling of </w:t>
      </w:r>
      <w:proofErr w:type="spellStart"/>
      <w:r w:rsidRPr="007D5E48">
        <w:rPr>
          <w:sz w:val="24"/>
          <w:szCs w:val="24"/>
        </w:rPr>
        <w:t>species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geographic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distributions</w:t>
      </w:r>
      <w:proofErr w:type="spellEnd"/>
      <w:r w:rsidRPr="007D5E48">
        <w:rPr>
          <w:sz w:val="24"/>
          <w:szCs w:val="24"/>
        </w:rPr>
        <w:t xml:space="preserve">. </w:t>
      </w:r>
      <w:proofErr w:type="spellStart"/>
      <w:r w:rsidRPr="007D5E48">
        <w:rPr>
          <w:b/>
          <w:bCs/>
          <w:sz w:val="24"/>
          <w:szCs w:val="24"/>
        </w:rPr>
        <w:t>Ecological</w:t>
      </w:r>
      <w:proofErr w:type="spellEnd"/>
      <w:r w:rsidRPr="007D5E48">
        <w:rPr>
          <w:b/>
          <w:bCs/>
          <w:sz w:val="24"/>
          <w:szCs w:val="24"/>
        </w:rPr>
        <w:t xml:space="preserve"> </w:t>
      </w:r>
      <w:proofErr w:type="spellStart"/>
      <w:r w:rsidRPr="007D5E48">
        <w:rPr>
          <w:b/>
          <w:bCs/>
          <w:sz w:val="24"/>
          <w:szCs w:val="24"/>
        </w:rPr>
        <w:t>Modelling</w:t>
      </w:r>
      <w:proofErr w:type="spellEnd"/>
      <w:r w:rsidRPr="007D5E48">
        <w:rPr>
          <w:b/>
          <w:bCs/>
          <w:sz w:val="24"/>
          <w:szCs w:val="24"/>
        </w:rPr>
        <w:t>,</w:t>
      </w:r>
      <w:r w:rsidRPr="007D5E48">
        <w:rPr>
          <w:sz w:val="24"/>
          <w:szCs w:val="24"/>
        </w:rPr>
        <w:t xml:space="preserve"> v. 190, p. 231–259, 2006. DOI: </w:t>
      </w:r>
      <w:hyperlink r:id="rId14">
        <w:r w:rsidRPr="007D5E48">
          <w:rPr>
            <w:sz w:val="24"/>
            <w:szCs w:val="24"/>
          </w:rPr>
          <w:t>https://doi.org/10.1016/j.ecolmodel.2005.03.026</w:t>
        </w:r>
      </w:hyperlink>
    </w:p>
    <w:p w14:paraId="6A4E731C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3ABBC845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R CORE TEAM. </w:t>
      </w:r>
      <w:r w:rsidRPr="007D5E48">
        <w:rPr>
          <w:b/>
          <w:bCs/>
          <w:sz w:val="24"/>
          <w:szCs w:val="24"/>
        </w:rPr>
        <w:t xml:space="preserve">R: A </w:t>
      </w:r>
      <w:proofErr w:type="spellStart"/>
      <w:r w:rsidRPr="007D5E48">
        <w:rPr>
          <w:b/>
          <w:bCs/>
          <w:sz w:val="24"/>
          <w:szCs w:val="24"/>
        </w:rPr>
        <w:t>language</w:t>
      </w:r>
      <w:proofErr w:type="spellEnd"/>
      <w:r w:rsidRPr="007D5E48">
        <w:rPr>
          <w:b/>
          <w:bCs/>
          <w:sz w:val="24"/>
          <w:szCs w:val="24"/>
        </w:rPr>
        <w:t xml:space="preserve"> and </w:t>
      </w:r>
      <w:proofErr w:type="spellStart"/>
      <w:r w:rsidRPr="007D5E48">
        <w:rPr>
          <w:b/>
          <w:bCs/>
          <w:sz w:val="24"/>
          <w:szCs w:val="24"/>
        </w:rPr>
        <w:t>environment</w:t>
      </w:r>
      <w:proofErr w:type="spellEnd"/>
      <w:r w:rsidRPr="007D5E48">
        <w:rPr>
          <w:b/>
          <w:bCs/>
          <w:sz w:val="24"/>
          <w:szCs w:val="24"/>
        </w:rPr>
        <w:t xml:space="preserve"> for </w:t>
      </w:r>
      <w:proofErr w:type="spellStart"/>
      <w:r w:rsidRPr="007D5E48">
        <w:rPr>
          <w:b/>
          <w:bCs/>
          <w:sz w:val="24"/>
          <w:szCs w:val="24"/>
        </w:rPr>
        <w:t>statistical</w:t>
      </w:r>
      <w:proofErr w:type="spellEnd"/>
      <w:r w:rsidRPr="007D5E48">
        <w:rPr>
          <w:b/>
          <w:bCs/>
          <w:sz w:val="24"/>
          <w:szCs w:val="24"/>
        </w:rPr>
        <w:t xml:space="preserve"> </w:t>
      </w:r>
      <w:proofErr w:type="spellStart"/>
      <w:r w:rsidRPr="007D5E48">
        <w:rPr>
          <w:b/>
          <w:bCs/>
          <w:sz w:val="24"/>
          <w:szCs w:val="24"/>
        </w:rPr>
        <w:t>computing</w:t>
      </w:r>
      <w:proofErr w:type="spellEnd"/>
      <w:r w:rsidRPr="007D5E48">
        <w:rPr>
          <w:b/>
          <w:bCs/>
          <w:sz w:val="24"/>
          <w:szCs w:val="24"/>
        </w:rPr>
        <w:t>.</w:t>
      </w:r>
      <w:r w:rsidRPr="007D5E48">
        <w:rPr>
          <w:sz w:val="24"/>
          <w:szCs w:val="24"/>
        </w:rPr>
        <w:t xml:space="preserve"> Vienna: R Foundation for </w:t>
      </w:r>
      <w:proofErr w:type="spellStart"/>
      <w:r w:rsidRPr="007D5E48">
        <w:rPr>
          <w:sz w:val="24"/>
          <w:szCs w:val="24"/>
        </w:rPr>
        <w:t>Statistical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Computing</w:t>
      </w:r>
      <w:proofErr w:type="spellEnd"/>
      <w:r w:rsidRPr="007D5E48">
        <w:rPr>
          <w:sz w:val="24"/>
          <w:szCs w:val="24"/>
        </w:rPr>
        <w:t xml:space="preserve">, 2024. Disponível em: </w:t>
      </w:r>
      <w:hyperlink r:id="rId15">
        <w:r w:rsidRPr="007D5E48">
          <w:rPr>
            <w:sz w:val="24"/>
            <w:szCs w:val="24"/>
          </w:rPr>
          <w:t>https://www.r-project.org</w:t>
        </w:r>
      </w:hyperlink>
      <w:r w:rsidRPr="007D5E48">
        <w:rPr>
          <w:sz w:val="24"/>
          <w:szCs w:val="24"/>
        </w:rPr>
        <w:t>. Acesso em: 20 out. 2024.</w:t>
      </w:r>
    </w:p>
    <w:p w14:paraId="282404A7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50FECD97" w14:textId="77777777" w:rsidR="004D254A" w:rsidRDefault="00000000" w:rsidP="007D5E48">
      <w:pPr>
        <w:widowControl/>
        <w:tabs>
          <w:tab w:val="left" w:pos="1290"/>
        </w:tabs>
        <w:rPr>
          <w:sz w:val="24"/>
          <w:szCs w:val="24"/>
        </w:rPr>
      </w:pPr>
      <w:r w:rsidRPr="007D5E48">
        <w:rPr>
          <w:sz w:val="24"/>
          <w:szCs w:val="24"/>
        </w:rPr>
        <w:t xml:space="preserve">WORLDCLIM. </w:t>
      </w:r>
      <w:r w:rsidRPr="007D5E48">
        <w:rPr>
          <w:b/>
          <w:bCs/>
          <w:sz w:val="24"/>
          <w:szCs w:val="24"/>
        </w:rPr>
        <w:t>WorldClim – Global Climate Data.</w:t>
      </w:r>
      <w:r w:rsidRPr="007D5E48">
        <w:rPr>
          <w:sz w:val="24"/>
          <w:szCs w:val="24"/>
        </w:rPr>
        <w:t xml:space="preserve"> Disponível em: </w:t>
      </w:r>
      <w:hyperlink r:id="rId16">
        <w:r w:rsidRPr="007D5E48">
          <w:rPr>
            <w:sz w:val="24"/>
            <w:szCs w:val="24"/>
          </w:rPr>
          <w:t>https://www.worldclim.org</w:t>
        </w:r>
      </w:hyperlink>
      <w:r w:rsidRPr="007D5E48">
        <w:rPr>
          <w:sz w:val="24"/>
          <w:szCs w:val="24"/>
        </w:rPr>
        <w:t>. Acesso em: 25 out. 2024.</w:t>
      </w:r>
    </w:p>
    <w:p w14:paraId="2913EDD0" w14:textId="77777777" w:rsidR="007D5E48" w:rsidRPr="007D5E48" w:rsidRDefault="007D5E48" w:rsidP="007D5E48">
      <w:pPr>
        <w:widowControl/>
        <w:tabs>
          <w:tab w:val="left" w:pos="1290"/>
        </w:tabs>
        <w:rPr>
          <w:sz w:val="24"/>
          <w:szCs w:val="24"/>
        </w:rPr>
      </w:pPr>
    </w:p>
    <w:p w14:paraId="5A22017B" w14:textId="77777777" w:rsidR="004D254A" w:rsidRDefault="00000000" w:rsidP="007D5E48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7D5E48">
        <w:rPr>
          <w:sz w:val="24"/>
          <w:szCs w:val="24"/>
        </w:rPr>
        <w:t>OLIVEIRA, A. L.; SANTOS, R. M</w:t>
      </w:r>
      <w:r w:rsidRPr="007D5E48">
        <w:rPr>
          <w:b/>
          <w:bCs/>
          <w:sz w:val="24"/>
          <w:szCs w:val="24"/>
        </w:rPr>
        <w:t>.</w:t>
      </w:r>
      <w:r w:rsidRPr="007D5E48">
        <w:rPr>
          <w:sz w:val="24"/>
          <w:szCs w:val="24"/>
        </w:rPr>
        <w:t xml:space="preserve"> Potencial cosmético e farmacológico do óleo de bacuri (</w:t>
      </w:r>
      <w:r w:rsidRPr="007D5E48">
        <w:rPr>
          <w:i/>
          <w:iCs/>
          <w:sz w:val="24"/>
          <w:szCs w:val="24"/>
        </w:rPr>
        <w:t>Platonia insignis</w:t>
      </w:r>
      <w:r w:rsidRPr="007D5E48">
        <w:rPr>
          <w:sz w:val="24"/>
          <w:szCs w:val="24"/>
        </w:rPr>
        <w:t xml:space="preserve">): uma revisão. </w:t>
      </w:r>
      <w:r w:rsidRPr="007D5E48">
        <w:rPr>
          <w:i/>
          <w:iCs/>
          <w:sz w:val="24"/>
          <w:szCs w:val="24"/>
        </w:rPr>
        <w:t>Revista Brasileira de Produtos Naturais</w:t>
      </w:r>
      <w:r w:rsidRPr="007D5E48">
        <w:rPr>
          <w:sz w:val="24"/>
          <w:szCs w:val="24"/>
        </w:rPr>
        <w:t>, v. 10, n. 2, p. 45–58, 2021.</w:t>
      </w:r>
    </w:p>
    <w:p w14:paraId="4A11E2A3" w14:textId="77777777" w:rsidR="007D5E48" w:rsidRPr="007D5E48" w:rsidRDefault="007D5E48" w:rsidP="007D5E48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59FAD8A" w14:textId="77777777" w:rsidR="004D254A" w:rsidRPr="007D5E48" w:rsidRDefault="00000000" w:rsidP="007D5E48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7D5E48">
        <w:rPr>
          <w:sz w:val="24"/>
          <w:szCs w:val="24"/>
        </w:rPr>
        <w:lastRenderedPageBreak/>
        <w:t>ALLOUCHE, O.; TSOAR, A.; KADMON, R</w:t>
      </w:r>
      <w:r w:rsidRPr="007D5E48">
        <w:rPr>
          <w:b/>
          <w:bCs/>
          <w:sz w:val="24"/>
          <w:szCs w:val="24"/>
        </w:rPr>
        <w:t>.</w:t>
      </w:r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Assessing</w:t>
      </w:r>
      <w:proofErr w:type="spellEnd"/>
      <w:r w:rsidRPr="007D5E48">
        <w:rPr>
          <w:sz w:val="24"/>
          <w:szCs w:val="24"/>
        </w:rPr>
        <w:t xml:space="preserve"> the </w:t>
      </w:r>
      <w:proofErr w:type="spellStart"/>
      <w:r w:rsidRPr="007D5E48">
        <w:rPr>
          <w:sz w:val="24"/>
          <w:szCs w:val="24"/>
        </w:rPr>
        <w:t>accuracy</w:t>
      </w:r>
      <w:proofErr w:type="spellEnd"/>
      <w:r w:rsidRPr="007D5E48">
        <w:rPr>
          <w:sz w:val="24"/>
          <w:szCs w:val="24"/>
        </w:rPr>
        <w:t xml:space="preserve"> of </w:t>
      </w:r>
      <w:proofErr w:type="spellStart"/>
      <w:r w:rsidRPr="007D5E48">
        <w:rPr>
          <w:sz w:val="24"/>
          <w:szCs w:val="24"/>
        </w:rPr>
        <w:t>species</w:t>
      </w:r>
      <w:proofErr w:type="spellEnd"/>
      <w:r w:rsidRPr="007D5E48">
        <w:rPr>
          <w:sz w:val="24"/>
          <w:szCs w:val="24"/>
        </w:rPr>
        <w:t xml:space="preserve"> </w:t>
      </w:r>
      <w:proofErr w:type="spellStart"/>
      <w:r w:rsidRPr="007D5E48">
        <w:rPr>
          <w:sz w:val="24"/>
          <w:szCs w:val="24"/>
        </w:rPr>
        <w:t>distribution</w:t>
      </w:r>
      <w:proofErr w:type="spellEnd"/>
      <w:r w:rsidRPr="007D5E48">
        <w:rPr>
          <w:sz w:val="24"/>
          <w:szCs w:val="24"/>
        </w:rPr>
        <w:t xml:space="preserve"> models: </w:t>
      </w:r>
      <w:proofErr w:type="spellStart"/>
      <w:r w:rsidRPr="007D5E48">
        <w:rPr>
          <w:sz w:val="24"/>
          <w:szCs w:val="24"/>
        </w:rPr>
        <w:t>prevalence</w:t>
      </w:r>
      <w:proofErr w:type="spellEnd"/>
      <w:r w:rsidRPr="007D5E48">
        <w:rPr>
          <w:sz w:val="24"/>
          <w:szCs w:val="24"/>
        </w:rPr>
        <w:t xml:space="preserve">, </w:t>
      </w:r>
      <w:proofErr w:type="spellStart"/>
      <w:r w:rsidRPr="007D5E48">
        <w:rPr>
          <w:sz w:val="24"/>
          <w:szCs w:val="24"/>
        </w:rPr>
        <w:t>kappa</w:t>
      </w:r>
      <w:proofErr w:type="spellEnd"/>
      <w:r w:rsidRPr="007D5E48">
        <w:rPr>
          <w:sz w:val="24"/>
          <w:szCs w:val="24"/>
        </w:rPr>
        <w:t xml:space="preserve"> and the </w:t>
      </w:r>
      <w:proofErr w:type="spellStart"/>
      <w:r w:rsidRPr="007D5E48">
        <w:rPr>
          <w:sz w:val="24"/>
          <w:szCs w:val="24"/>
        </w:rPr>
        <w:t>True</w:t>
      </w:r>
      <w:proofErr w:type="spellEnd"/>
      <w:r w:rsidRPr="007D5E48">
        <w:rPr>
          <w:sz w:val="24"/>
          <w:szCs w:val="24"/>
        </w:rPr>
        <w:t xml:space="preserve"> Skill </w:t>
      </w:r>
      <w:proofErr w:type="spellStart"/>
      <w:r w:rsidRPr="007D5E48">
        <w:rPr>
          <w:sz w:val="24"/>
          <w:szCs w:val="24"/>
        </w:rPr>
        <w:t>Statistic</w:t>
      </w:r>
      <w:proofErr w:type="spellEnd"/>
      <w:r w:rsidRPr="007D5E48">
        <w:rPr>
          <w:sz w:val="24"/>
          <w:szCs w:val="24"/>
        </w:rPr>
        <w:t xml:space="preserve"> (TSS). </w:t>
      </w:r>
      <w:r w:rsidRPr="007D5E48">
        <w:rPr>
          <w:i/>
          <w:iCs/>
          <w:sz w:val="24"/>
          <w:szCs w:val="24"/>
        </w:rPr>
        <w:t>Journal of Applied Ecology</w:t>
      </w:r>
      <w:r w:rsidRPr="007D5E48">
        <w:rPr>
          <w:sz w:val="24"/>
          <w:szCs w:val="24"/>
        </w:rPr>
        <w:t>, v. 43, n. 6, p. 1223–1232, 2006.</w:t>
      </w:r>
    </w:p>
    <w:p w14:paraId="39D16984" w14:textId="77777777" w:rsidR="004D254A" w:rsidRPr="007D5E48" w:rsidRDefault="004D254A" w:rsidP="007D5E48">
      <w:pPr>
        <w:widowControl/>
        <w:tabs>
          <w:tab w:val="left" w:pos="1290"/>
        </w:tabs>
        <w:jc w:val="both"/>
        <w:rPr>
          <w:sz w:val="24"/>
          <w:szCs w:val="24"/>
        </w:rPr>
      </w:pPr>
    </w:p>
    <w:sectPr w:rsidR="004D254A" w:rsidRPr="007D5E48">
      <w:headerReference w:type="default" r:id="rId17"/>
      <w:footerReference w:type="default" r:id="rId18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B10F" w14:textId="77777777" w:rsidR="00AB039C" w:rsidRDefault="00AB039C">
      <w:r>
        <w:separator/>
      </w:r>
    </w:p>
  </w:endnote>
  <w:endnote w:type="continuationSeparator" w:id="0">
    <w:p w14:paraId="15B6B112" w14:textId="77777777" w:rsidR="00AB039C" w:rsidRDefault="00AB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F43456-DEFA-4C5F-905F-CCA21C4FB4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2" w:fontKey="{10D4CC3E-EC76-4C2D-97E7-E56D6BBA3184}"/>
  </w:font>
  <w:font w:name="Georgia">
    <w:panose1 w:val="02040502050405020303"/>
    <w:charset w:val="00"/>
    <w:family w:val="auto"/>
    <w:pitch w:val="default"/>
    <w:embedItalic r:id="rId3" w:fontKey="{678EEAD3-752A-472C-98D0-3B981A7C9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474266-AE9F-4A7B-A765-FDCAF201B1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9FC993-C699-4605-939D-40E5269DDD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EC2F4" w14:textId="77777777" w:rsidR="004D25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166D51" wp14:editId="2E6C7E4A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335A9C3" wp14:editId="0CBE5F41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E590A0A" wp14:editId="38E32223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3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CA15FF8" wp14:editId="55EBA354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BE5BFA2" wp14:editId="47F575D4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EB626E6" wp14:editId="1CFF1A14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3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9CE70" w14:textId="77777777" w:rsidR="00AB039C" w:rsidRDefault="00AB039C">
      <w:r>
        <w:separator/>
      </w:r>
    </w:p>
  </w:footnote>
  <w:footnote w:type="continuationSeparator" w:id="0">
    <w:p w14:paraId="256ECD1F" w14:textId="77777777" w:rsidR="00AB039C" w:rsidRDefault="00AB0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6ED8" w14:textId="77777777" w:rsidR="004D25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95B1434" wp14:editId="2622E0CA">
          <wp:extent cx="3253105" cy="1610360"/>
          <wp:effectExtent l="0" t="0" r="0" b="0"/>
          <wp:docPr id="2023691329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450A38"/>
    <w:multiLevelType w:val="multilevel"/>
    <w:tmpl w:val="8F983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7641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4A"/>
    <w:rsid w:val="004D254A"/>
    <w:rsid w:val="0051587E"/>
    <w:rsid w:val="007D5E48"/>
    <w:rsid w:val="00AB039C"/>
    <w:rsid w:val="00F0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2565F0"/>
  <w15:docId w15:val="{4C3A8AAB-57E9-43E0-81D8-D9C1F255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Simples4">
    <w:name w:val="Plain Table 4"/>
    <w:basedOn w:val="Tabelanormal"/>
    <w:uiPriority w:val="44"/>
    <w:rsid w:val="00943D1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943D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33374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74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3374C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1852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852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852A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52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52A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52A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52A1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9C3CB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07754"/>
    <w:pPr>
      <w:widowControl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607754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tfernandes660@gmail.com" TargetMode="External"/><Relationship Id="rId13" Type="http://schemas.openxmlformats.org/officeDocument/2006/relationships/hyperlink" Target="https://doi.org/10.1590/1809-43922022004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bge.gov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worldcli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bif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-project.o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1016/j.ecolmodel.2005.03.0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oIuK+9h4ckqUUMYuY823HCtemA==">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2773</Words>
  <Characters>14976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Marcos Vinicius Afonso Cabral</cp:lastModifiedBy>
  <cp:revision>2</cp:revision>
  <dcterms:created xsi:type="dcterms:W3CDTF">2025-10-31T21:20:00Z</dcterms:created>
  <dcterms:modified xsi:type="dcterms:W3CDTF">2025-12-01T21:40:00Z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