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7B6E9E6E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179B6">
            <w:rPr>
              <w:rFonts w:ascii="Times New Roman" w:hAnsi="Times New Roman" w:cs="Times New Roman"/>
            </w:rPr>
            <w:t>Educação, Saúde e Tecnologia</w:t>
          </w:r>
        </w:sdtContent>
      </w:sdt>
    </w:p>
    <w:p w14:paraId="0A4174BF" w14:textId="77777777" w:rsidR="001179B6" w:rsidRPr="001179B6" w:rsidRDefault="001179B6" w:rsidP="001179B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1179B6">
        <w:rPr>
          <w:rFonts w:ascii="Times New Roman" w:eastAsia="Times New Roman" w:hAnsi="Times New Roman" w:cs="Times New Roman"/>
          <w:sz w:val="28"/>
          <w:szCs w:val="24"/>
          <w:lang w:eastAsia="pt-BR"/>
        </w:rPr>
        <w:t>O USO DE METODOLOGIA ATIVA PARA ESTUDO EM CAPACITAÇÕES ONLINE</w:t>
      </w:r>
    </w:p>
    <w:p w14:paraId="3719DD90" w14:textId="7655AB4F" w:rsidR="00DA7E18" w:rsidRDefault="00DA7E18" w:rsidP="00DA7E18">
      <w:pPr>
        <w:spacing w:before="0" w:after="0" w:line="360" w:lineRule="auto"/>
        <w:rPr>
          <w:rFonts w:ascii="Times New Roman" w:hAnsi="Times New Roman" w:cs="Times New Roman"/>
        </w:rPr>
      </w:pPr>
    </w:p>
    <w:p w14:paraId="1DF6B5B3" w14:textId="77777777" w:rsidR="00611AD5" w:rsidRDefault="0070071B" w:rsidP="00611AD5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611AD5">
        <w:rPr>
          <w:rFonts w:ascii="Times New Roman" w:hAnsi="Times New Roman" w:cs="Times New Roman"/>
          <w:b/>
        </w:rPr>
        <w:t>RESUMO</w:t>
      </w:r>
    </w:p>
    <w:p w14:paraId="713ACDA6" w14:textId="73ACDEC6" w:rsidR="00611AD5" w:rsidRPr="00611AD5" w:rsidRDefault="00611AD5" w:rsidP="00611AD5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611AD5">
        <w:rPr>
          <w:rStyle w:val="Forte"/>
          <w:rFonts w:ascii="Times New Roman" w:hAnsi="Times New Roman" w:cs="Times New Roman"/>
          <w:szCs w:val="24"/>
          <w:shd w:val="clear" w:color="auto" w:fill="FFFFFF"/>
        </w:rPr>
        <w:t>Introdução: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As transformações sociais</w:t>
      </w:r>
      <w:r w:rsidR="006F7D3E"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sejam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r w:rsidR="006F7D3E"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a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nível político, cultural e tecnológico, tornam-se cada vez mais rápidas e crescentes na contemporaneidade.</w:t>
      </w:r>
      <w:r w:rsidR="004D7527" w:rsidRPr="004D7527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 xml:space="preserve"> </w:t>
      </w:r>
      <w:r w:rsidR="009F1E53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(1</w:t>
      </w:r>
      <w:r w:rsidR="004D7527" w:rsidRPr="004D7527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)</w:t>
      </w:r>
      <w:r w:rsidR="004D7527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Tais modificações</w:t>
      </w:r>
      <w:r w:rsidR="006F7D3E"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exigem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demandas e ocasionam diversos impactos não só à vida das pessoas, mas </w:t>
      </w:r>
      <w:r w:rsidR="006F7D3E"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a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todos os sistemas, sobretudo à área da </w:t>
      </w:r>
      <w:proofErr w:type="gramStart"/>
      <w:r w:rsidR="004D7527"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educação</w:t>
      </w:r>
      <w:r w:rsidR="004D7527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.</w:t>
      </w:r>
      <w:r w:rsidR="00AA2E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(</w:t>
      </w:r>
      <w:proofErr w:type="gramEnd"/>
      <w:r w:rsidR="00AA2E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2</w:t>
      </w:r>
      <w:r w:rsidR="004D7527" w:rsidRPr="004D7527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)</w:t>
      </w:r>
      <w:r w:rsidR="004D7527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C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om efeito, essas exigências implicam em novas aprendizagens, no desenvolvimento de novas competências, em alteração de concepções e na construção de um novo sentido ao fazer docente e </w:t>
      </w:r>
      <w:r w:rsidR="006F7D3E"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a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toda conjuntura do processo de ensino-aprendizagem.</w:t>
      </w:r>
      <w:r w:rsidR="004D7527" w:rsidRPr="004D7527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 xml:space="preserve"> </w:t>
      </w:r>
      <w:r w:rsidR="00AA2E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(2</w:t>
      </w:r>
      <w:r w:rsidR="004D7527" w:rsidRPr="004D7527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)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Logo, diante de tal desafio, destaca-se a Aprendizagem Baseada em Equipes (ABE), do inglês </w:t>
      </w:r>
      <w:r w:rsidRPr="00611AD5">
        <w:rPr>
          <w:rStyle w:val="Forte"/>
          <w:rFonts w:ascii="Times New Roman" w:hAnsi="Times New Roman" w:cs="Times New Roman"/>
          <w:b w:val="0"/>
          <w:i/>
          <w:iCs/>
          <w:szCs w:val="24"/>
          <w:shd w:val="clear" w:color="auto" w:fill="FFFFFF"/>
        </w:rPr>
        <w:t>Team-</w:t>
      </w:r>
      <w:proofErr w:type="spellStart"/>
      <w:r w:rsidRPr="00611AD5">
        <w:rPr>
          <w:rStyle w:val="Forte"/>
          <w:rFonts w:ascii="Times New Roman" w:hAnsi="Times New Roman" w:cs="Times New Roman"/>
          <w:b w:val="0"/>
          <w:i/>
          <w:iCs/>
          <w:szCs w:val="24"/>
          <w:shd w:val="clear" w:color="auto" w:fill="FFFFFF"/>
        </w:rPr>
        <w:t>Based</w:t>
      </w:r>
      <w:proofErr w:type="spellEnd"/>
      <w:r w:rsidRPr="00611AD5">
        <w:rPr>
          <w:rStyle w:val="Forte"/>
          <w:rFonts w:ascii="Times New Roman" w:hAnsi="Times New Roman" w:cs="Times New Roman"/>
          <w:b w:val="0"/>
          <w:i/>
          <w:iCs/>
          <w:szCs w:val="24"/>
          <w:shd w:val="clear" w:color="auto" w:fill="FFFFFF"/>
        </w:rPr>
        <w:t xml:space="preserve"> Learning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(TBL), que consiste em uma estratégia educacional que propõe aos discentes uma aprendizagem de forma ativa e permite a efetuação de uma atividade com um grande número de estudantes divididos em pequenos grupos.</w:t>
      </w:r>
      <w:r w:rsidR="004D7527" w:rsidRPr="004D7527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 xml:space="preserve"> </w:t>
      </w:r>
      <w:r w:rsidR="00AA2E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(3</w:t>
      </w:r>
      <w:r w:rsidR="004D7527" w:rsidRPr="004D7527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)</w:t>
      </w:r>
      <w:r w:rsidR="004D7527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Nessa perspectiva, no cenário atual, o TBL mostra-se uma opção relevante de estratégia educacional, principalmente no que tange à prática de educação em saúde à distância com </w:t>
      </w:r>
      <w:proofErr w:type="spellStart"/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conteúdos</w:t>
      </w:r>
      <w:proofErr w:type="spellEnd"/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proofErr w:type="gramStart"/>
      <w:r w:rsidR="003320DE"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teóricos</w:t>
      </w:r>
      <w:r w:rsidR="003320DE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.</w:t>
      </w:r>
      <w:r w:rsidR="00AA2E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(</w:t>
      </w:r>
      <w:proofErr w:type="gramEnd"/>
      <w:r w:rsidR="00AA2E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4</w:t>
      </w:r>
      <w:r w:rsidR="003320DE" w:rsidRPr="003320DE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)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Em uma revisão sistemática da literatura de 117 estudos, publicada em 2017, observou-se o predomínio de TBL nas formações de nível superior em saúde, sendo utilizado para equipes de 3 a 12 estudantes</w:t>
      </w:r>
      <w:r w:rsidR="003320DE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.</w:t>
      </w:r>
      <w:r w:rsidR="00AA2E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(2</w:t>
      </w:r>
      <w:r w:rsidR="003320DE" w:rsidRPr="003320DE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  <w:vertAlign w:val="superscript"/>
        </w:rPr>
        <w:t>)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Portanto, cabe a avaliação da utilização deste método diante desses novos desafios. </w:t>
      </w:r>
      <w:r w:rsidRPr="00611AD5">
        <w:rPr>
          <w:rStyle w:val="Forte"/>
          <w:rFonts w:ascii="Times New Roman" w:hAnsi="Times New Roman" w:cs="Times New Roman"/>
          <w:szCs w:val="24"/>
          <w:shd w:val="clear" w:color="auto" w:fill="FFFFFF"/>
        </w:rPr>
        <w:t>Objetivo: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r w:rsidRPr="00611AD5">
        <w:rPr>
          <w:rFonts w:ascii="Times New Roman" w:hAnsi="Times New Roman" w:cs="Times New Roman"/>
          <w:szCs w:val="24"/>
        </w:rPr>
        <w:t xml:space="preserve">relatar a experiência do uso de metodologia ativa para melhor desenvolvimento das capacitações online de uma liga acadêmica. </w:t>
      </w:r>
      <w:r w:rsidRPr="00611AD5">
        <w:rPr>
          <w:rFonts w:ascii="Times New Roman" w:hAnsi="Times New Roman" w:cs="Times New Roman"/>
          <w:b/>
          <w:szCs w:val="24"/>
          <w:shd w:val="clear" w:color="auto" w:fill="FFFFFF"/>
        </w:rPr>
        <w:t>Descrição da Experiência:</w:t>
      </w:r>
      <w:r w:rsidRPr="00611AD5">
        <w:rPr>
          <w:rFonts w:ascii="Times New Roman" w:hAnsi="Times New Roman" w:cs="Times New Roman"/>
          <w:szCs w:val="24"/>
          <w:shd w:val="clear" w:color="auto" w:fill="FFFFFF"/>
        </w:rPr>
        <w:t xml:space="preserve"> Dentre os dias 1</w:t>
      </w:r>
      <w:r w:rsidR="00B930A2">
        <w:rPr>
          <w:rFonts w:ascii="Times New Roman" w:hAnsi="Times New Roman" w:cs="Times New Roman"/>
          <w:szCs w:val="24"/>
          <w:shd w:val="clear" w:color="auto" w:fill="FFFFFF"/>
        </w:rPr>
        <w:t>5 e 17</w:t>
      </w:r>
      <w:r w:rsidRPr="00611AD5">
        <w:rPr>
          <w:rFonts w:ascii="Times New Roman" w:hAnsi="Times New Roman" w:cs="Times New Roman"/>
          <w:szCs w:val="24"/>
          <w:shd w:val="clear" w:color="auto" w:fill="FFFFFF"/>
        </w:rPr>
        <w:t xml:space="preserve"> de maio de 2020, em um grupo de 11 alunos que fazem parte de uma Liga Acadêmica de Estomas e Feridas do curso de Enfermagem, da Universidade Federal do Maranhão, foi aplicada uma metodologia ativa do tipo aprendizagem baseada em times, “Team-</w:t>
      </w:r>
      <w:proofErr w:type="spellStart"/>
      <w:r w:rsidRPr="00611AD5">
        <w:rPr>
          <w:rFonts w:ascii="Times New Roman" w:hAnsi="Times New Roman" w:cs="Times New Roman"/>
          <w:szCs w:val="24"/>
          <w:shd w:val="clear" w:color="auto" w:fill="FFFFFF"/>
        </w:rPr>
        <w:t>Based</w:t>
      </w:r>
      <w:proofErr w:type="spellEnd"/>
      <w:r w:rsidRPr="00611AD5">
        <w:rPr>
          <w:rFonts w:ascii="Times New Roman" w:hAnsi="Times New Roman" w:cs="Times New Roman"/>
          <w:szCs w:val="24"/>
          <w:shd w:val="clear" w:color="auto" w:fill="FFFFFF"/>
        </w:rPr>
        <w:t xml:space="preserve"> Learning”, conhecido pela sigla TBL, como método de ensino-aprendizagem de uma capacitação online. No dia 7 de maio os participantes foram divididos em três grupos. Com o objetivo de aprofundar o conhecimento, cada grupo respectivamente pesquisou sobre os temas: relação da vitamina D com a cicatrização, a </w:t>
      </w:r>
      <w:r w:rsidRPr="00611AD5">
        <w:rPr>
          <w:rFonts w:ascii="Times New Roman" w:hAnsi="Times New Roman" w:cs="Times New Roman"/>
          <w:szCs w:val="24"/>
          <w:shd w:val="clear" w:color="auto" w:fill="FFFFFF"/>
        </w:rPr>
        <w:lastRenderedPageBreak/>
        <w:t>influência do uso de anti</w:t>
      </w:r>
      <w:r>
        <w:rPr>
          <w:rFonts w:ascii="Times New Roman" w:hAnsi="Times New Roman" w:cs="Times New Roman"/>
          <w:szCs w:val="24"/>
          <w:shd w:val="clear" w:color="auto" w:fill="FFFFFF"/>
        </w:rPr>
        <w:t>-</w:t>
      </w:r>
      <w:r w:rsidRPr="00611AD5">
        <w:rPr>
          <w:rFonts w:ascii="Times New Roman" w:hAnsi="Times New Roman" w:cs="Times New Roman"/>
          <w:szCs w:val="24"/>
          <w:shd w:val="clear" w:color="auto" w:fill="FFFFFF"/>
        </w:rPr>
        <w:t>inflamatórios para cicatrização, e a relação do exsudato com a cicatrização. No encerramento do ciclo, 1</w:t>
      </w:r>
      <w:r w:rsidR="00B930A2">
        <w:rPr>
          <w:rFonts w:ascii="Times New Roman" w:hAnsi="Times New Roman" w:cs="Times New Roman"/>
          <w:szCs w:val="24"/>
          <w:shd w:val="clear" w:color="auto" w:fill="FFFFFF"/>
        </w:rPr>
        <w:t>7</w:t>
      </w:r>
      <w:r w:rsidRPr="00611AD5">
        <w:rPr>
          <w:rFonts w:ascii="Times New Roman" w:hAnsi="Times New Roman" w:cs="Times New Roman"/>
          <w:szCs w:val="24"/>
          <w:shd w:val="clear" w:color="auto" w:fill="FFFFFF"/>
        </w:rPr>
        <w:t xml:space="preserve"> de maio, foram apresentadas as metas propostas para cada grupo. </w:t>
      </w:r>
      <w:r w:rsidRPr="00611AD5">
        <w:rPr>
          <w:rFonts w:ascii="Times New Roman" w:hAnsi="Times New Roman" w:cs="Times New Roman"/>
          <w:b/>
          <w:szCs w:val="24"/>
          <w:shd w:val="clear" w:color="auto" w:fill="FFFFFF"/>
        </w:rPr>
        <w:t>Resultados:</w:t>
      </w:r>
      <w:r w:rsidRPr="00611AD5">
        <w:rPr>
          <w:rFonts w:ascii="Times New Roman" w:hAnsi="Times New Roman" w:cs="Times New Roman"/>
          <w:szCs w:val="24"/>
          <w:shd w:val="clear" w:color="auto" w:fill="FFFFFF"/>
        </w:rPr>
        <w:t xml:space="preserve"> O TBL permite ofertar de forma mais articulada os conhecimentos necessários para responder às demandas e necessidades da saúde, fornecendo uma troca colaborativa do conhecimento, descoberta de ampla gama de estratégias de resolução de problemas, habilidades de comunicação e argumentação, e aplicação imediata dos conceitos apresentados</w:t>
      </w:r>
      <w:r w:rsidR="00AA2ED5">
        <w:rPr>
          <w:rFonts w:ascii="Times New Roman" w:hAnsi="Times New Roman" w:cs="Times New Roman"/>
          <w:szCs w:val="24"/>
          <w:shd w:val="clear" w:color="auto" w:fill="FFFFFF"/>
        </w:rPr>
        <w:t>.</w:t>
      </w:r>
      <w:r w:rsidR="00AA2ED5">
        <w:rPr>
          <w:rFonts w:ascii="Times New Roman" w:hAnsi="Times New Roman" w:cs="Times New Roman"/>
          <w:szCs w:val="24"/>
          <w:shd w:val="clear" w:color="auto" w:fill="FFFFFF"/>
          <w:vertAlign w:val="superscript"/>
        </w:rPr>
        <w:t>(2</w:t>
      </w:r>
      <w:r w:rsidR="006F7D3E" w:rsidRPr="006F7D3E">
        <w:rPr>
          <w:rFonts w:ascii="Times New Roman" w:hAnsi="Times New Roman" w:cs="Times New Roman"/>
          <w:szCs w:val="24"/>
          <w:shd w:val="clear" w:color="auto" w:fill="FFFFFF"/>
          <w:vertAlign w:val="superscript"/>
        </w:rPr>
        <w:t>)</w:t>
      </w:r>
      <w:r w:rsidR="006F7D3E">
        <w:rPr>
          <w:rFonts w:ascii="Times New Roman" w:hAnsi="Times New Roman" w:cs="Times New Roman"/>
          <w:szCs w:val="24"/>
          <w:shd w:val="clear" w:color="auto" w:fill="FFFFFF"/>
          <w:vertAlign w:val="superscript"/>
        </w:rPr>
        <w:t xml:space="preserve"> </w:t>
      </w:r>
      <w:r w:rsidRPr="00611AD5">
        <w:rPr>
          <w:rFonts w:ascii="Times New Roman" w:hAnsi="Times New Roman" w:cs="Times New Roman"/>
          <w:szCs w:val="24"/>
          <w:shd w:val="clear" w:color="auto" w:fill="FFFFFF"/>
        </w:rPr>
        <w:t>A aplicação deste método foi de grande benesse, sobretudo, porque facilitou o estudo, tornando o momento de capacitação online dinâmico e elucidativo.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  </w:t>
      </w:r>
      <w:r w:rsidRPr="00611AD5">
        <w:rPr>
          <w:rStyle w:val="Forte"/>
          <w:rFonts w:ascii="Times New Roman" w:hAnsi="Times New Roman" w:cs="Times New Roman"/>
          <w:szCs w:val="24"/>
          <w:shd w:val="clear" w:color="auto" w:fill="FFFFFF"/>
        </w:rPr>
        <w:t>Considerações finais:</w:t>
      </w:r>
      <w:r w:rsidRPr="00611AD5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É um grande desafio durante a pandemia ocasionada pelo COVID-19 desenvolver capacitações online de forma que atraia a atenção e se desenvolva a participação efetiva de todos no grupo. O uso de metodologia ativa tem auxiliado positivamente para suprir tais necessidades. </w:t>
      </w:r>
    </w:p>
    <w:p w14:paraId="136DA9C8" w14:textId="7B536E78" w:rsidR="001F78C5" w:rsidRDefault="001179B6" w:rsidP="001F78C5">
      <w:pPr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  <w:szCs w:val="24"/>
          <w:lang w:eastAsia="pt-BR"/>
        </w:rPr>
        <w:t>Descritores:</w:t>
      </w:r>
      <w:r w:rsidR="00F55984">
        <w:rPr>
          <w:rFonts w:ascii="Times New Roman" w:eastAsia="Times New Roman" w:hAnsi="Times New Roman" w:cs="Times New Roman"/>
          <w:szCs w:val="24"/>
          <w:lang w:eastAsia="pt-BR"/>
        </w:rPr>
        <w:t xml:space="preserve"> Educação em enfermagem; Educação a Distância;</w:t>
      </w:r>
      <w:r>
        <w:rPr>
          <w:rFonts w:ascii="Times New Roman" w:eastAsia="Times New Roman" w:hAnsi="Times New Roman" w:cs="Times New Roman"/>
          <w:szCs w:val="24"/>
          <w:lang w:eastAsia="pt-BR"/>
        </w:rPr>
        <w:t xml:space="preserve"> Aprendizagem.</w:t>
      </w:r>
    </w:p>
    <w:p w14:paraId="66263A41" w14:textId="77777777" w:rsidR="00611AD5" w:rsidRDefault="0070071B" w:rsidP="00611AD5">
      <w:pPr>
        <w:spacing w:line="360" w:lineRule="auto"/>
        <w:rPr>
          <w:rFonts w:ascii="Times New Roman" w:hAnsi="Times New Roman" w:cs="Times New Roman"/>
          <w:color w:val="FF0000"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79C92F9" w14:textId="5978A23E" w:rsidR="00611AD5" w:rsidRPr="00EF2924" w:rsidRDefault="00611AD5" w:rsidP="00EF2924">
      <w:pPr>
        <w:pStyle w:val="Pargrafoda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FF0000"/>
        </w:rPr>
      </w:pPr>
      <w:r w:rsidRPr="00EF2924">
        <w:rPr>
          <w:rFonts w:ascii="Times New Roman" w:eastAsia="Times New Roman" w:hAnsi="Times New Roman" w:cs="Times New Roman"/>
          <w:szCs w:val="24"/>
          <w:lang w:eastAsia="pt-BR"/>
        </w:rPr>
        <w:t xml:space="preserve">DIESEL, A.; BALDEZ, A. L.; MARTINS, S. N. </w:t>
      </w:r>
      <w:r w:rsidRPr="00EF2924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 xml:space="preserve">Os princípios das metodologias ativas de ensino: uma abordagem teórica. </w:t>
      </w:r>
      <w:r w:rsidRPr="00EF2924">
        <w:rPr>
          <w:rFonts w:ascii="Times New Roman" w:eastAsia="Times New Roman" w:hAnsi="Times New Roman" w:cs="Times New Roman"/>
          <w:szCs w:val="24"/>
          <w:lang w:eastAsia="pt-BR"/>
        </w:rPr>
        <w:t xml:space="preserve">Revista </w:t>
      </w:r>
      <w:proofErr w:type="spellStart"/>
      <w:r w:rsidRPr="00EF2924">
        <w:rPr>
          <w:rFonts w:ascii="Times New Roman" w:eastAsia="Times New Roman" w:hAnsi="Times New Roman" w:cs="Times New Roman"/>
          <w:szCs w:val="24"/>
          <w:lang w:eastAsia="pt-BR"/>
        </w:rPr>
        <w:t>Thema</w:t>
      </w:r>
      <w:proofErr w:type="spellEnd"/>
      <w:r w:rsidRPr="00EF2924">
        <w:rPr>
          <w:rFonts w:ascii="Times New Roman" w:eastAsia="Times New Roman" w:hAnsi="Times New Roman" w:cs="Times New Roman"/>
          <w:szCs w:val="24"/>
          <w:lang w:eastAsia="pt-BR"/>
        </w:rPr>
        <w:t>, v. 14, n. 1, p. 268-288, 2017.</w:t>
      </w:r>
    </w:p>
    <w:p w14:paraId="4AE93350" w14:textId="77777777" w:rsidR="00AA2ED5" w:rsidRDefault="00AA2ED5" w:rsidP="00AA2ED5">
      <w:pPr>
        <w:pStyle w:val="PargrafodaLista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  <w:r w:rsidRPr="00611AD5">
        <w:rPr>
          <w:rFonts w:ascii="Times New Roman" w:eastAsia="Times New Roman" w:hAnsi="Times New Roman" w:cs="Times New Roman"/>
          <w:szCs w:val="24"/>
          <w:lang w:eastAsia="pt-BR"/>
        </w:rPr>
        <w:t xml:space="preserve">OLIVEIRA, B. L.; LIMA S. F.; RODRIGUES, L. S.; JÚNIOR, G. A. </w:t>
      </w:r>
      <w:r w:rsidRPr="00B53F84">
        <w:rPr>
          <w:rFonts w:ascii="Times New Roman" w:eastAsia="Times New Roman" w:hAnsi="Times New Roman" w:cs="Times New Roman"/>
          <w:bCs/>
          <w:szCs w:val="24"/>
          <w:lang w:eastAsia="pt-BR"/>
        </w:rPr>
        <w:t>Team-</w:t>
      </w:r>
      <w:proofErr w:type="spellStart"/>
      <w:r w:rsidRPr="00B53F84">
        <w:rPr>
          <w:rFonts w:ascii="Times New Roman" w:eastAsia="Times New Roman" w:hAnsi="Times New Roman" w:cs="Times New Roman"/>
          <w:bCs/>
          <w:szCs w:val="24"/>
          <w:lang w:eastAsia="pt-BR"/>
        </w:rPr>
        <w:t>Based</w:t>
      </w:r>
      <w:proofErr w:type="spellEnd"/>
      <w:r w:rsidRPr="00B53F84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 Learning como forma de aprendizagem colaborativa e sala de aula invertida com centralidade nos estudantes no processo ensino-aprendizagem. </w:t>
      </w:r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>Revista Brasileira de Educação Médica</w:t>
      </w:r>
      <w:r w:rsidRPr="00611AD5">
        <w:rPr>
          <w:rFonts w:ascii="Times New Roman" w:eastAsia="Times New Roman" w:hAnsi="Times New Roman" w:cs="Times New Roman"/>
          <w:szCs w:val="24"/>
          <w:lang w:eastAsia="pt-BR"/>
        </w:rPr>
        <w:t>, v. 42, n. 4, p. 86-95, 2018.</w:t>
      </w:r>
    </w:p>
    <w:p w14:paraId="2E81F6E3" w14:textId="77777777" w:rsidR="00AA2ED5" w:rsidRPr="00611AD5" w:rsidRDefault="00AA2ED5" w:rsidP="00AA2ED5">
      <w:pPr>
        <w:pStyle w:val="PargrafodaLista"/>
        <w:spacing w:line="360" w:lineRule="auto"/>
        <w:rPr>
          <w:rFonts w:ascii="Times New Roman" w:hAnsi="Times New Roman" w:cs="Times New Roman"/>
          <w:color w:val="FF0000"/>
        </w:rPr>
      </w:pPr>
    </w:p>
    <w:p w14:paraId="17A32B65" w14:textId="7E0991D8" w:rsidR="00611AD5" w:rsidRDefault="00611AD5" w:rsidP="00611AD5">
      <w:pPr>
        <w:pStyle w:val="PargrafodaLista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  <w:r w:rsidRPr="00611AD5">
        <w:rPr>
          <w:rFonts w:ascii="Times New Roman" w:eastAsia="Times New Roman" w:hAnsi="Times New Roman" w:cs="Times New Roman"/>
          <w:szCs w:val="24"/>
          <w:lang w:val="en-US" w:eastAsia="pt-BR"/>
        </w:rPr>
        <w:t xml:space="preserve">MATTAR, J.; AGUIAR A. P. </w:t>
      </w:r>
      <w:r w:rsidRPr="00B53F84">
        <w:rPr>
          <w:rFonts w:ascii="Times New Roman" w:eastAsia="Times New Roman" w:hAnsi="Times New Roman" w:cs="Times New Roman"/>
          <w:bCs/>
          <w:szCs w:val="24"/>
          <w:lang w:val="en-US" w:eastAsia="pt-BR"/>
        </w:rPr>
        <w:t>Active methodologies: Problem-based learning, problem-posing and case method.</w:t>
      </w:r>
      <w:r w:rsidRPr="00611AD5">
        <w:rPr>
          <w:rFonts w:ascii="Times New Roman" w:eastAsia="Times New Roman" w:hAnsi="Times New Roman" w:cs="Times New Roman"/>
          <w:b/>
          <w:bCs/>
          <w:szCs w:val="24"/>
          <w:lang w:val="en-US" w:eastAsia="pt-BR"/>
        </w:rPr>
        <w:t xml:space="preserve"> </w:t>
      </w:r>
      <w:proofErr w:type="spellStart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>Brazilian</w:t>
      </w:r>
      <w:proofErr w:type="spellEnd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 xml:space="preserve"> </w:t>
      </w:r>
      <w:proofErr w:type="spellStart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>Journal</w:t>
      </w:r>
      <w:proofErr w:type="spellEnd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 xml:space="preserve"> </w:t>
      </w:r>
      <w:proofErr w:type="spellStart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>of</w:t>
      </w:r>
      <w:proofErr w:type="spellEnd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 xml:space="preserve"> </w:t>
      </w:r>
      <w:proofErr w:type="spellStart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>Education</w:t>
      </w:r>
      <w:proofErr w:type="spellEnd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 xml:space="preserve">, Technology </w:t>
      </w:r>
      <w:proofErr w:type="spellStart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>and</w:t>
      </w:r>
      <w:proofErr w:type="spellEnd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 xml:space="preserve"> </w:t>
      </w:r>
      <w:proofErr w:type="spellStart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>Society</w:t>
      </w:r>
      <w:proofErr w:type="spellEnd"/>
      <w:r w:rsidRPr="00611AD5">
        <w:rPr>
          <w:rFonts w:ascii="Times New Roman" w:eastAsia="Times New Roman" w:hAnsi="Times New Roman" w:cs="Times New Roman"/>
          <w:szCs w:val="24"/>
          <w:lang w:eastAsia="pt-BR"/>
        </w:rPr>
        <w:t>, v. 11, n. 3, 2018.</w:t>
      </w:r>
    </w:p>
    <w:p w14:paraId="113F79D5" w14:textId="77777777" w:rsidR="00EF2924" w:rsidRPr="00EF2924" w:rsidRDefault="00EF2924" w:rsidP="00EF2924">
      <w:pPr>
        <w:pStyle w:val="PargrafodaLista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2D5782BE" w14:textId="77777777" w:rsidR="00EF2924" w:rsidRPr="00611AD5" w:rsidRDefault="00EF2924" w:rsidP="00EF2924">
      <w:pPr>
        <w:pStyle w:val="PargrafodaLista"/>
        <w:spacing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61656348" w14:textId="7FAB37D2" w:rsidR="00EA190E" w:rsidRPr="00DA7E18" w:rsidRDefault="00611AD5" w:rsidP="00DA7E18">
      <w:pPr>
        <w:pStyle w:val="PargrafodaLista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  <w:r w:rsidRPr="00611AD5">
        <w:rPr>
          <w:rFonts w:ascii="Times New Roman" w:eastAsia="Times New Roman" w:hAnsi="Times New Roman" w:cs="Times New Roman"/>
          <w:szCs w:val="24"/>
          <w:lang w:eastAsia="pt-BR"/>
        </w:rPr>
        <w:t xml:space="preserve">MARQUES, A P. A.; MESSAGE, C. P.; GITAHY, R. R. C; SOUZA, S. O. </w:t>
      </w:r>
      <w:r w:rsidRPr="00B53F84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A experiência da aplicação da metodologia ativa Team </w:t>
      </w:r>
      <w:proofErr w:type="spellStart"/>
      <w:r w:rsidRPr="00B53F84">
        <w:rPr>
          <w:rFonts w:ascii="Times New Roman" w:eastAsia="Times New Roman" w:hAnsi="Times New Roman" w:cs="Times New Roman"/>
          <w:bCs/>
          <w:szCs w:val="24"/>
          <w:lang w:eastAsia="pt-BR"/>
        </w:rPr>
        <w:t>Based</w:t>
      </w:r>
      <w:proofErr w:type="spellEnd"/>
      <w:r w:rsidRPr="00B53F84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 Learning aliada à tecnologia no processo de ensino e de aprendizagem. </w:t>
      </w:r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 xml:space="preserve">Revista </w:t>
      </w:r>
      <w:proofErr w:type="spellStart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>Colloquium</w:t>
      </w:r>
      <w:proofErr w:type="spellEnd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 xml:space="preserve"> </w:t>
      </w:r>
      <w:proofErr w:type="spellStart"/>
      <w:r w:rsidRPr="00B53F84">
        <w:rPr>
          <w:rFonts w:ascii="Times New Roman" w:eastAsia="Times New Roman" w:hAnsi="Times New Roman" w:cs="Times New Roman"/>
          <w:b/>
          <w:szCs w:val="24"/>
          <w:lang w:eastAsia="pt-BR"/>
        </w:rPr>
        <w:t>Humanarum</w:t>
      </w:r>
      <w:proofErr w:type="spellEnd"/>
      <w:r w:rsidRPr="00611AD5">
        <w:rPr>
          <w:rFonts w:ascii="Times New Roman" w:eastAsia="Times New Roman" w:hAnsi="Times New Roman" w:cs="Times New Roman"/>
          <w:szCs w:val="24"/>
          <w:lang w:eastAsia="pt-BR"/>
        </w:rPr>
        <w:t>, v. 14, p. 699-707, 2017.</w:t>
      </w:r>
      <w:bookmarkStart w:id="0" w:name="_GoBack"/>
      <w:bookmarkEnd w:id="0"/>
    </w:p>
    <w:sectPr w:rsidR="00EA190E" w:rsidRPr="00DA7E18" w:rsidSect="005665E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B8CA1" w14:textId="77777777" w:rsidR="00E30E33" w:rsidRDefault="00E30E33" w:rsidP="00054686">
      <w:pPr>
        <w:spacing w:before="0" w:after="0" w:line="240" w:lineRule="auto"/>
      </w:pPr>
      <w:r>
        <w:separator/>
      </w:r>
    </w:p>
  </w:endnote>
  <w:endnote w:type="continuationSeparator" w:id="0">
    <w:p w14:paraId="1B663E0B" w14:textId="77777777" w:rsidR="00E30E33" w:rsidRDefault="00E30E33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6EDC2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8D2F2" w14:textId="77777777" w:rsidR="00E30E33" w:rsidRDefault="00E30E33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DC544E9" w14:textId="77777777" w:rsidR="00E30E33" w:rsidRDefault="00E30E33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E30E33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E30E33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E30E33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0C657A"/>
    <w:multiLevelType w:val="multilevel"/>
    <w:tmpl w:val="9F4A85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FE7C3D"/>
    <w:multiLevelType w:val="hybridMultilevel"/>
    <w:tmpl w:val="7AD25A94"/>
    <w:lvl w:ilvl="0" w:tplc="599E8AE0">
      <w:start w:val="1"/>
      <w:numFmt w:val="decimal"/>
      <w:lvlText w:val="%1."/>
      <w:lvlJc w:val="left"/>
      <w:pPr>
        <w:ind w:left="720" w:hanging="360"/>
      </w:pPr>
      <w:rPr>
        <w:rFonts w:eastAsia="Times New Roman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4929EA"/>
    <w:multiLevelType w:val="hybridMultilevel"/>
    <w:tmpl w:val="9F4A85A6"/>
    <w:lvl w:ilvl="0" w:tplc="A4A272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179B6"/>
    <w:rsid w:val="001A1418"/>
    <w:rsid w:val="001D4667"/>
    <w:rsid w:val="001F78C5"/>
    <w:rsid w:val="002268F9"/>
    <w:rsid w:val="002C00CE"/>
    <w:rsid w:val="002F12EE"/>
    <w:rsid w:val="00330594"/>
    <w:rsid w:val="003320DE"/>
    <w:rsid w:val="00363521"/>
    <w:rsid w:val="003E7CE5"/>
    <w:rsid w:val="00417E55"/>
    <w:rsid w:val="004C363A"/>
    <w:rsid w:val="004D7527"/>
    <w:rsid w:val="00502CDB"/>
    <w:rsid w:val="00553538"/>
    <w:rsid w:val="005665ED"/>
    <w:rsid w:val="00611AD5"/>
    <w:rsid w:val="006C03DB"/>
    <w:rsid w:val="006F502F"/>
    <w:rsid w:val="006F7D3E"/>
    <w:rsid w:val="0070071B"/>
    <w:rsid w:val="00751805"/>
    <w:rsid w:val="007532D4"/>
    <w:rsid w:val="00870AEC"/>
    <w:rsid w:val="008B6F3E"/>
    <w:rsid w:val="009F1E53"/>
    <w:rsid w:val="00AA2ED5"/>
    <w:rsid w:val="00AB0DF9"/>
    <w:rsid w:val="00AC5179"/>
    <w:rsid w:val="00B53F84"/>
    <w:rsid w:val="00B930A2"/>
    <w:rsid w:val="00BB3DA1"/>
    <w:rsid w:val="00D55666"/>
    <w:rsid w:val="00DA7E18"/>
    <w:rsid w:val="00E30E33"/>
    <w:rsid w:val="00EA190E"/>
    <w:rsid w:val="00EC4C26"/>
    <w:rsid w:val="00ED178E"/>
    <w:rsid w:val="00EF2924"/>
    <w:rsid w:val="00F55984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C2DEB63C-F103-4C42-9873-59E8A41C2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Forte">
    <w:name w:val="Strong"/>
    <w:basedOn w:val="Fontepargpadro"/>
    <w:uiPriority w:val="22"/>
    <w:qFormat/>
    <w:rsid w:val="001179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6510B"/>
    <w:rsid w:val="0025354A"/>
    <w:rsid w:val="003141C6"/>
    <w:rsid w:val="005C7761"/>
    <w:rsid w:val="006652DC"/>
    <w:rsid w:val="00742F1B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C7761"/>
    <w:rPr>
      <w:color w:val="808080"/>
    </w:rPr>
  </w:style>
  <w:style w:type="paragraph" w:customStyle="1" w:styleId="8D7A466EC8F84200A1391E442459FF32">
    <w:name w:val="8D7A466EC8F84200A1391E442459FF32"/>
    <w:rsid w:val="005C7761"/>
    <w:pPr>
      <w:spacing w:after="200" w:line="276" w:lineRule="auto"/>
    </w:pPr>
  </w:style>
  <w:style w:type="paragraph" w:customStyle="1" w:styleId="54ABBA068D3F4F45BA336C2332F5D822">
    <w:name w:val="54ABBA068D3F4F45BA336C2332F5D822"/>
    <w:rsid w:val="005C7761"/>
    <w:pPr>
      <w:spacing w:after="200" w:line="276" w:lineRule="auto"/>
    </w:pPr>
  </w:style>
  <w:style w:type="paragraph" w:customStyle="1" w:styleId="7B0263259D6943A3941FB97B856A49B3">
    <w:name w:val="7B0263259D6943A3941FB97B856A49B3"/>
    <w:rsid w:val="005C7761"/>
    <w:pPr>
      <w:spacing w:after="200" w:line="276" w:lineRule="auto"/>
    </w:pPr>
  </w:style>
  <w:style w:type="paragraph" w:customStyle="1" w:styleId="04200E629A0046538457B8C9C64C970F">
    <w:name w:val="04200E629A0046538457B8C9C64C970F"/>
    <w:rsid w:val="005C7761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C7489-C1A0-4C58-96A5-FACCA89C1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650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Usuário do Windows</cp:lastModifiedBy>
  <cp:revision>4</cp:revision>
  <cp:lastPrinted>2020-06-10T02:59:00Z</cp:lastPrinted>
  <dcterms:created xsi:type="dcterms:W3CDTF">2020-07-01T17:23:00Z</dcterms:created>
  <dcterms:modified xsi:type="dcterms:W3CDTF">2020-07-01T20:38:00Z</dcterms:modified>
</cp:coreProperties>
</file>