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Hérnia inguinal com perda de domicílio utilizando pneumoperitônio progressivo pré-operatório: um relato de caso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Thamires F. Mourão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Ana C. Costa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Brunna P. Campos²; Renato C. A. Silva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  <w:br w:type="textWrapping"/>
        <w:t xml:space="preserve">¹ Complexo de Saúde São João de Deus, Brasil, 2025.</w:t>
        <w:br w:type="textWrapping"/>
        <w:t xml:space="preserve">² Faculdade de Medicina da Universidade de Itaúna, Brasil, 2025.</w:t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Hérnia inguinal; Hérnia abdominal; Herniorrafia; Pneumoperitônio.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hérnias gigantes da parede abdominal alteram a fisiopatologia e impactam a cirurgia. O alojamento crônico das vísceras reduz a pressão intra-abdominal (PIA), e sua reposição abrupta eleva a PIA, dificultando o fechamento da parede abdominal e comprometendo a perfusão intestinal e pulmonar. Isso pode levar à hipoventilação, atelectasia, hipóxia, hipercarbia, tromboembolismo, redução do retorno venoso e choque. A função renal também é afetada, com queda da filtração glomerular e oligúria¹˒².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Relatar um caso de reparo de hérnia inguinal com perda de domicílio utilizando pneumoperitônio progressivo pré-operatório (PPP).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Relato de caso baseado na avaliação do prontuário do paciente e revisão da literatura.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com discussão: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Paciente de 77 anos, com hérnia inguinoescrotal volumosa à direita e perda de domicílio, submetido a PPP intra-hospitalar. O procedimento foi realizado em bloco cirúrgico, com punção no ponto de Palmer e passagem de agulha de Veress para insuflação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dióxido de carbono (CO₂).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Foram realizadas três sessões, a cada 72 horas, com volumes entre 600 e 1100 mL de CO₂, sem intercorrências. Após 10 dias, o paciente foi operado, identificando-se um saco herniário indireto contendo alças intestinais, cólon e apêndice cecal. Realizou-se a correção com tela de polipropileno pela técnica de Lichtenstein e apendicectomia. O pós-operatório evoluiu sem complicações.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Durante a pesquisa teórica, foram observadas divergências entre as técnicas relatadas para a realização do PPP. Apesar de haver consenso quanto aos benefícios do procedimento, a ausência de um protocolo técnico padronizado limita sua aplicação. O caso apresentado demonstra a eficácia do PPP na hernioplastia inguinal, com evolução favorável e sem intercorrências.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3">
      <w:pPr>
        <w:widowControl w:val="1"/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Cleva R de, Silva FP da, Zilberstein B, Machado DJB. Acute renal failure due to abdominal compartment syndrome: report on four cases and literature review. Rev Hosp Clin [Internet]. 2001 Jul;56(4):123–30. Available from: https://doi.org/10.1590/S0041-87812001000400006.</w:t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Minossi JG, Oliveira WK de, Llanos JC, Ielo SM, Hasimoto CN, Pereira RS de C. O uso do pneumoperitônio progressivo no pré-operatório das hérnias volumosas da parede abdominal. Arq Gastroenterol [Internet]. 2009Apr;46(2):121–6. Available from: https://doi.org/10.1590/S0004-28032009000200009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IB0/M1Ze4tXlfNRNB2RvA7diQg==">CgMxLjA4AHIhMVJnTk5DZnhjMUQyYnF5Mm0zaGdlTlhFbmxFRTJ3MHJO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