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RECICLAR PARA CUIDAR: UMA EXPERIÊNCIA UNIVERSITÁRIA ENTRE SAÚDE MENTAL E MEIO AMBIENTE </w:t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INTRODUÇÃO: A relação entre ser humano e meio ambiente envolve dimensões que vão além da utilização de recursos naturais, incluindo aspectos culturais, sociais e de autocuidado que influenciam diretamente o bem-estar¹. O desequilíbrio ambiental, provocado por poluição, acúmulo de resíduos e mudanças climáticas, impacta a saúde humana, especialmente a saúde mental, favorecendo sentimentos como ansiedade, sofrimento e desesperança². Nesse contexto, estratégias educativas tornam-se essenciais para promover a conscientização ambiental associada ao cuidado em saúde. OBJETIVO: Descrever a produção de uma cartilha educativa sobre a redução dos impactos ambientais e sua relação com a saúde mental, incluindo a orientação para a confecção de jogos com materiais recicláveis.  METODOLOGIA: Trata-se de um estudo descritivo, do tipo relato de experiência, desenvolvido por acadêmicos de enfermagem por meio da elaboração de uma tecnologia educativa. A cartilha foi construída com linguagem acessível, abordando a relação entre meio ambiente e saúde mental, além de apresentar instruções para a produção de jogos com materiais recicláveis. RESULTADOS/IMPACTOS: A cartilha integrou conteúdos teóricos e práticos, promovendo a compreensão sobre a relação entre sustentabilidade e saúde mental. DISCUSSÃO: O material destacou a reciclagem como estratégia terapêutica e orientou a construção de jogos que estimulam funções cognitivas, como atenção e criatividade, além de favorecer a interação social. Esses recursos podem ser utilizados tanto em serviços como o CAPS quanto no cotidiano, configurando-se como ferramentas acessíveis e de baixo custo. CONCLUSÕES/LIÇÕES APRENDIDAS:  A experiência evidenciou que tecnologias educativas podem fortalecer a articulação entre saúde mental e meio ambiente, promovendo conhecimento e práticas sustentáveis. A inclusão de atividades práticas ampliou o alcance da proposta e contribuiu para o bem-estar psicossocial. Reforça-se o papel da Enfermagem na promoção da saúde integral, com uso de tecnologias educativas que incentivem práticas sustentáveis e ampliem as possibilidades terapêuticas no cuidado em saúde mental.</w:t>
      </w:r>
    </w:p>
    <w:p w:rsidR="00000000" w:rsidDel="00000000" w:rsidP="00000000" w:rsidRDefault="00000000" w:rsidRPr="00000000" w14:paraId="00000005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Descritores (DeCS – ID):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Natureza - D019368; Saúde mental - D008603; Reciclagem - D059027.</w:t>
      </w:r>
    </w:p>
    <w:p w:rsidR="00000000" w:rsidDel="00000000" w:rsidP="00000000" w:rsidRDefault="00000000" w:rsidRPr="00000000" w14:paraId="00000007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Modalidade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( ) estudo original ( ) desenvolvimento tecnológico ( X ) relato de experiência ( ) revisão da literatura</w:t>
      </w:r>
    </w:p>
    <w:p w:rsidR="00000000" w:rsidDel="00000000" w:rsidP="00000000" w:rsidRDefault="00000000" w:rsidRPr="00000000" w14:paraId="00000009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Eixo Temático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Eixo 8 – Desenvolvimento de Tecnologias para o cuidado em saúde e enfermagem </w:t>
      </w:r>
    </w:p>
    <w:p w:rsidR="00000000" w:rsidDel="00000000" w:rsidP="00000000" w:rsidRDefault="00000000" w:rsidRPr="00000000" w14:paraId="0000000B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REFERÊNCIAS:</w:t>
      </w:r>
    </w:p>
    <w:p w:rsidR="00000000" w:rsidDel="00000000" w:rsidP="00000000" w:rsidRDefault="00000000" w:rsidRPr="00000000" w14:paraId="0000000D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1 - Valadão ACB, Guanãbens PFS. Impacto das mudanças climáticas na saúde mental: uma revisão da literatura sobre ecoansiedade e educação ambiental. Rev. DELOS [Internet]. 21º de março de 2025 ;18(65):e4460. Disponível em: https://ojs.revistadelos.com/ojs/index.php/delos/article/view/4460</w:t>
      </w:r>
    </w:p>
    <w:p w:rsidR="00000000" w:rsidDel="00000000" w:rsidP="00000000" w:rsidRDefault="00000000" w:rsidRPr="00000000" w14:paraId="0000000E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2 - Martins AR, Missiatto LAF, Sousa DA de J. Mudanças climáticas e saúde mental: quando o clima também afeta emoções e relações. Rev. BV. Com. Sab. [Internet]. 26º de maio de 2025 ;1(2):22-3. Disponível em: https://doi.org/10.62009/bemviver.2764.9679n2/2024/424/p22-32 </w:t>
      </w:r>
    </w:p>
    <w:p w:rsidR="00000000" w:rsidDel="00000000" w:rsidP="00000000" w:rsidRDefault="00000000" w:rsidRPr="00000000" w14:paraId="0000000F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ptos"/>
  <w:font w:name="Play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0" distR="0">
          <wp:extent cx="5424788" cy="793491"/>
          <wp:effectExtent b="0" l="0" r="0" t="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86426"/>
                  <a:stretch>
                    <a:fillRect/>
                  </a:stretch>
                </pic:blipFill>
                <pic:spPr>
                  <a:xfrm>
                    <a:off x="0" y="0"/>
                    <a:ext cx="5424788" cy="79349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2">
    <w:pPr>
      <w:tabs>
        <w:tab w:val="center" w:leader="none" w:pos="4252"/>
        <w:tab w:val="right" w:leader="none" w:pos="8504"/>
      </w:tabs>
      <w:jc w:val="both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/>
      <w:drawing>
        <wp:inline distB="0" distT="0" distL="0" distR="0">
          <wp:extent cx="5399730" cy="9017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399730" cy="9017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lang w:val="pt_BR"/>
      </w:rPr>
    </w:rPrDefault>
    <w:pPrDefault>
      <w:pPr>
        <w:spacing w:after="200" w:before="1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