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160" w:firstLine="0"/>
        <w:jc w:val="center"/>
        <w:rPr/>
        <w:sectPr>
          <w:headerReference r:id="rId7" w:type="default"/>
          <w:pgSz w:h="16840" w:w="11910" w:orient="portrait"/>
          <w:pgMar w:bottom="1134" w:top="1701" w:left="1701" w:right="1134" w:header="442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0" w:right="160" w:firstLine="0"/>
        <w:jc w:val="center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SEMANA ACADÊMICA DE MATEMÁTICA DA </w:t>
      </w:r>
      <w:r w:rsidDel="00000000" w:rsidR="00000000" w:rsidRPr="00000000">
        <w:rPr>
          <w:highlight w:val="white"/>
          <w:rtl w:val="0"/>
        </w:rPr>
        <w:t xml:space="preserve">UFNT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highlight w:val="white"/>
          <w:rtl w:val="0"/>
        </w:rPr>
        <w:t xml:space="preserve">Campus</w:t>
      </w:r>
      <w:r w:rsidDel="00000000" w:rsidR="00000000" w:rsidRPr="00000000">
        <w:rPr>
          <w:highlight w:val="white"/>
          <w:rtl w:val="0"/>
        </w:rPr>
        <w:t xml:space="preserve"> Cimba - CAMINHANDO  PELA RESOLUÇÃO DE PROBLEMAS E DESAFIOS LÓGICOS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FEITOSA, A. L. T.,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ana.feitosa@ufnt.edu.br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UFNT</w:t>
      </w:r>
      <w:r w:rsidDel="00000000" w:rsidR="00000000" w:rsidRPr="00000000">
        <w:rPr>
          <w:sz w:val="24"/>
          <w:szCs w:val="24"/>
          <w:rtl w:val="0"/>
        </w:rPr>
        <w:t xml:space="preserve">, FONSECA, D. S.,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douglas.fonseca@ufnt.edu.br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UFNT</w:t>
      </w:r>
      <w:r w:rsidDel="00000000" w:rsidR="00000000" w:rsidRPr="00000000">
        <w:rPr>
          <w:sz w:val="24"/>
          <w:szCs w:val="24"/>
          <w:rtl w:val="0"/>
        </w:rPr>
        <w:t xml:space="preserve">, SILVA, G. C.,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gildemberg.silva@ifto.edu.br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IFTO, ABREU, J. V. B., 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joao.abreu@ufnt.edu.br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UFNT</w:t>
      </w:r>
      <w:r w:rsidDel="00000000" w:rsidR="00000000" w:rsidRPr="00000000">
        <w:rPr>
          <w:sz w:val="24"/>
          <w:szCs w:val="24"/>
          <w:rtl w:val="0"/>
        </w:rPr>
        <w:t xml:space="preserve">, SOUSA, M. E. V.,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maria.vale@ufnt.edu.br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UFNT</w:t>
      </w:r>
      <w:r w:rsidDel="00000000" w:rsidR="00000000" w:rsidRPr="00000000">
        <w:rPr>
          <w:sz w:val="24"/>
          <w:szCs w:val="24"/>
          <w:rtl w:val="0"/>
        </w:rPr>
        <w:t xml:space="preserve">, GOMES, D. S.,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guilherme.gomes@ufnt.edu.br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UFNT</w:t>
      </w:r>
      <w:r w:rsidDel="00000000" w:rsidR="00000000" w:rsidRPr="00000000">
        <w:rPr>
          <w:sz w:val="24"/>
          <w:szCs w:val="24"/>
          <w:rtl w:val="0"/>
        </w:rPr>
        <w:t xml:space="preserve">, SILVA, M. F.,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matheus.faustino@ufnt.edu.br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UFNT</w:t>
      </w:r>
      <w:r w:rsidDel="00000000" w:rsidR="00000000" w:rsidRPr="00000000">
        <w:rPr>
          <w:sz w:val="24"/>
          <w:szCs w:val="24"/>
          <w:rtl w:val="0"/>
        </w:rPr>
        <w:t xml:space="preserve">, SILVA, T. R.,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tanielly.silva@ufnt.edu.br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UFNT</w:t>
      </w:r>
      <w:r w:rsidDel="00000000" w:rsidR="00000000" w:rsidRPr="00000000">
        <w:rPr>
          <w:sz w:val="24"/>
          <w:szCs w:val="24"/>
          <w:rtl w:val="0"/>
        </w:rPr>
        <w:t xml:space="preserve">, SILVA, C. M. O.,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cleide.silva@ufnt.edu.br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UFNT, MOURA, G. B., </w:t>
      </w: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guilherme.moura@ufnt.edu.br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UFNT.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Área Temática: </w:t>
      </w:r>
      <w:r w:rsidDel="00000000" w:rsidR="00000000" w:rsidRPr="00000000">
        <w:rPr>
          <w:sz w:val="24"/>
          <w:szCs w:val="24"/>
          <w:rtl w:val="0"/>
        </w:rPr>
        <w:t xml:space="preserve">Ciências Exatas e da Terra. PIBID.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0" w:firstLine="0"/>
        <w:jc w:val="both"/>
        <w:rPr/>
      </w:pPr>
      <w:r w:rsidDel="00000000" w:rsidR="00000000" w:rsidRPr="00000000">
        <w:rPr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Semana Acadêmica dos cursos superiores é importante momentos formativo e estratégico, contribuindo para o êxito na integralização das horas complementares. O relato em tela refere-se às atividades de Licenciandos do curso de Matemática, bolsistas do PIBID, durante a oficina “Aproximações possíveis do espaço recreativo e o Pensamento Matemático na Resolução de Problemas”, oportunizando aos estudantes da educação básica de Araguaína vivências que articulam o raciocínio lógico e a ludicidade. A ação constituiu um aglutinar de possibilidades para o pensamento matemático criativo, por meio do jogo “Passa ou Repassa”, em consonância com os desafios que orbitam os fazeres do educador matemático contemporâneo imerso nos espaços escolares, por vezes questionado e pouco valorizado. O trabalho em tela aponta para as múltiplas oportunidades de ressignificação do currículo escolar para formação humana crítica, transdisciplinar e pautada na pergunta norteadora nas ciências matemáticas.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Educação. Pensamento matemático. Diversão. Escola. Licenciatura.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As Semanas Acadêmicas configuram atividades obrigatórias para cursos superiores ofertados por Instituições de Ensino Superior (IES), observados a necessidade curricular de horas complementares. Nos cursos de licenciatura, em especial, observa-se a Resolução CNE/CP n° 2/2019 (Brasil, 2019).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Além dos contornos da obrigatoriedade, as Semanas Acadêmicas convergem para consolidação de momentos formativos, trocas de experiências, amadurecimento dos acadêmicos no exercício de desenvolvimento de habilidades e competências necessárias para inserção no mercado de trabalho e potenciais caminhos para o transitar na Pós-graduação.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Nesse sentido, o presente relato de experiência configura no encontro salutar dos fios da grande tecelagem do Educador Matemático com os conhecimentos e saberes matemáticos, caros, à todo docente de matemática, convicto das transformações que circundam o espaço escolar e universitário contemporâneo.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É, pautado na literatura científica, em especial em Freire, Faundez (2017) e  D’Ambrósio (2011), que o presente trabalho trilha pelos fervorosos caminhos que interfaceiam a recreação, o pensamento matemático e a criatividade em meio à Semana Acadêmica de Matemática da Universidade Federal do Norte do Tocantins,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Campus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Cimba.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15">
      <w:pPr>
        <w:pStyle w:val="Heading1"/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trabalho em tela é essencialmente qualitativo, uma vez que mergulha em aspectos da experiência humana, comportamentos e emoções nos filamentos que interconectam-se no âmbito escolar, observando contornos metodológicos propostos por Minayo (2012). </w:t>
      </w:r>
    </w:p>
    <w:p w:rsidR="00000000" w:rsidDel="00000000" w:rsidP="00000000" w:rsidRDefault="00000000" w:rsidRPr="00000000" w14:paraId="00000017">
      <w:pPr>
        <w:pStyle w:val="Heading1"/>
        <w:tabs>
          <w:tab w:val="left" w:leader="none" w:pos="358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RELATO DE EXPERIÊNCIA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58"/>
        </w:tabs>
        <w:ind w:left="35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oficina titulada “</w:t>
      </w:r>
      <w:r w:rsidDel="00000000" w:rsidR="00000000" w:rsidRPr="00000000">
        <w:rPr>
          <w:sz w:val="24"/>
          <w:szCs w:val="24"/>
          <w:rtl w:val="0"/>
        </w:rPr>
        <w:t xml:space="preserve">Aproximações possíveis do espaço recreativo e o Pensamento Matemático na Resolução de Problemas - articulando possibilidades” oferecida durante a Semana Acadêmica do Curso de Licenciatura em Matemática da Universidade Federal do Norte do Tocantins (</w:t>
      </w:r>
      <w:r w:rsidDel="00000000" w:rsidR="00000000" w:rsidRPr="00000000">
        <w:rPr>
          <w:sz w:val="24"/>
          <w:szCs w:val="24"/>
          <w:rtl w:val="0"/>
        </w:rPr>
        <w:t xml:space="preserve">UFNT</w:t>
      </w:r>
      <w:r w:rsidDel="00000000" w:rsidR="00000000" w:rsidRPr="00000000">
        <w:rPr>
          <w:sz w:val="24"/>
          <w:szCs w:val="24"/>
          <w:rtl w:val="0"/>
        </w:rPr>
        <w:t xml:space="preserve">) - Campus Cimba, teve a participação de estudantes da educação básica, mais especificamente, do Ensino Médio. </w:t>
      </w:r>
    </w:p>
    <w:p w:rsidR="00000000" w:rsidDel="00000000" w:rsidP="00000000" w:rsidRDefault="00000000" w:rsidRPr="00000000" w14:paraId="0000001B">
      <w:pPr>
        <w:spacing w:line="360" w:lineRule="auto"/>
        <w:ind w:firstLine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oportunidade configurou um momento rico de socialização de problemas matemáticos e inseminação de conhecimentos matemáticos criativos orbitando conhecimentos de lógica. Desse modo, foi possível oportunizar aos estudantes da educação básica um olhar alargado do conhecimento matemático. </w:t>
      </w:r>
    </w:p>
    <w:p w:rsidR="00000000" w:rsidDel="00000000" w:rsidP="00000000" w:rsidRDefault="00000000" w:rsidRPr="00000000" w14:paraId="0000001C">
      <w:pPr>
        <w:spacing w:line="360" w:lineRule="auto"/>
        <w:ind w:firstLine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outro lado, o “Passa ou Repassa” presente no momento, estimulou o olhar criativo necessário na elaboração de respostas aligeiradas, e sua forte aderência às demandas contemporânea dos profissionais das ciẽncias matemáticas, sobretudo, na capacidade de sugerir boas estimativas. </w:t>
      </w:r>
    </w:p>
    <w:p w:rsidR="00000000" w:rsidDel="00000000" w:rsidP="00000000" w:rsidRDefault="00000000" w:rsidRPr="00000000" w14:paraId="0000001D">
      <w:pPr>
        <w:spacing w:line="360" w:lineRule="auto"/>
        <w:ind w:firstLine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licenciandos em matemática que, sob supervisão dos docentes do Programa Institucional de Bolsas de Iniciação à Docência (PIBID), avançaram no delineamento da proposta puderam observar as diferentes possibilidades de ressignificação do currículo escolar do Ensino Médio e os desafios próprios da profissão docente.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tabs>
          <w:tab w:val="left" w:leader="none" w:pos="358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CONSIDERAÇÕES FINAIS </w:t>
      </w:r>
    </w:p>
    <w:p w:rsidR="00000000" w:rsidDel="00000000" w:rsidP="00000000" w:rsidRDefault="00000000" w:rsidRPr="00000000" w14:paraId="00000020">
      <w:pPr>
        <w:pStyle w:val="Heading1"/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formação do professor de matemática e o seu devido exercício profissional na sociedade dita pós-moderna, é diuturnamente desafiada pelas diferentes ferramentas, sobretudo, àquelas ditas digitais. Por outro lado, o espaço escolar altamente questionado e sobre dúvida de sua devida importância e qualidade para formação humana, problematizada por setores da sociedade, demanda por reflexões profundas e outras respostas para um tempo onde o desenvolvimento humano clama por uma consciência alargada na direção da sustentabilidade, solidariedade e ética.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sentido, ater-se para as potencialidades do pensamento matemático, lógico, alargado, sensível às múltiplas capacidades humanas na direção da colaboração para uma sociedade fraterna e solidária configura como oportunidade latente às gerações do hoje e do amanhã. Assim, o presente trabalho sinaliza para oportunidades de práticas que, a partir de um currículo ressignificado, podem corroborar com um pensamento crítico, perspectiva multidisciplinar considerando a arte da pergunta, na obtenção de outras respostas, quiçá, cientificamente comprometidas e humanamente/globalmente sustentáveis. Um transitar pelos caminhos da matemática e lógica na educação básica, enriquecidas pelo exercício da recreação.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FINANCIAMENTOS </w:t>
      </w:r>
    </w:p>
    <w:p w:rsidR="00000000" w:rsidDel="00000000" w:rsidP="00000000" w:rsidRDefault="00000000" w:rsidRPr="00000000" w14:paraId="00000025">
      <w:pPr>
        <w:pStyle w:val="Heading1"/>
        <w:tabs>
          <w:tab w:val="left" w:leader="none" w:pos="358"/>
        </w:tabs>
        <w:spacing w:line="360" w:lineRule="auto"/>
        <w:ind w:left="0" w:firstLine="35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tabs>
          <w:tab w:val="left" w:leader="none" w:pos="358"/>
        </w:tabs>
        <w:spacing w:line="360" w:lineRule="auto"/>
        <w:ind w:left="0" w:firstLine="357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Agradecemos à CAPES pelo financiamento no âmbito do Programa Institucional de Bolsas de Iniciação à Docência (PIBID) pela oportunidade de imersão em diferentes instituições de ensino da educação básica da cidade de Araguaína que corroboraram com o alargamento do olhar da profissão docente. </w:t>
      </w:r>
    </w:p>
    <w:p w:rsidR="00000000" w:rsidDel="00000000" w:rsidP="00000000" w:rsidRDefault="00000000" w:rsidRPr="00000000" w14:paraId="00000027">
      <w:pPr>
        <w:pStyle w:val="Heading1"/>
        <w:tabs>
          <w:tab w:val="left" w:leader="none" w:pos="358"/>
        </w:tabs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REFERÊNCIAS </w:t>
      </w:r>
    </w:p>
    <w:p w:rsidR="00000000" w:rsidDel="00000000" w:rsidP="00000000" w:rsidRDefault="00000000" w:rsidRPr="00000000" w14:paraId="00000029">
      <w:pPr>
        <w:pStyle w:val="Heading1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BRASIL. </w:t>
      </w:r>
      <w:r w:rsidDel="00000000" w:rsidR="00000000" w:rsidRPr="00000000">
        <w:rPr>
          <w:b w:val="1"/>
          <w:rtl w:val="0"/>
        </w:rPr>
        <w:t xml:space="preserve">Resolução CNE/CP nº 2</w:t>
      </w:r>
      <w:r w:rsidDel="00000000" w:rsidR="00000000" w:rsidRPr="00000000">
        <w:rPr>
          <w:rtl w:val="0"/>
        </w:rPr>
        <w:t xml:space="preserve">, de 20 de dezembro de 2019. Brasília, 2019.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D’AMBROSIO, Ubiratan. A TRANSDISCIPLINARIDADE COMO UMA RESPOSTA À SUSTENTABILIDADE. </w:t>
      </w:r>
      <w:r w:rsidDel="00000000" w:rsidR="00000000" w:rsidRPr="00000000">
        <w:rPr>
          <w:b w:val="1"/>
          <w:rtl w:val="0"/>
        </w:rPr>
        <w:t xml:space="preserve">TERCEIRO INCLUÍDO</w:t>
      </w:r>
      <w:r w:rsidDel="00000000" w:rsidR="00000000" w:rsidRPr="00000000">
        <w:rPr>
          <w:rtl w:val="0"/>
        </w:rPr>
        <w:t xml:space="preserve"> ISSN 2237-079X NUPEAT–IESA–UFG, v.1, n.1, jan./jun, 2011,. </w:t>
      </w:r>
    </w:p>
    <w:p w:rsidR="00000000" w:rsidDel="00000000" w:rsidP="00000000" w:rsidRDefault="00000000" w:rsidRPr="00000000" w14:paraId="0000002D">
      <w:pPr>
        <w:pStyle w:val="Heading1"/>
        <w:spacing w:lin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spacing w:line="24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FREIRE, Paulo; FAUNDEZ, Antonio. </w:t>
      </w:r>
      <w:r w:rsidDel="00000000" w:rsidR="00000000" w:rsidRPr="00000000">
        <w:rPr>
          <w:rtl w:val="0"/>
        </w:rPr>
        <w:t xml:space="preserve">Por uma pedagogia da pergunta.</w:t>
      </w:r>
      <w:r w:rsidDel="00000000" w:rsidR="00000000" w:rsidRPr="00000000">
        <w:rPr>
          <w:b w:val="0"/>
          <w:rtl w:val="0"/>
        </w:rPr>
        <w:t xml:space="preserve"> 8. Ed. Rio de Janeiro: Paz e Terra, 2017.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MINAYO, M. C.S. Análise qualitativa: teoria, passos e fidedignidade. </w:t>
      </w:r>
      <w:r w:rsidDel="00000000" w:rsidR="00000000" w:rsidRPr="00000000">
        <w:rPr>
          <w:b w:val="1"/>
          <w:sz w:val="24"/>
          <w:szCs w:val="24"/>
          <w:rtl w:val="0"/>
        </w:rPr>
        <w:t xml:space="preserve">Ciência &amp; Saúde Coletiva</w:t>
      </w:r>
      <w:r w:rsidDel="00000000" w:rsidR="00000000" w:rsidRPr="00000000">
        <w:rPr>
          <w:sz w:val="24"/>
          <w:szCs w:val="24"/>
          <w:rtl w:val="0"/>
        </w:rPr>
        <w:t xml:space="preserve">, Rio de Janeiro, v. 17, n. 3, p. 621-626, 2012.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18" w:type="default"/>
      <w:type w:val="continuous"/>
      <w:pgSz w:h="16840" w:w="11910" w:orient="portrait"/>
      <w:pgMar w:bottom="1134" w:top="1701" w:left="1701" w:right="1134" w:header="44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62625" cy="192214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5" cy="19221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9315.0" w:type="dxa"/>
      <w:jc w:val="left"/>
      <w:tblInd w:w="-25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15"/>
      <w:tblGridChange w:id="0">
        <w:tblGrid>
          <w:gridCol w:w="9315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ffffff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4">
          <w:pPr>
            <w:spacing w:line="14.399999999999999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7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F97DA9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F97DA9"/>
    <w:rPr>
      <w:rFonts w:ascii="Times New Roman" w:cs="Times New Roman" w:eastAsia="Times New Roman" w:hAnsi="Times New Roman"/>
      <w:sz w:val="24"/>
      <w:szCs w:val="24"/>
      <w:lang w:val="pt-PT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CE6DB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 w:val="1"/>
    <w:rsid w:val="00CE6DB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semiHidden w:val="1"/>
    <w:unhideWhenUsed w:val="1"/>
    <w:rsid w:val="00EA3E2D"/>
    <w:pPr>
      <w:widowControl w:val="1"/>
      <w:spacing w:after="100" w:afterAutospacing="1" w:before="100" w:before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7311F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oao.abreu@ufnt.edu.br" TargetMode="External"/><Relationship Id="rId10" Type="http://schemas.openxmlformats.org/officeDocument/2006/relationships/hyperlink" Target="mailto:gildemberg.silva@ifto.edu.br" TargetMode="External"/><Relationship Id="rId13" Type="http://schemas.openxmlformats.org/officeDocument/2006/relationships/hyperlink" Target="mailto:guilherme.gomes@ufnt.edu.br" TargetMode="External"/><Relationship Id="rId12" Type="http://schemas.openxmlformats.org/officeDocument/2006/relationships/hyperlink" Target="mailto:maria.vale@ufnt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ouglas.fonseca@ufnt.edu.br" TargetMode="External"/><Relationship Id="rId15" Type="http://schemas.openxmlformats.org/officeDocument/2006/relationships/hyperlink" Target="mailto:tanielly.silva@ufnt.edu.br" TargetMode="External"/><Relationship Id="rId14" Type="http://schemas.openxmlformats.org/officeDocument/2006/relationships/hyperlink" Target="mailto:matheus.faustino@ufnt.edu.br" TargetMode="External"/><Relationship Id="rId17" Type="http://schemas.openxmlformats.org/officeDocument/2006/relationships/hyperlink" Target="mailto:guilherme.moura@ufnt.edu.br" TargetMode="External"/><Relationship Id="rId16" Type="http://schemas.openxmlformats.org/officeDocument/2006/relationships/hyperlink" Target="mailto:cleide.silva@ufnt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yperlink" Target="mailto:ana.feitosa@ufnt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aHc+tAYbe7VOalJ78hztzhcTg==">CgMxLjA4AHIhMWYtUnZ6V05TMzRMdGhiZV9weUVNNlFBSGFWZTZGcTZ3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2025-09-24T13:48:00Z</dcterms:created>
  <dc:creator>Cliente</dc:creator>
</cp:coreProperties>
</file>