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E54A" w14:textId="77777777" w:rsidR="007C4417" w:rsidRDefault="007C4417">
      <w:pPr>
        <w:sectPr w:rsidR="007C44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20"/>
          <w:formProt w:val="0"/>
          <w:docGrid w:linePitch="100" w:charSpace="8192"/>
        </w:sectPr>
      </w:pPr>
    </w:p>
    <w:p w14:paraId="4FF9495B" w14:textId="53C6B2E3" w:rsidR="007C4417" w:rsidRDefault="00AA5BEF" w:rsidP="00730FC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5BEF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STUDO COMPARATIVO DOS SÍTIOS ATIVOS DO SARS-COV e SARS-COV-2 UTILIZANDO MODELAGEM TEÓRICA: DINÂMICA MOLECULAR, DOCKING MOLECULAR</w:t>
      </w:r>
      <w:r w:rsidRPr="00AA5BEF">
        <w:rPr>
          <w:rFonts w:ascii="Arial" w:eastAsia="Arial" w:hAnsi="Arial" w:cs="Arial"/>
          <w:b/>
          <w:sz w:val="24"/>
          <w:szCs w:val="24"/>
        </w:rPr>
        <w:t>, M</w:t>
      </w:r>
      <w:r>
        <w:rPr>
          <w:rFonts w:ascii="Arial" w:eastAsia="Arial" w:hAnsi="Arial" w:cs="Arial"/>
          <w:b/>
          <w:sz w:val="24"/>
          <w:szCs w:val="24"/>
        </w:rPr>
        <w:t>ÉTODOS SEMIEMPÍRICOS E AB INÍTIO.</w:t>
      </w:r>
    </w:p>
    <w:p w14:paraId="51F0AAFB" w14:textId="77777777" w:rsidR="00AA5BEF" w:rsidRDefault="00AA5BE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FD29AD9" w14:textId="3F0F3DE7" w:rsidR="007C4417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 w:rsidR="00AA5BEF">
        <w:rPr>
          <w:rFonts w:ascii="Arial" w:eastAsia="Arial" w:hAnsi="Arial" w:cs="Arial"/>
          <w:b/>
          <w:sz w:val="24"/>
          <w:szCs w:val="24"/>
        </w:rPr>
        <w:t>ANTOS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AA5BEF">
        <w:rPr>
          <w:rFonts w:ascii="Arial" w:eastAsia="Arial" w:hAnsi="Arial" w:cs="Arial"/>
          <w:sz w:val="24"/>
          <w:szCs w:val="24"/>
        </w:rPr>
        <w:t>Victor Gabriel Silva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AA5BEF">
        <w:rPr>
          <w:rFonts w:ascii="Arial" w:eastAsia="Arial" w:hAnsi="Arial" w:cs="Arial"/>
          <w:b/>
          <w:sz w:val="24"/>
          <w:szCs w:val="24"/>
        </w:rPr>
        <w:t>DÁVILA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42054" w:rsidRPr="00242054">
        <w:rPr>
          <w:rFonts w:ascii="Arial" w:eastAsia="Arial" w:hAnsi="Arial" w:cs="Arial"/>
          <w:sz w:val="24"/>
          <w:szCs w:val="24"/>
        </w:rPr>
        <w:t xml:space="preserve">Liliana Yolanda </w:t>
      </w:r>
      <w:proofErr w:type="spellStart"/>
      <w:r w:rsidR="00242054" w:rsidRPr="00242054">
        <w:rPr>
          <w:rFonts w:ascii="Arial" w:eastAsia="Arial" w:hAnsi="Arial" w:cs="Arial"/>
          <w:sz w:val="24"/>
          <w:szCs w:val="24"/>
        </w:rPr>
        <w:t>Ancalla</w:t>
      </w:r>
      <w:proofErr w:type="spellEnd"/>
      <w:r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; </w:t>
      </w:r>
    </w:p>
    <w:p w14:paraId="21F686F0" w14:textId="77777777" w:rsidR="007C4417" w:rsidRDefault="007C441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A36DF2" w14:textId="77777777" w:rsidR="007C4417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530291A3" w14:textId="00C22E37" w:rsidR="007048BA" w:rsidRDefault="004111EA" w:rsidP="004111EA">
      <w:pPr>
        <w:widowControl w:val="0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11EA">
        <w:rPr>
          <w:rFonts w:ascii="Arial" w:eastAsia="Arial" w:hAnsi="Arial" w:cs="Arial"/>
          <w:sz w:val="24"/>
          <w:szCs w:val="24"/>
        </w:rPr>
        <w:t xml:space="preserve">A proteína Spike do SARS-CoV-2 possui um sítio de clivagem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polibásico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(PRRAR↓S) processado pela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, característica ausente no SARS-CoV-1 que explica sua maior transmissibilidade. Este estudo investigou os detalhes estruturais e energéticos desta interação através de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molecular, gerando 1000 poses conformacionais. Os resultados revelaram energias de ligação entre -5,879 e -4,803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 xml:space="preserve">¹, com conformações otimizadas apresentando distâncias de ~4,4 Å entre a tríade catalítica da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(His194, Asp153, Ser368) e os resíduos Arg685/Ser686 da Spike, enquanto arranjos desfavoráveis exibiram distâncias &gt;5,0 Å. A análise mostrou distribuição homogênea (DP=0,193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 xml:space="preserve">¹) com 75% das poses superando a mediana de afinidade. A estabilidade superior decorreu de interações intermoleculares otimizadas (-8,105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vs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-7,889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>¹), demonstrando que a eficiência da clivagem está diretamente relacionada à precisão geométrica no sítio ativo. A presença deste mecanismo específico no SARS-CoV-2 representa vantagem evolutiva decisiva, fornecendo bases para intervenções terapêuticas dirigidas.</w:t>
      </w:r>
    </w:p>
    <w:p w14:paraId="558152F1" w14:textId="77777777" w:rsidR="004111EA" w:rsidRDefault="004111EA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7E254C" w14:textId="204D21D0" w:rsidR="007C4417" w:rsidRDefault="000000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DE6BD7" w:rsidRPr="00DE6BD7">
        <w:rPr>
          <w:rFonts w:ascii="Arial" w:eastAsia="Arial" w:hAnsi="Arial" w:cs="Arial"/>
          <w:sz w:val="24"/>
          <w:szCs w:val="24"/>
        </w:rPr>
        <w:t xml:space="preserve">SARS-CoV-2; Proteína Spike;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Furina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Docking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Molecular;</w:t>
      </w:r>
    </w:p>
    <w:p w14:paraId="6C0B0447" w14:textId="77777777" w:rsidR="007C4417" w:rsidRDefault="007C441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DB01BD0" w14:textId="77777777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39E5B421" w14:textId="187A472C" w:rsidR="00DE6BD7" w:rsidRDefault="005E1E1C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E1E1C">
        <w:rPr>
          <w:rFonts w:ascii="Arial" w:eastAsia="Arial" w:hAnsi="Arial" w:cs="Arial"/>
          <w:sz w:val="24"/>
          <w:szCs w:val="24"/>
        </w:rPr>
        <w:t>A</w:t>
      </w:r>
      <w:r w:rsidR="00DE6BD7" w:rsidRPr="00DE6BD7">
        <w:rPr>
          <w:rFonts w:ascii="Arial" w:eastAsia="Arial" w:hAnsi="Arial" w:cs="Arial"/>
          <w:sz w:val="24"/>
          <w:szCs w:val="24"/>
        </w:rPr>
        <w:t xml:space="preserve"> pandemia de COVID-19 destacou a urgência em compreender os mecanismos moleculares do SARS-CoV-2, particularmente a interação entre a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furina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e o sítio de clivagem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polibásico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(PRRAR↓S) da proteína Spike (HOFFMANN et al., 2020). Esta característica única, ausente no SARS-CoV-1, confere maior transmissibilidade e eficiência de entrada celular ao vírus (PEACOCK et al., 2021). Este projeto de iniciação científica, inserido na área de Ciências Exatas e da Terra com ênfase em Física Computacional, investigou os detalhes estruturais e energéticos desta interação crítica através de simulações de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docking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molecular com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AutoDock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Vina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(EBERHARDT et al., 2021). A pesquisa gerou e analisou 1000 poses conformacionais, quantificando energias de ligação, distâncias </w:t>
      </w:r>
      <w:proofErr w:type="spellStart"/>
      <w:r w:rsidR="00DE6BD7" w:rsidRPr="00DE6BD7">
        <w:rPr>
          <w:rFonts w:ascii="Arial" w:eastAsia="Arial" w:hAnsi="Arial" w:cs="Arial"/>
          <w:sz w:val="24"/>
          <w:szCs w:val="24"/>
        </w:rPr>
        <w:t>interatômicas</w:t>
      </w:r>
      <w:proofErr w:type="spellEnd"/>
      <w:r w:rsidR="00DE6BD7" w:rsidRPr="00DE6BD7">
        <w:rPr>
          <w:rFonts w:ascii="Arial" w:eastAsia="Arial" w:hAnsi="Arial" w:cs="Arial"/>
          <w:sz w:val="24"/>
          <w:szCs w:val="24"/>
        </w:rPr>
        <w:t xml:space="preserve"> e parâmetros conformacionais essenciais para compreender a eficiência catalítica. A relevância do trabalho manifesta-se tanto no avanço do conhecimento científico sobre patogenicidade viral quanto na formação acadêmica em metodologias computacionais aplicadas à biologia estrutural, seguindo os princípios formativos do PIBIC de integrar pesquisa básica com formação teórica</w:t>
      </w:r>
      <w:r w:rsidR="00DE6BD7">
        <w:rPr>
          <w:rFonts w:ascii="Arial" w:eastAsia="Arial" w:hAnsi="Arial" w:cs="Arial"/>
          <w:sz w:val="24"/>
          <w:szCs w:val="24"/>
        </w:rPr>
        <w:t xml:space="preserve"> sólida</w:t>
      </w:r>
      <w:r w:rsidR="00DE6BD7" w:rsidRPr="00DE6BD7">
        <w:rPr>
          <w:rFonts w:ascii="Arial" w:eastAsia="Arial" w:hAnsi="Arial" w:cs="Arial"/>
          <w:sz w:val="24"/>
          <w:szCs w:val="24"/>
        </w:rPr>
        <w:t>.</w:t>
      </w:r>
    </w:p>
    <w:p w14:paraId="4CB4AA4D" w14:textId="77777777" w:rsidR="005E1E1C" w:rsidRPr="005E1E1C" w:rsidRDefault="005E1E1C" w:rsidP="005E1E1C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A21A8F5" w14:textId="6AEE22A9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48E99B91" w14:textId="2DCCA149" w:rsidR="007C4417" w:rsidRDefault="004111EA" w:rsidP="004111E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11EA">
        <w:rPr>
          <w:rFonts w:ascii="Arial" w:eastAsia="Arial" w:hAnsi="Arial" w:cs="Arial"/>
          <w:sz w:val="24"/>
          <w:szCs w:val="24"/>
        </w:rPr>
        <w:t xml:space="preserve">O desenvolvimento desta pesquisa estabeleceu diálogo com autores fundamentais em virologia e modelagem molecular. Para compreensão do SARS-CoV-2 e da proteína Spike, basearam-se os estudos de Zhu et al. (2020) e Hoffmann et al. (2020), enquanto Couture et al. (2022) 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Seidah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(2022) fundamentaram o estudo da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. Metodologicamente,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Eberhardt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et al. (2021) orientaram as simulações de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Cournia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et al. (2017) subsidiaram a análise energética, 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Peacock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et al. </w:t>
      </w:r>
      <w:r w:rsidRPr="004111EA">
        <w:rPr>
          <w:rFonts w:ascii="Arial" w:eastAsia="Arial" w:hAnsi="Arial" w:cs="Arial"/>
          <w:sz w:val="24"/>
          <w:szCs w:val="24"/>
        </w:rPr>
        <w:lastRenderedPageBreak/>
        <w:t xml:space="preserve">(2021) e Johnson et al. (2021) embasaram a análise do sítio de clivagem.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Wrapp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et al. (2020) 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Walls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et al. (2020) forneceram as estruturas da Spike. A revisão de literatura abrangeu ainda Liu et al. (2022) para contextualização evolutiva viral, permitindo a construção metodológica para investigação das interações moleculares entre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 a proteína Spike do SARS-CoV-2.</w:t>
      </w:r>
    </w:p>
    <w:p w14:paraId="20625BB2" w14:textId="77777777" w:rsidR="004111EA" w:rsidRDefault="004111EA" w:rsidP="004111EA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4501F7BF" w14:textId="77777777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0D41178C" w14:textId="356E7FA9" w:rsidR="00765212" w:rsidRDefault="00765212" w:rsidP="00765212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Objetivo Geral: </w:t>
      </w:r>
      <w:r w:rsidRPr="00765212">
        <w:rPr>
          <w:rFonts w:ascii="Arial" w:eastAsia="Arial" w:hAnsi="Arial" w:cs="Arial"/>
          <w:sz w:val="24"/>
          <w:szCs w:val="24"/>
        </w:rPr>
        <w:t xml:space="preserve">Investigar os determinantes estruturais e energéticos da interação entre a enzima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e o sítio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polibásico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da proteína Spike do SARS-CoV-2 por meio de simulações computacionais de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molecular.</w:t>
      </w:r>
      <w:r>
        <w:rPr>
          <w:rFonts w:ascii="Arial" w:eastAsia="Arial" w:hAnsi="Arial" w:cs="Arial"/>
          <w:sz w:val="24"/>
          <w:szCs w:val="24"/>
        </w:rPr>
        <w:br/>
      </w:r>
    </w:p>
    <w:p w14:paraId="5E8AE6AD" w14:textId="03B0EC86" w:rsidR="00765212" w:rsidRDefault="00765212" w:rsidP="00765212">
      <w:pPr>
        <w:spacing w:after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Objetivos específicos:</w:t>
      </w:r>
    </w:p>
    <w:p w14:paraId="1A04BC2D" w14:textId="77777777" w:rsidR="00765212" w:rsidRPr="00765212" w:rsidRDefault="00765212" w:rsidP="00765212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212">
        <w:rPr>
          <w:rFonts w:ascii="Arial" w:eastAsia="Arial" w:hAnsi="Arial" w:cs="Arial"/>
          <w:sz w:val="24"/>
          <w:szCs w:val="24"/>
        </w:rPr>
        <w:t xml:space="preserve">Caracterizar termodinamicamente a interação entre a tríade catalítica da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e o motivo de clivagem PRRAR↓S da Spike mediante cálculo de energias de ligação.</w:t>
      </w:r>
    </w:p>
    <w:p w14:paraId="42B3D86C" w14:textId="77777777" w:rsidR="00765212" w:rsidRPr="00765212" w:rsidRDefault="00765212" w:rsidP="00765212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212">
        <w:rPr>
          <w:rFonts w:ascii="Arial" w:eastAsia="Arial" w:hAnsi="Arial" w:cs="Arial"/>
          <w:sz w:val="24"/>
          <w:szCs w:val="24"/>
        </w:rPr>
        <w:t xml:space="preserve">Identificar as conformações moleculares mais estáveis do complexo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-Spike a partir da análise de 1000 poses geradas por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molecular.</w:t>
      </w:r>
    </w:p>
    <w:p w14:paraId="08828B6B" w14:textId="77777777" w:rsidR="00765212" w:rsidRPr="00765212" w:rsidRDefault="00765212" w:rsidP="00765212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212">
        <w:rPr>
          <w:rFonts w:ascii="Arial" w:eastAsia="Arial" w:hAnsi="Arial" w:cs="Arial"/>
          <w:sz w:val="24"/>
          <w:szCs w:val="24"/>
        </w:rPr>
        <w:t xml:space="preserve">Quantificar as distâncias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interatômicas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críticas entre os resíduos catalíticos da </w:t>
      </w:r>
      <w:proofErr w:type="spellStart"/>
      <w:r w:rsidRPr="00765212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765212">
        <w:rPr>
          <w:rFonts w:ascii="Arial" w:eastAsia="Arial" w:hAnsi="Arial" w:cs="Arial"/>
          <w:sz w:val="24"/>
          <w:szCs w:val="24"/>
        </w:rPr>
        <w:t xml:space="preserve"> e os resíduos alvo da Spike nas conformações mais favoráveis.</w:t>
      </w:r>
    </w:p>
    <w:p w14:paraId="6A8306D7" w14:textId="701062CD" w:rsidR="00765212" w:rsidRPr="00765212" w:rsidRDefault="00765212" w:rsidP="00765212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212">
        <w:rPr>
          <w:rFonts w:ascii="Arial" w:eastAsia="Arial" w:hAnsi="Arial" w:cs="Arial"/>
          <w:sz w:val="24"/>
          <w:szCs w:val="24"/>
        </w:rPr>
        <w:t>Estabelecer correlações entre parâmetros geométricos e energéticos com a eficiência de clivagem proteolítica.</w:t>
      </w:r>
    </w:p>
    <w:p w14:paraId="2EEE068F" w14:textId="77777777" w:rsidR="00765212" w:rsidRPr="00765212" w:rsidRDefault="00765212" w:rsidP="00765212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93E6400" w14:textId="256ACCD7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498F2EF6" w14:textId="75763CC7" w:rsidR="007C4417" w:rsidRDefault="004111E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111EA">
        <w:rPr>
          <w:rFonts w:ascii="Arial" w:eastAsia="Arial" w:hAnsi="Arial" w:cs="Arial"/>
          <w:sz w:val="24"/>
          <w:szCs w:val="24"/>
        </w:rPr>
        <w:t xml:space="preserve">A pesquisa foi desenvolvida integralmente através de abordagem computacional, utilizando simulações de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molecular para caracterizar a interação entre 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 a proteína Spike do SARS-CoV-2. As estruturas </w:t>
      </w:r>
      <w:r w:rsidRPr="004111EA">
        <w:rPr>
          <w:rFonts w:ascii="Arial" w:eastAsia="Arial" w:hAnsi="Arial" w:cs="Arial"/>
          <w:sz w:val="24"/>
          <w:szCs w:val="24"/>
        </w:rPr>
        <w:lastRenderedPageBreak/>
        <w:t xml:space="preserve">tridimensionais foram obtidas do Protein Data Bank (PDB), com foco específico nos resíduos 685-686 que compreendem o sítio de clivagem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polibásico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PRRAR↓S. O estudo não envolveu participantes humanos ou animais, consistindo exclusivamente em análise in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silico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. Para o preparo das estruturas utilizou-se o software Open Babel para conversão de formatos, adição de hidrogênios e atribuição de cargas atômicas. O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molecular foi realizado com o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AutoDock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Vina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, gerando 1000 poses conformacionais para análise estatística. A região do sítio ativo da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, incluindo a tríade catalítica (His194, Asp153, Ser368), foi definida como alvo do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. As visualizações estruturais e análises espaciais foram conduzidas nos softwares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PyMOL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Chimera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, permitindo a medição de distâncias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interatômicas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críticas e a inspeção detalhada das interações moleculares. Os parâmetros energéticos analisados incluíram energias de ligação (ΔG) e seus componentes intermoleculares e intramoleculares. A análise dos dados baseou-se em estatística descritiva, calculando média, mediana, desvio padrão e percentis para as energias de ligação obtidas. A correlação entre parâmetros energéticos e geométricos foi estabelecida através de análise comparativa das poses mais e menos favoráveis. A validação dos resultados foi realizada por comparação com dados da literatura especializada em interações proteína-proteína e mecanismos catalíticos de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serino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proteases.</w:t>
      </w:r>
    </w:p>
    <w:p w14:paraId="150980D7" w14:textId="77777777" w:rsidR="007C4417" w:rsidRDefault="007C441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2F76CBD8" w14:textId="77777777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7B76DAC2" w14:textId="22DF7443" w:rsidR="007C4417" w:rsidRDefault="004111E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111EA">
        <w:rPr>
          <w:rFonts w:ascii="Arial" w:eastAsia="Arial" w:hAnsi="Arial" w:cs="Arial"/>
          <w:sz w:val="24"/>
          <w:szCs w:val="24"/>
        </w:rPr>
        <w:t xml:space="preserve">Os experimentos de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docking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molecular revelaram um continuum de afinidade molecular entre 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 o sítio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polibásico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da Spike, com energias de ligação variando entre -5,879 e -4,803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 xml:space="preserve">¹. A análise das 1000 poses conformacionais demonstrou significativa variação conformacional, onde conformações com melhor complementaridade estrutural apresentaram distâncias de aproximadamente 4,4 Å entre o sítio catalítico da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 o resíduo alvo Arg685 da Spike, enquanto arranjos </w:t>
      </w:r>
      <w:r w:rsidRPr="004111EA">
        <w:rPr>
          <w:rFonts w:ascii="Arial" w:eastAsia="Arial" w:hAnsi="Arial" w:cs="Arial"/>
          <w:sz w:val="24"/>
          <w:szCs w:val="24"/>
        </w:rPr>
        <w:lastRenderedPageBreak/>
        <w:t>menos favoráveis exibiram distâncias superiores a 5,0 Å. A distribuição estatística das energias mostrou-se homogênea, com média de -5,477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>¹, mediana de -5,478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>¹ e baixo desvio padrão (0,193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>¹), indicando consistência nas interações moleculares. A análise por percentis identificou que 25% das poses apresentaram energia igual ou superior a -5,610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 xml:space="preserve">¹, representando o conjunto conformacional biologicamente mais relevante. A superioridade energética das conformações mais estáveis decorreu predominantemente de interações intermoleculares otimizadas (-8,105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vs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-7,889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 xml:space="preserve">¹ para as poses 69 e 391, respectivamente), sem diferenças significativas na energia conformacional intramolecular. Estes resultados corroboram estudos anteriores que destacam a criticalidade do alinhamento geométrico no sítio ativo para a eficiência catalítica da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(HOFFMANN et al., 2020). A diferença de aproximadamente 1,1 kcal·mol</w:t>
      </w:r>
      <w:r w:rsidRPr="004111EA">
        <w:rPr>
          <w:rFonts w:ascii="Cambria Math" w:eastAsia="Arial" w:hAnsi="Cambria Math" w:cs="Cambria Math"/>
          <w:sz w:val="24"/>
          <w:szCs w:val="24"/>
        </w:rPr>
        <w:t>⁻</w:t>
      </w:r>
      <w:r w:rsidRPr="004111EA">
        <w:rPr>
          <w:rFonts w:ascii="Arial" w:eastAsia="Arial" w:hAnsi="Arial" w:cs="Arial"/>
          <w:sz w:val="24"/>
          <w:szCs w:val="24"/>
        </w:rPr>
        <w:t xml:space="preserve">¹ entre as poses extremas, correspondendo a um aumento de seis vezes na afinidade de ligação pelo modelo de Boltzmann, evidencia a sensibilidade do sistema a variações conformacionais mínimas. A correlação entre distâncias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interatômicas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 energias de ligação demonstra que variações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angstrométricas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impactam significativamente a estabilidade do complexo enzima-substrato, fornecendo bases moleculares para compreender a elevada eficiência de clivagem do SARS-CoV-2 em comparação com outros coronavírus.</w:t>
      </w:r>
    </w:p>
    <w:p w14:paraId="387EC181" w14:textId="77777777" w:rsidR="004111EA" w:rsidRDefault="004111E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2424AC2" w14:textId="77777777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543AE17F" w14:textId="05023080" w:rsidR="007C4417" w:rsidRDefault="004111E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111EA">
        <w:rPr>
          <w:rFonts w:ascii="Arial" w:eastAsia="Arial" w:hAnsi="Arial" w:cs="Arial"/>
          <w:sz w:val="24"/>
          <w:szCs w:val="24"/>
        </w:rPr>
        <w:t xml:space="preserve">O estudo demonstrou que a eficiência da clivagem da proteína Spike pela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furina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 xml:space="preserve"> está diretamente correlacionada com a precisão geométrica no sítio ativo. Os resultados comprovaram que variações conformacionais mínimas, da ordem de angstroms, impactam significativamente a estabilidade do complexo enzima-substrato. A pesquisa forneceu parâmetros quantitativos que explicam a vantagem </w:t>
      </w:r>
      <w:r w:rsidRPr="004111EA">
        <w:rPr>
          <w:rFonts w:ascii="Arial" w:eastAsia="Arial" w:hAnsi="Arial" w:cs="Arial"/>
          <w:sz w:val="24"/>
          <w:szCs w:val="24"/>
        </w:rPr>
        <w:lastRenderedPageBreak/>
        <w:t xml:space="preserve">evolutiva do SARS-CoV-2 em relação a outros coronavírus, particularmente pela otimização das interações intermoleculares no sítio </w:t>
      </w:r>
      <w:proofErr w:type="spellStart"/>
      <w:r w:rsidRPr="004111EA">
        <w:rPr>
          <w:rFonts w:ascii="Arial" w:eastAsia="Arial" w:hAnsi="Arial" w:cs="Arial"/>
          <w:sz w:val="24"/>
          <w:szCs w:val="24"/>
        </w:rPr>
        <w:t>polibásico</w:t>
      </w:r>
      <w:proofErr w:type="spellEnd"/>
      <w:r w:rsidRPr="004111EA">
        <w:rPr>
          <w:rFonts w:ascii="Arial" w:eastAsia="Arial" w:hAnsi="Arial" w:cs="Arial"/>
          <w:sz w:val="24"/>
          <w:szCs w:val="24"/>
        </w:rPr>
        <w:t>. O trabalho contribuiu significativamente para a formação em metodologias computacionais aplicadas à biologia estrutural, estabelecendo bases para futuras investigações sobre estratégias de intervenção terapêutica direcionadas a este mecanismo crítico de ativação viral.</w:t>
      </w:r>
    </w:p>
    <w:p w14:paraId="2C2B3B7C" w14:textId="77777777" w:rsidR="007C4417" w:rsidRDefault="007C441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8D39429" w14:textId="77777777" w:rsidR="007C4417" w:rsidRDefault="007C441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E7C3EF" w14:textId="77777777" w:rsidR="007C4417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3320B3AC" w14:textId="09A38D69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COURNIA, Z. et al. Relative Binding Free Energy Calculations in Drug Discovery: Recent Advances and Practical Considerations. Journal of Chemical Information and Modeling, [S. l.], v. 57, n. 12, p. 2911-2937, 2017.</w:t>
      </w:r>
    </w:p>
    <w:p w14:paraId="08999EA3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08677BD4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COUTURE, F. et al. The proprotein convertases in health and disease. Nature Reviews Endocrinology, [S. l.], v. 18, n. 5, p. 280-297, 2022.</w:t>
      </w:r>
    </w:p>
    <w:p w14:paraId="050638BB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5ABB00B3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 xml:space="preserve">EBERHARDT, J. et al. </w:t>
      </w:r>
      <w:proofErr w:type="spellStart"/>
      <w:r w:rsidRPr="00730FCA">
        <w:rPr>
          <w:rFonts w:ascii="Arial" w:eastAsia="Arial" w:hAnsi="Arial" w:cs="Arial"/>
          <w:sz w:val="24"/>
          <w:szCs w:val="24"/>
          <w:lang w:val="en-US"/>
        </w:rPr>
        <w:t>AutoDock</w:t>
      </w:r>
      <w:proofErr w:type="spellEnd"/>
      <w:r w:rsidRPr="00730FCA">
        <w:rPr>
          <w:rFonts w:ascii="Arial" w:eastAsia="Arial" w:hAnsi="Arial" w:cs="Arial"/>
          <w:sz w:val="24"/>
          <w:szCs w:val="24"/>
          <w:lang w:val="en-US"/>
        </w:rPr>
        <w:t xml:space="preserve"> Vina 1.2.0: New Docking Methods, Expanded Force Field, and Python Bindings. Journal of Chemical Information and Modeling, [S. l.], v. 61, n. 8, p. 3891-3898, 2021.</w:t>
      </w:r>
    </w:p>
    <w:p w14:paraId="5316B7A8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29907FB3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HOFFMANN, M. et al. SARS-CoV-2 Cell Entry Depends on ACE2 and TMPRSS2 and Is Blocked by a Clinically Proven Protease Inhibitor. Cell, [S. l.], v. 181, n. 2, p. 271-280, 2020.</w:t>
      </w:r>
    </w:p>
    <w:p w14:paraId="277FBD70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A932922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 xml:space="preserve">JOHNSON, B. A. et al. Loss of </w:t>
      </w:r>
      <w:proofErr w:type="spellStart"/>
      <w:r w:rsidRPr="00730FCA">
        <w:rPr>
          <w:rFonts w:ascii="Arial" w:eastAsia="Arial" w:hAnsi="Arial" w:cs="Arial"/>
          <w:sz w:val="24"/>
          <w:szCs w:val="24"/>
          <w:lang w:val="en-US"/>
        </w:rPr>
        <w:t>furin</w:t>
      </w:r>
      <w:proofErr w:type="spellEnd"/>
      <w:r w:rsidRPr="00730FCA">
        <w:rPr>
          <w:rFonts w:ascii="Arial" w:eastAsia="Arial" w:hAnsi="Arial" w:cs="Arial"/>
          <w:sz w:val="24"/>
          <w:szCs w:val="24"/>
          <w:lang w:val="en-US"/>
        </w:rPr>
        <w:t xml:space="preserve"> cleavage site attenuates SARS-CoV-2 pathogenesis. Nature, [S. l.], v. 591, n. 7849, p. 293-299, 2021.</w:t>
      </w:r>
    </w:p>
    <w:p w14:paraId="2A9DE714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06B6A90F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LIU, Y. et al. The N501Y spike substitution enhances SARS-CoV-2 infection and transmission. Nature, [S. l.], v. 602, p. 294-299, 2022.</w:t>
      </w:r>
    </w:p>
    <w:p w14:paraId="2880602B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5FF6228B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 xml:space="preserve">PEACOCK, T. P. et al. The </w:t>
      </w:r>
      <w:proofErr w:type="spellStart"/>
      <w:r w:rsidRPr="00730FCA">
        <w:rPr>
          <w:rFonts w:ascii="Arial" w:eastAsia="Arial" w:hAnsi="Arial" w:cs="Arial"/>
          <w:sz w:val="24"/>
          <w:szCs w:val="24"/>
          <w:lang w:val="en-US"/>
        </w:rPr>
        <w:t>furin</w:t>
      </w:r>
      <w:proofErr w:type="spellEnd"/>
      <w:r w:rsidRPr="00730FCA">
        <w:rPr>
          <w:rFonts w:ascii="Arial" w:eastAsia="Arial" w:hAnsi="Arial" w:cs="Arial"/>
          <w:sz w:val="24"/>
          <w:szCs w:val="24"/>
          <w:lang w:val="en-US"/>
        </w:rPr>
        <w:t xml:space="preserve"> cleavage site in the SARS-CoV-2 spike protein is required for transmission in ferrets. Nature Microbiology, [S. l.], v. 6, p. 899-909, 2021.</w:t>
      </w:r>
    </w:p>
    <w:p w14:paraId="00980EEF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819188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lastRenderedPageBreak/>
        <w:t>SEIDAH, N. G. The proprotein convertases in the COVID-19 pandemic: A double-edged sword. Current Opinion in Endocrinology, Diabetes and Obesity, [S. l.], v. 29, n. 2, p. 75-85, 2022.</w:t>
      </w:r>
    </w:p>
    <w:p w14:paraId="59B8FCC7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28C63297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WALLS, A. C. et al. Structure, Function, and Antigenicity of the SARS-CoV-2 Spike Glycoprotein. Cell, [S. l.], v. 181, n. 2, p. 281-292, 2020.</w:t>
      </w:r>
    </w:p>
    <w:p w14:paraId="568F8B98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5BEB1DA9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WRAPP, D. et al. Cryo-EM structure of the 2019-nCoV spike in the prefusion conformation. Science, [S. l.], v. 367, n. 6483, p. 1260-1263, 2020.</w:t>
      </w:r>
    </w:p>
    <w:p w14:paraId="65DDB542" w14:textId="77777777" w:rsidR="00730FCA" w:rsidRPr="00730FCA" w:rsidRDefault="00730FCA" w:rsidP="00730FCA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47D715FD" w14:textId="62749822" w:rsidR="00730FCA" w:rsidRPr="00730FCA" w:rsidRDefault="00730FCA" w:rsidP="00DE6BD7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730FCA">
        <w:rPr>
          <w:rFonts w:ascii="Arial" w:eastAsia="Arial" w:hAnsi="Arial" w:cs="Arial"/>
          <w:sz w:val="24"/>
          <w:szCs w:val="24"/>
          <w:lang w:val="en-US"/>
        </w:rPr>
        <w:t>ZHU, N. et al. A Novel Coronavirus from Patients with Pneumonia in China, 2019. New England Journal of Medicine, [S. l.], v. 382, p. 727-733, 2020.</w:t>
      </w:r>
    </w:p>
    <w:p w14:paraId="62E72BAE" w14:textId="77777777" w:rsidR="00730FCA" w:rsidRDefault="00730FCA" w:rsidP="00DE6BD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C391D8" w14:textId="77777777" w:rsidR="007C4417" w:rsidRDefault="007C4417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24BEF38C" w14:textId="77777777" w:rsidR="007C4417" w:rsidRDefault="000000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4C9200E0" w14:textId="77777777" w:rsidR="007C4417" w:rsidRDefault="007C4417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18386200" w14:textId="77777777" w:rsidR="007C4417" w:rsidRDefault="007C4417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3FB4C2BC" w14:textId="2CBE208F" w:rsidR="007C4417" w:rsidRDefault="00730FCA" w:rsidP="00730FCA">
      <w:pPr>
        <w:spacing w:after="0" w:line="360" w:lineRule="auto"/>
        <w:ind w:firstLine="357"/>
        <w:jc w:val="both"/>
        <w:rPr>
          <w:rFonts w:ascii="Arial" w:eastAsia="Arial" w:hAnsi="Arial" w:cs="Arial"/>
          <w:sz w:val="24"/>
          <w:szCs w:val="24"/>
        </w:rPr>
      </w:pPr>
      <w:r w:rsidRPr="00730FCA">
        <w:rPr>
          <w:rFonts w:ascii="Arial" w:eastAsia="Arial" w:hAnsi="Arial" w:cs="Arial"/>
          <w:sz w:val="24"/>
          <w:szCs w:val="24"/>
        </w:rPr>
        <w:t xml:space="preserve">Agradeço à minha orientadora, Professora Liliana, pelas valiosas lições acadêmicas e de vida; à Universidade Federal do Norte do Tocantins (UFNT) e ao Laboratório LABMADE pela infraestrutura e suporte técnico; ao Conselho Nacional de Desenvolvimento Científico e Tecnológico (CNPq), por meio do Programa Institucional de Bolsas de Iniciação Científica (PIBIC), pelo fundamental apoio financeiro; e aos colegas do laboratório, em especial </w:t>
      </w:r>
      <w:r w:rsidR="00EE29ED">
        <w:rPr>
          <w:rFonts w:ascii="Arial" w:eastAsia="Arial" w:hAnsi="Arial" w:cs="Arial"/>
          <w:sz w:val="24"/>
          <w:szCs w:val="24"/>
        </w:rPr>
        <w:t xml:space="preserve">Professor </w:t>
      </w:r>
      <w:r w:rsidRPr="00730FCA">
        <w:rPr>
          <w:rFonts w:ascii="Arial" w:eastAsia="Arial" w:hAnsi="Arial" w:cs="Arial"/>
          <w:sz w:val="24"/>
          <w:szCs w:val="24"/>
        </w:rPr>
        <w:t>Danilo</w:t>
      </w:r>
      <w:r w:rsidR="00EE29ED">
        <w:rPr>
          <w:rFonts w:ascii="Arial" w:eastAsia="Arial" w:hAnsi="Arial" w:cs="Arial"/>
          <w:sz w:val="24"/>
          <w:szCs w:val="24"/>
        </w:rPr>
        <w:t xml:space="preserve"> da Silva Olivier</w:t>
      </w:r>
      <w:r w:rsidRPr="00730FCA">
        <w:rPr>
          <w:rFonts w:ascii="Arial" w:eastAsia="Arial" w:hAnsi="Arial" w:cs="Arial"/>
          <w:sz w:val="24"/>
          <w:szCs w:val="24"/>
        </w:rPr>
        <w:t>, Gislaine</w:t>
      </w:r>
      <w:r w:rsidR="00EE29ED">
        <w:rPr>
          <w:rFonts w:ascii="Arial" w:eastAsia="Arial" w:hAnsi="Arial" w:cs="Arial"/>
          <w:sz w:val="24"/>
          <w:szCs w:val="24"/>
        </w:rPr>
        <w:t xml:space="preserve"> Alves  da Silva</w:t>
      </w:r>
      <w:r w:rsidRPr="00730FC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730FCA">
        <w:rPr>
          <w:rFonts w:ascii="Arial" w:eastAsia="Arial" w:hAnsi="Arial" w:cs="Arial"/>
          <w:sz w:val="24"/>
          <w:szCs w:val="24"/>
        </w:rPr>
        <w:t>Denisia</w:t>
      </w:r>
      <w:proofErr w:type="spellEnd"/>
      <w:r w:rsidR="00EE29ED">
        <w:rPr>
          <w:rFonts w:ascii="Arial" w:eastAsia="Arial" w:hAnsi="Arial" w:cs="Arial"/>
          <w:sz w:val="24"/>
          <w:szCs w:val="24"/>
        </w:rPr>
        <w:t xml:space="preserve"> Brito Soares</w:t>
      </w:r>
      <w:r w:rsidRPr="00730FCA">
        <w:rPr>
          <w:rFonts w:ascii="Arial" w:eastAsia="Arial" w:hAnsi="Arial" w:cs="Arial"/>
          <w:sz w:val="24"/>
          <w:szCs w:val="24"/>
        </w:rPr>
        <w:t>, pela parceria, ambiente colaborativo e momentos de aprendizado compartilhado.</w:t>
      </w:r>
    </w:p>
    <w:sectPr w:rsidR="007C4417" w:rsidSect="00FE4007"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0D79" w14:textId="77777777" w:rsidR="006D7D8E" w:rsidRDefault="006D7D8E">
      <w:pPr>
        <w:spacing w:after="0" w:line="240" w:lineRule="auto"/>
      </w:pPr>
      <w:r>
        <w:separator/>
      </w:r>
    </w:p>
  </w:endnote>
  <w:endnote w:type="continuationSeparator" w:id="0">
    <w:p w14:paraId="6F36C29B" w14:textId="77777777" w:rsidR="006D7D8E" w:rsidRDefault="006D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D896" w14:textId="77777777" w:rsidR="007C4417" w:rsidRDefault="007C44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7E10" w14:textId="77777777" w:rsidR="007C4417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41AD" w14:textId="77777777" w:rsidR="007C4417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AC7B" w14:textId="77777777" w:rsidR="006D7D8E" w:rsidRDefault="006D7D8E">
      <w:pPr>
        <w:rPr>
          <w:sz w:val="12"/>
        </w:rPr>
      </w:pPr>
      <w:r>
        <w:separator/>
      </w:r>
    </w:p>
  </w:footnote>
  <w:footnote w:type="continuationSeparator" w:id="0">
    <w:p w14:paraId="5DEA07EA" w14:textId="77777777" w:rsidR="006D7D8E" w:rsidRDefault="006D7D8E">
      <w:pPr>
        <w:rPr>
          <w:sz w:val="12"/>
        </w:rPr>
      </w:pPr>
      <w:r>
        <w:continuationSeparator/>
      </w:r>
    </w:p>
  </w:footnote>
  <w:footnote w:id="1">
    <w:p w14:paraId="7E59D132" w14:textId="716B5970" w:rsidR="007C4417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(PIBIC/PIBITI). Universidade Federal do Norte do Tocantins (UFNT), </w:t>
      </w:r>
      <w:r w:rsidR="00DE6BD7">
        <w:rPr>
          <w:rFonts w:ascii="Arial" w:eastAsia="Arial" w:hAnsi="Arial" w:cs="Arial"/>
          <w:color w:val="000000"/>
          <w:sz w:val="20"/>
          <w:szCs w:val="20"/>
        </w:rPr>
        <w:t>Faculdade de Ciências da Saúde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E6BD7">
        <w:rPr>
          <w:rFonts w:ascii="Arial" w:eastAsia="Arial" w:hAnsi="Arial" w:cs="Arial"/>
          <w:color w:val="000000"/>
          <w:sz w:val="20"/>
          <w:szCs w:val="20"/>
        </w:rPr>
        <w:t>Victor.santos@ufnt.edu.br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14:paraId="56BB61A0" w14:textId="3E531905" w:rsidR="007C4417" w:rsidRDefault="007C4417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C0B7" w14:textId="77777777" w:rsidR="007C4417" w:rsidRDefault="007C44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BA85" w14:textId="77777777" w:rsidR="007C4417" w:rsidRDefault="00000000">
    <w:r>
      <w:rPr>
        <w:noProof/>
      </w:rPr>
      <w:drawing>
        <wp:anchor distT="0" distB="0" distL="0" distR="0" simplePos="0" relativeHeight="251657216" behindDoc="0" locked="0" layoutInCell="0" allowOverlap="1" wp14:anchorId="147455B9" wp14:editId="4E0962D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3392" w14:textId="77777777" w:rsidR="007C4417" w:rsidRDefault="007C44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6703" w14:textId="77777777" w:rsidR="007C4417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59209FC6" wp14:editId="539E637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08BA07" w14:textId="77777777" w:rsidR="007C4417" w:rsidRDefault="007C44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6A29"/>
    <w:multiLevelType w:val="multilevel"/>
    <w:tmpl w:val="FAD4306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33C4319F"/>
    <w:multiLevelType w:val="multilevel"/>
    <w:tmpl w:val="C1A423F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4049678A"/>
    <w:multiLevelType w:val="multilevel"/>
    <w:tmpl w:val="DDD6DB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82050B"/>
    <w:multiLevelType w:val="multilevel"/>
    <w:tmpl w:val="6D42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909337">
    <w:abstractNumId w:val="0"/>
  </w:num>
  <w:num w:numId="2" w16cid:durableId="493567404">
    <w:abstractNumId w:val="1"/>
  </w:num>
  <w:num w:numId="3" w16cid:durableId="1888255232">
    <w:abstractNumId w:val="2"/>
  </w:num>
  <w:num w:numId="4" w16cid:durableId="107374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7"/>
    <w:rsid w:val="00242054"/>
    <w:rsid w:val="004111EA"/>
    <w:rsid w:val="00576EDD"/>
    <w:rsid w:val="005E1E1C"/>
    <w:rsid w:val="006D7D8E"/>
    <w:rsid w:val="007048BA"/>
    <w:rsid w:val="00730FCA"/>
    <w:rsid w:val="00765212"/>
    <w:rsid w:val="007C4417"/>
    <w:rsid w:val="009F35C9"/>
    <w:rsid w:val="00A10883"/>
    <w:rsid w:val="00AA5BEF"/>
    <w:rsid w:val="00DE6BD7"/>
    <w:rsid w:val="00EE29ED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A192"/>
  <w15:docId w15:val="{43B6F755-74A3-477F-B94A-2576B884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1744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Victor Gabriel</cp:lastModifiedBy>
  <cp:revision>3</cp:revision>
  <dcterms:created xsi:type="dcterms:W3CDTF">2025-10-10T15:12:00Z</dcterms:created>
  <dcterms:modified xsi:type="dcterms:W3CDTF">2025-10-13T16:34:00Z</dcterms:modified>
  <dc:language>pt-BR</dc:language>
</cp:coreProperties>
</file>