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AD82B" w14:textId="77777777" w:rsidR="00D83D5D" w:rsidRDefault="00D83D5D" w:rsidP="00D83D5D">
      <w:pPr>
        <w:rPr>
          <w:b/>
          <w:color w:val="FF0000"/>
          <w:sz w:val="28"/>
          <w:szCs w:val="28"/>
        </w:rPr>
      </w:pPr>
    </w:p>
    <w:p w14:paraId="7E130C43" w14:textId="679EDCD1" w:rsidR="00E5097D" w:rsidRDefault="0085608A">
      <w:pPr>
        <w:jc w:val="center"/>
        <w:rPr>
          <w:b/>
          <w:color w:val="C00000"/>
          <w:sz w:val="28"/>
          <w:szCs w:val="28"/>
        </w:rPr>
      </w:pPr>
      <w:r w:rsidRPr="0085608A">
        <w:rPr>
          <w:b/>
          <w:sz w:val="28"/>
          <w:szCs w:val="28"/>
        </w:rPr>
        <w:t>Maize-associated Endophytic bacteria: potential as plant growth promoters and disease controllers</w:t>
      </w:r>
    </w:p>
    <w:p w14:paraId="5C6B4FA9" w14:textId="69301594" w:rsidR="00E5097D" w:rsidRDefault="00E5097D" w:rsidP="00D83D5D"/>
    <w:p w14:paraId="74B8B1D1" w14:textId="77777777" w:rsidR="00D83D5D" w:rsidRDefault="00D83D5D" w:rsidP="00D83D5D"/>
    <w:p w14:paraId="1BDBDE10" w14:textId="1656E8A4" w:rsidR="00E5097D" w:rsidRDefault="009E38CB" w:rsidP="009E38CB">
      <w:pPr>
        <w:ind w:left="360"/>
        <w:jc w:val="center"/>
        <w:rPr>
          <w:b/>
          <w:sz w:val="22"/>
          <w:szCs w:val="22"/>
        </w:rPr>
      </w:pPr>
      <w:r>
        <w:rPr>
          <w:b/>
          <w:sz w:val="22"/>
          <w:szCs w:val="22"/>
          <w:u w:val="single"/>
        </w:rPr>
        <w:t>Bianca Resende Santos</w:t>
      </w:r>
      <w:r w:rsidR="00306445">
        <w:rPr>
          <w:b/>
          <w:sz w:val="22"/>
          <w:szCs w:val="22"/>
          <w:u w:val="single"/>
          <w:vertAlign w:val="superscript"/>
        </w:rPr>
        <w:t>1*</w:t>
      </w:r>
      <w:r w:rsidR="00306445">
        <w:rPr>
          <w:b/>
          <w:sz w:val="22"/>
          <w:szCs w:val="22"/>
        </w:rPr>
        <w:t xml:space="preserve">, </w:t>
      </w:r>
      <w:r w:rsidR="009A4ECD" w:rsidRPr="009A4ECD">
        <w:rPr>
          <w:b/>
          <w:sz w:val="22"/>
          <w:szCs w:val="22"/>
        </w:rPr>
        <w:t>Gisele de Fátima Dias Diniz</w:t>
      </w:r>
      <w:r w:rsidR="00306445">
        <w:rPr>
          <w:b/>
          <w:sz w:val="22"/>
          <w:szCs w:val="22"/>
          <w:vertAlign w:val="superscript"/>
        </w:rPr>
        <w:t>2</w:t>
      </w:r>
      <w:r w:rsidR="00306445">
        <w:rPr>
          <w:b/>
          <w:sz w:val="22"/>
          <w:szCs w:val="22"/>
        </w:rPr>
        <w:t xml:space="preserve">, </w:t>
      </w:r>
      <w:r w:rsidRPr="009E38CB">
        <w:rPr>
          <w:b/>
          <w:sz w:val="22"/>
          <w:szCs w:val="22"/>
        </w:rPr>
        <w:t>Vitória Palhares Ribeiro</w:t>
      </w:r>
      <w:r>
        <w:rPr>
          <w:b/>
          <w:sz w:val="22"/>
          <w:szCs w:val="22"/>
          <w:vertAlign w:val="superscript"/>
        </w:rPr>
        <w:t>2</w:t>
      </w:r>
      <w:r>
        <w:rPr>
          <w:b/>
          <w:sz w:val="22"/>
          <w:szCs w:val="22"/>
        </w:rPr>
        <w:t xml:space="preserve">, </w:t>
      </w:r>
      <w:r w:rsidRPr="009E38CB">
        <w:rPr>
          <w:b/>
          <w:sz w:val="22"/>
          <w:szCs w:val="22"/>
        </w:rPr>
        <w:t>Jose Edson Fontes Figueiredo</w:t>
      </w:r>
      <w:r w:rsidRPr="009E38CB">
        <w:rPr>
          <w:b/>
          <w:sz w:val="22"/>
          <w:szCs w:val="22"/>
          <w:vertAlign w:val="superscript"/>
        </w:rPr>
        <w:t>2</w:t>
      </w:r>
      <w:r>
        <w:rPr>
          <w:b/>
          <w:sz w:val="22"/>
          <w:szCs w:val="22"/>
        </w:rPr>
        <w:t xml:space="preserve">, </w:t>
      </w:r>
      <w:r w:rsidRPr="009E38CB">
        <w:rPr>
          <w:b/>
          <w:sz w:val="22"/>
          <w:szCs w:val="22"/>
        </w:rPr>
        <w:t>Christiane Abreu de Oliveira Paiva</w:t>
      </w:r>
      <w:r w:rsidRPr="009E38CB">
        <w:rPr>
          <w:b/>
          <w:sz w:val="22"/>
          <w:szCs w:val="22"/>
          <w:vertAlign w:val="superscript"/>
        </w:rPr>
        <w:t>2</w:t>
      </w:r>
    </w:p>
    <w:p w14:paraId="590EB1A4" w14:textId="2E002A68" w:rsidR="00D83D5D" w:rsidRDefault="00306445">
      <w:pPr>
        <w:jc w:val="center"/>
        <w:rPr>
          <w:i/>
          <w:sz w:val="22"/>
          <w:szCs w:val="22"/>
        </w:rPr>
      </w:pPr>
      <w:r>
        <w:rPr>
          <w:i/>
          <w:sz w:val="22"/>
          <w:szCs w:val="22"/>
          <w:vertAlign w:val="superscript"/>
        </w:rPr>
        <w:t>1</w:t>
      </w:r>
      <w:r w:rsidR="00D83D5D" w:rsidRPr="00D83D5D">
        <w:rPr>
          <w:i/>
          <w:sz w:val="18"/>
          <w:szCs w:val="18"/>
        </w:rPr>
        <w:t>Universidade Federal de São João del -Rei (UFSJ) - Rodovia MG 424, Km 47, CEP: 35701-970, Sete Lagoas/MG</w:t>
      </w:r>
    </w:p>
    <w:p w14:paraId="04CDE928" w14:textId="764B10AF" w:rsidR="00E5097D" w:rsidRDefault="00306445">
      <w:pPr>
        <w:jc w:val="center"/>
        <w:rPr>
          <w:i/>
          <w:sz w:val="22"/>
          <w:szCs w:val="22"/>
        </w:rPr>
      </w:pPr>
      <w:r>
        <w:rPr>
          <w:i/>
          <w:sz w:val="22"/>
          <w:szCs w:val="22"/>
          <w:vertAlign w:val="superscript"/>
        </w:rPr>
        <w:t>2</w:t>
      </w:r>
      <w:r w:rsidR="00D83D5D" w:rsidRPr="00D83D5D">
        <w:rPr>
          <w:i/>
          <w:sz w:val="18"/>
          <w:szCs w:val="18"/>
        </w:rPr>
        <w:t>Embrapa Milho e Sorgo -</w:t>
      </w:r>
      <w:r w:rsidRPr="00D83D5D">
        <w:rPr>
          <w:i/>
          <w:sz w:val="18"/>
          <w:szCs w:val="18"/>
        </w:rPr>
        <w:t xml:space="preserve"> </w:t>
      </w:r>
      <w:r w:rsidR="00D83D5D" w:rsidRPr="00D83D5D">
        <w:rPr>
          <w:i/>
          <w:sz w:val="18"/>
          <w:szCs w:val="18"/>
        </w:rPr>
        <w:t>Rodovia MG 424, Km 45, CEP: 35702-098, Sete Lagoas/MG</w:t>
      </w:r>
    </w:p>
    <w:p w14:paraId="6A7666E4" w14:textId="2936F40C" w:rsidR="00E5097D" w:rsidRPr="00D83D5D" w:rsidRDefault="00306445">
      <w:pPr>
        <w:jc w:val="center"/>
        <w:rPr>
          <w:i/>
          <w:sz w:val="18"/>
          <w:szCs w:val="18"/>
        </w:rPr>
      </w:pPr>
      <w:r w:rsidRPr="00D83D5D">
        <w:rPr>
          <w:i/>
          <w:sz w:val="18"/>
          <w:szCs w:val="18"/>
        </w:rPr>
        <w:t>*</w:t>
      </w:r>
      <w:r w:rsidR="00D83D5D" w:rsidRPr="00D83D5D">
        <w:rPr>
          <w:i/>
          <w:sz w:val="18"/>
          <w:szCs w:val="18"/>
        </w:rPr>
        <w:t>bianca45b@hotmail.com</w:t>
      </w:r>
      <w:r w:rsidRPr="00D83D5D">
        <w:rPr>
          <w:i/>
          <w:color w:val="C00000"/>
          <w:sz w:val="18"/>
          <w:szCs w:val="18"/>
        </w:rPr>
        <w:t xml:space="preserve"> </w:t>
      </w:r>
    </w:p>
    <w:p w14:paraId="5B561DFB" w14:textId="77777777" w:rsidR="00E5097D" w:rsidRDefault="00E5097D">
      <w:pPr>
        <w:jc w:val="center"/>
      </w:pPr>
    </w:p>
    <w:p w14:paraId="684EE9A0" w14:textId="52AD2B79" w:rsidR="00E5097D" w:rsidRDefault="00E5097D">
      <w:pPr>
        <w:jc w:val="center"/>
      </w:pPr>
    </w:p>
    <w:p w14:paraId="5869AD74" w14:textId="77777777" w:rsidR="00D83D5D" w:rsidRDefault="00D83D5D">
      <w:pPr>
        <w:jc w:val="center"/>
      </w:pPr>
    </w:p>
    <w:p w14:paraId="36657F8F" w14:textId="5A19C9A8" w:rsidR="00E5097D" w:rsidRDefault="0085608A" w:rsidP="0085608A">
      <w:r w:rsidRPr="004065B9">
        <w:rPr>
          <w:lang w:val="en-US"/>
        </w:rPr>
        <w:t>Maize (</w:t>
      </w:r>
      <w:r w:rsidRPr="004065B9">
        <w:rPr>
          <w:i/>
          <w:lang w:val="en-US"/>
        </w:rPr>
        <w:t>Zea mays</w:t>
      </w:r>
      <w:r w:rsidRPr="004065B9">
        <w:rPr>
          <w:lang w:val="en-US"/>
        </w:rPr>
        <w:t xml:space="preserve">) is one of the most important crops in Brazil. It plays an important role in the economy, society, and the environment. However, acidic soils with low nutrient levels and susceptibility to diseases and pests require significant investment to reach desired production levels. In this scenario, microorganism-based inoculants have gained relevance for the sustainable management of this crop. Endophytic bacteria colonize internal plant tissues without causing damage to the plant. These bacteria have attracted interest in agriculture due to their potential to promote plant growth and control diseases. This study </w:t>
      </w:r>
      <w:proofErr w:type="spellStart"/>
      <w:r w:rsidRPr="004065B9">
        <w:rPr>
          <w:lang w:val="en-US"/>
        </w:rPr>
        <w:t>bioprospects</w:t>
      </w:r>
      <w:proofErr w:type="spellEnd"/>
      <w:r w:rsidRPr="004065B9">
        <w:rPr>
          <w:lang w:val="en-US"/>
        </w:rPr>
        <w:t xml:space="preserve"> endophytic bacterium associated with maize for their application in plant development and the control of phytopathogens. The experiment was conducted at Embrapa Maize and Sorghum, in Sete Lagoas, MG. Maize plants were collected from the field, disinfected, and used to isolate endophytic bacteria. After isolation, 11 strains were selected to evaluate their phosphate solubilization ability using the solubilization index (SI), calculated as the ratio of the halo diameter to the colony diameter, in a medium containing sodium phytate. The solubilization results were classified as low (SI &lt; 2), medium (2 ≤ SI ≤ 4), and high (SI &gt; 4), with isolates 57s, 62s, and 61s standing out with SIs of 3.39, 3.45, and 3.52, respectively. Additionally, the isolates were subjected to a confrontation test against phytopathogenic fungi, including </w:t>
      </w:r>
      <w:r w:rsidRPr="004065B9">
        <w:rPr>
          <w:i/>
          <w:lang w:val="en-US"/>
        </w:rPr>
        <w:t>Fusarium verticillioides</w:t>
      </w:r>
      <w:r w:rsidRPr="004065B9">
        <w:rPr>
          <w:lang w:val="en-US"/>
        </w:rPr>
        <w:t xml:space="preserve">, </w:t>
      </w:r>
      <w:r w:rsidRPr="004065B9">
        <w:rPr>
          <w:i/>
          <w:lang w:val="en-US"/>
        </w:rPr>
        <w:t>F</w:t>
      </w:r>
      <w:r w:rsidRPr="004065B9">
        <w:rPr>
          <w:lang w:val="en-US"/>
        </w:rPr>
        <w:t xml:space="preserve">. </w:t>
      </w:r>
      <w:proofErr w:type="spellStart"/>
      <w:r w:rsidRPr="004065B9">
        <w:rPr>
          <w:i/>
          <w:lang w:val="en-US"/>
        </w:rPr>
        <w:t>graminearum</w:t>
      </w:r>
      <w:proofErr w:type="spellEnd"/>
      <w:r w:rsidRPr="004065B9">
        <w:rPr>
          <w:lang w:val="en-US"/>
        </w:rPr>
        <w:t xml:space="preserve">, </w:t>
      </w:r>
      <w:proofErr w:type="spellStart"/>
      <w:r w:rsidRPr="004065B9">
        <w:rPr>
          <w:i/>
          <w:lang w:val="en-US"/>
        </w:rPr>
        <w:t>Macrophomina</w:t>
      </w:r>
      <w:proofErr w:type="spellEnd"/>
      <w:r w:rsidRPr="004065B9">
        <w:rPr>
          <w:i/>
          <w:lang w:val="en-US"/>
        </w:rPr>
        <w:t xml:space="preserve"> </w:t>
      </w:r>
      <w:proofErr w:type="spellStart"/>
      <w:r w:rsidRPr="004065B9">
        <w:rPr>
          <w:i/>
          <w:lang w:val="en-US"/>
        </w:rPr>
        <w:t>phaseolina</w:t>
      </w:r>
      <w:proofErr w:type="spellEnd"/>
      <w:r w:rsidRPr="004065B9">
        <w:rPr>
          <w:lang w:val="en-US"/>
        </w:rPr>
        <w:t xml:space="preserve">, </w:t>
      </w:r>
      <w:proofErr w:type="spellStart"/>
      <w:r w:rsidRPr="004065B9">
        <w:rPr>
          <w:i/>
          <w:lang w:val="en-US"/>
        </w:rPr>
        <w:t>Stenocarpella</w:t>
      </w:r>
      <w:proofErr w:type="spellEnd"/>
      <w:r w:rsidRPr="004065B9">
        <w:rPr>
          <w:i/>
          <w:lang w:val="en-US"/>
        </w:rPr>
        <w:t xml:space="preserve"> maydis</w:t>
      </w:r>
      <w:r w:rsidRPr="004065B9">
        <w:rPr>
          <w:lang w:val="en-US"/>
        </w:rPr>
        <w:t xml:space="preserve">, </w:t>
      </w:r>
      <w:r w:rsidRPr="004065B9">
        <w:rPr>
          <w:i/>
          <w:lang w:val="en-US"/>
        </w:rPr>
        <w:t xml:space="preserve">Colletotrichum </w:t>
      </w:r>
      <w:proofErr w:type="spellStart"/>
      <w:r w:rsidRPr="004065B9">
        <w:rPr>
          <w:i/>
          <w:lang w:val="en-US"/>
        </w:rPr>
        <w:t>graminicola</w:t>
      </w:r>
      <w:proofErr w:type="spellEnd"/>
      <w:r w:rsidRPr="004065B9">
        <w:rPr>
          <w:lang w:val="en-US"/>
        </w:rPr>
        <w:t xml:space="preserve">, and </w:t>
      </w:r>
      <w:proofErr w:type="spellStart"/>
      <w:r w:rsidRPr="004065B9">
        <w:rPr>
          <w:i/>
          <w:lang w:val="en-US"/>
        </w:rPr>
        <w:t>Bipolaris</w:t>
      </w:r>
      <w:proofErr w:type="spellEnd"/>
      <w:r w:rsidRPr="004065B9">
        <w:rPr>
          <w:i/>
          <w:lang w:val="en-US"/>
        </w:rPr>
        <w:t xml:space="preserve"> maydis</w:t>
      </w:r>
      <w:r w:rsidRPr="004065B9">
        <w:rPr>
          <w:lang w:val="en-US"/>
        </w:rPr>
        <w:t xml:space="preserve">. The mycelial growth of the phytopathogens exposed to the bacteria was measured and compared with the control. Isolate 52s showed greater antagonistic activity, particularly against </w:t>
      </w:r>
      <w:r w:rsidRPr="004065B9">
        <w:rPr>
          <w:i/>
          <w:lang w:val="en-US"/>
        </w:rPr>
        <w:t>C</w:t>
      </w:r>
      <w:r w:rsidRPr="004065B9">
        <w:rPr>
          <w:lang w:val="en-US"/>
        </w:rPr>
        <w:t xml:space="preserve">. </w:t>
      </w:r>
      <w:proofErr w:type="spellStart"/>
      <w:r w:rsidRPr="004065B9">
        <w:rPr>
          <w:i/>
          <w:lang w:val="en-US"/>
        </w:rPr>
        <w:t>graminicola</w:t>
      </w:r>
      <w:proofErr w:type="spellEnd"/>
      <w:r w:rsidRPr="004065B9">
        <w:rPr>
          <w:lang w:val="en-US"/>
        </w:rPr>
        <w:t xml:space="preserve"> (0.73 cm) and </w:t>
      </w:r>
      <w:r w:rsidRPr="004065B9">
        <w:rPr>
          <w:i/>
          <w:lang w:val="en-US"/>
        </w:rPr>
        <w:t>B</w:t>
      </w:r>
      <w:r w:rsidRPr="004065B9">
        <w:rPr>
          <w:lang w:val="en-US"/>
        </w:rPr>
        <w:t xml:space="preserve">. </w:t>
      </w:r>
      <w:r w:rsidRPr="004065B9">
        <w:rPr>
          <w:i/>
          <w:lang w:val="en-US"/>
        </w:rPr>
        <w:t>maydis</w:t>
      </w:r>
      <w:r w:rsidRPr="004065B9">
        <w:rPr>
          <w:lang w:val="en-US"/>
        </w:rPr>
        <w:t xml:space="preserve"> (0.88 cm), compared with their controls (3.0 cm and 3.2 cm, respectively). These results showed that the endophytic bacteria isolated from maize are potential plant growth promoters and antagonists of phytopathogenic fungi.</w:t>
      </w:r>
      <w:r w:rsidR="00306445">
        <w:t xml:space="preserve"> </w:t>
      </w:r>
    </w:p>
    <w:p w14:paraId="4876027B" w14:textId="77777777" w:rsidR="00CF3895" w:rsidRDefault="00CF3895" w:rsidP="0085608A">
      <w:pPr>
        <w:tabs>
          <w:tab w:val="left" w:pos="7567"/>
        </w:tabs>
      </w:pPr>
    </w:p>
    <w:p w14:paraId="5B58F858" w14:textId="69A3B57A" w:rsidR="00E5097D" w:rsidRPr="0085608A" w:rsidRDefault="00306445" w:rsidP="0085608A">
      <w:pPr>
        <w:tabs>
          <w:tab w:val="left" w:pos="7567"/>
        </w:tabs>
        <w:rPr>
          <w:color w:val="FF0000"/>
        </w:rPr>
        <w:sectPr w:rsidR="00E5097D" w:rsidRPr="0085608A" w:rsidSect="00957029">
          <w:headerReference w:type="even" r:id="rId7"/>
          <w:headerReference w:type="first" r:id="rId8"/>
          <w:pgSz w:w="11906" w:h="16838"/>
          <w:pgMar w:top="1418" w:right="1701" w:bottom="1418" w:left="1701" w:header="0" w:footer="1134" w:gutter="0"/>
          <w:pgNumType w:start="1"/>
          <w:cols w:space="720"/>
          <w:titlePg/>
          <w:docGrid w:linePitch="326"/>
        </w:sectPr>
      </w:pPr>
      <w:r>
        <w:rPr>
          <w:b/>
          <w:smallCaps/>
          <w:sz w:val="22"/>
          <w:szCs w:val="22"/>
        </w:rPr>
        <w:t>KEYWORDS</w:t>
      </w:r>
      <w:r>
        <w:rPr>
          <w:sz w:val="22"/>
          <w:szCs w:val="22"/>
        </w:rPr>
        <w:t>:</w:t>
      </w:r>
      <w:r w:rsidR="0085608A">
        <w:rPr>
          <w:sz w:val="22"/>
          <w:szCs w:val="22"/>
        </w:rPr>
        <w:t xml:space="preserve"> B</w:t>
      </w:r>
      <w:r w:rsidR="0085608A" w:rsidRPr="0085608A">
        <w:rPr>
          <w:sz w:val="22"/>
          <w:szCs w:val="22"/>
        </w:rPr>
        <w:t>ioprospection, antagonism, Phosphorus fertilizer inoculant, sustainable agriculture</w:t>
      </w:r>
    </w:p>
    <w:p w14:paraId="7F3C1D89" w14:textId="77777777" w:rsidR="00E5097D" w:rsidRDefault="00E5097D">
      <w:pPr>
        <w:jc w:val="center"/>
      </w:pPr>
    </w:p>
    <w:p w14:paraId="2265A0F5" w14:textId="77777777" w:rsidR="00E5097D" w:rsidRDefault="00E5097D">
      <w:pPr>
        <w:rPr>
          <w:sz w:val="16"/>
          <w:szCs w:val="16"/>
        </w:rPr>
      </w:pPr>
    </w:p>
    <w:sectPr w:rsidR="00E5097D">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5C24E" w14:textId="77777777" w:rsidR="00315687" w:rsidRDefault="00315687">
      <w:r>
        <w:separator/>
      </w:r>
    </w:p>
  </w:endnote>
  <w:endnote w:type="continuationSeparator" w:id="0">
    <w:p w14:paraId="3F0CED34" w14:textId="77777777" w:rsidR="00315687" w:rsidRDefault="00315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5E8BF" w14:textId="77777777" w:rsidR="00315687" w:rsidRDefault="00315687">
      <w:r>
        <w:separator/>
      </w:r>
    </w:p>
  </w:footnote>
  <w:footnote w:type="continuationSeparator" w:id="0">
    <w:p w14:paraId="11FA13CA" w14:textId="77777777" w:rsidR="00315687" w:rsidRDefault="00315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BA91"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778F8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58BB698C">
        <v:shape id="WordPictureWatermark2" o:spid="_x0000_s1027" type="#_x0000_t75" alt="" style="position:absolute;left:0;text-align:left;margin-left:0;margin-top:0;width:481.75pt;height:503.6pt;z-index:-251658240;mso-position-horizontal:center;mso-position-horizontal-relative:margin;mso-position-vertical:center;mso-position-vertical-relative:margin">
          <v:imagedata r:id="rId2" o:title="image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CD30" w14:textId="510AE8FD" w:rsidR="00957029" w:rsidRDefault="00750B66">
    <w:pPr>
      <w:pBdr>
        <w:top w:val="nil"/>
        <w:left w:val="nil"/>
        <w:bottom w:val="nil"/>
        <w:right w:val="nil"/>
        <w:between w:val="nil"/>
      </w:pBdr>
      <w:tabs>
        <w:tab w:val="center" w:pos="4680"/>
        <w:tab w:val="right" w:pos="9360"/>
      </w:tabs>
      <w:rPr>
        <w:noProof/>
        <w:color w:val="000000"/>
      </w:rPr>
    </w:pPr>
    <w:r>
      <w:rPr>
        <w:noProof/>
        <w:color w:val="000000"/>
      </w:rPr>
      <w:drawing>
        <wp:anchor distT="0" distB="0" distL="114300" distR="114300" simplePos="0" relativeHeight="251661312" behindDoc="0" locked="0" layoutInCell="1" allowOverlap="1" wp14:anchorId="2A991F3B" wp14:editId="41A77563">
          <wp:simplePos x="0" y="0"/>
          <wp:positionH relativeFrom="page">
            <wp:posOffset>0</wp:posOffset>
          </wp:positionH>
          <wp:positionV relativeFrom="paragraph">
            <wp:posOffset>-3175</wp:posOffset>
          </wp:positionV>
          <wp:extent cx="7562850" cy="1761490"/>
          <wp:effectExtent l="0" t="0" r="0" b="0"/>
          <wp:wrapNone/>
          <wp:docPr id="178566394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63949" name="Imagem 1785663949"/>
                  <pic:cNvPicPr/>
                </pic:nvPicPr>
                <pic:blipFill>
                  <a:blip r:embed="rId1">
                    <a:extLst>
                      <a:ext uri="{28A0092B-C50C-407E-A947-70E740481C1C}">
                        <a14:useLocalDpi xmlns:a14="http://schemas.microsoft.com/office/drawing/2010/main" val="0"/>
                      </a:ext>
                    </a:extLst>
                  </a:blip>
                  <a:stretch>
                    <a:fillRect/>
                  </a:stretch>
                </pic:blipFill>
                <pic:spPr>
                  <a:xfrm>
                    <a:off x="0" y="0"/>
                    <a:ext cx="7562850" cy="1761490"/>
                  </a:xfrm>
                  <a:prstGeom prst="rect">
                    <a:avLst/>
                  </a:prstGeom>
                </pic:spPr>
              </pic:pic>
            </a:graphicData>
          </a:graphic>
          <wp14:sizeRelH relativeFrom="page">
            <wp14:pctWidth>0</wp14:pctWidth>
          </wp14:sizeRelH>
          <wp14:sizeRelV relativeFrom="page">
            <wp14:pctHeight>0</wp14:pctHeight>
          </wp14:sizeRelV>
        </wp:anchor>
      </w:drawing>
    </w:r>
  </w:p>
  <w:p w14:paraId="106F2A3E" w14:textId="0DD86E5F" w:rsidR="00957029" w:rsidRDefault="00957029">
    <w:pPr>
      <w:pBdr>
        <w:top w:val="nil"/>
        <w:left w:val="nil"/>
        <w:bottom w:val="nil"/>
        <w:right w:val="nil"/>
        <w:between w:val="nil"/>
      </w:pBdr>
      <w:tabs>
        <w:tab w:val="center" w:pos="4680"/>
        <w:tab w:val="right" w:pos="9360"/>
      </w:tabs>
      <w:rPr>
        <w:noProof/>
        <w:color w:val="000000"/>
      </w:rPr>
    </w:pPr>
  </w:p>
  <w:p w14:paraId="08AB67C6" w14:textId="115DB492" w:rsidR="00957029" w:rsidRDefault="00957029">
    <w:pPr>
      <w:pBdr>
        <w:top w:val="nil"/>
        <w:left w:val="nil"/>
        <w:bottom w:val="nil"/>
        <w:right w:val="nil"/>
        <w:between w:val="nil"/>
      </w:pBdr>
      <w:tabs>
        <w:tab w:val="center" w:pos="4680"/>
        <w:tab w:val="right" w:pos="9360"/>
      </w:tabs>
      <w:rPr>
        <w:noProof/>
        <w:color w:val="000000"/>
      </w:rPr>
    </w:pPr>
  </w:p>
  <w:p w14:paraId="7747FD4B" w14:textId="77777777" w:rsidR="00957029" w:rsidRDefault="00957029">
    <w:pPr>
      <w:pBdr>
        <w:top w:val="nil"/>
        <w:left w:val="nil"/>
        <w:bottom w:val="nil"/>
        <w:right w:val="nil"/>
        <w:between w:val="nil"/>
      </w:pBdr>
      <w:tabs>
        <w:tab w:val="center" w:pos="4680"/>
        <w:tab w:val="right" w:pos="9360"/>
      </w:tabs>
      <w:rPr>
        <w:noProof/>
        <w:color w:val="000000"/>
      </w:rPr>
    </w:pPr>
  </w:p>
  <w:p w14:paraId="1BA7E2C5" w14:textId="77777777" w:rsidR="00957029" w:rsidRDefault="00957029">
    <w:pPr>
      <w:pBdr>
        <w:top w:val="nil"/>
        <w:left w:val="nil"/>
        <w:bottom w:val="nil"/>
        <w:right w:val="nil"/>
        <w:between w:val="nil"/>
      </w:pBdr>
      <w:tabs>
        <w:tab w:val="center" w:pos="4680"/>
        <w:tab w:val="right" w:pos="9360"/>
      </w:tabs>
      <w:rPr>
        <w:noProof/>
        <w:color w:val="000000"/>
      </w:rPr>
    </w:pPr>
  </w:p>
  <w:p w14:paraId="0121DB05" w14:textId="175B6DCC" w:rsidR="00957029" w:rsidRDefault="00957029">
    <w:pPr>
      <w:pBdr>
        <w:top w:val="nil"/>
        <w:left w:val="nil"/>
        <w:bottom w:val="nil"/>
        <w:right w:val="nil"/>
        <w:between w:val="nil"/>
      </w:pBdr>
      <w:tabs>
        <w:tab w:val="center" w:pos="4680"/>
        <w:tab w:val="right" w:pos="9360"/>
      </w:tabs>
      <w:rPr>
        <w:color w:val="000000"/>
      </w:rPr>
    </w:pPr>
  </w:p>
  <w:p w14:paraId="36E336D0" w14:textId="2DA359E5" w:rsidR="00957029" w:rsidRDefault="00957029">
    <w:pPr>
      <w:pBdr>
        <w:top w:val="nil"/>
        <w:left w:val="nil"/>
        <w:bottom w:val="nil"/>
        <w:right w:val="nil"/>
        <w:between w:val="nil"/>
      </w:pBdr>
      <w:tabs>
        <w:tab w:val="center" w:pos="4680"/>
        <w:tab w:val="right" w:pos="9360"/>
      </w:tabs>
      <w:rPr>
        <w:color w:val="000000"/>
      </w:rPr>
    </w:pPr>
  </w:p>
  <w:p w14:paraId="2589F7A4" w14:textId="5C1F22DB" w:rsidR="00957029" w:rsidRDefault="00957029">
    <w:pPr>
      <w:pBdr>
        <w:top w:val="nil"/>
        <w:left w:val="nil"/>
        <w:bottom w:val="nil"/>
        <w:right w:val="nil"/>
        <w:between w:val="nil"/>
      </w:pBdr>
      <w:tabs>
        <w:tab w:val="center" w:pos="4680"/>
        <w:tab w:val="right" w:pos="9360"/>
      </w:tabs>
      <w:rPr>
        <w:color w:val="000000"/>
      </w:rPr>
    </w:pPr>
  </w:p>
  <w:p w14:paraId="20050B6A" w14:textId="77777777" w:rsidR="00957029" w:rsidRDefault="00957029">
    <w:pPr>
      <w:pBdr>
        <w:top w:val="nil"/>
        <w:left w:val="nil"/>
        <w:bottom w:val="nil"/>
        <w:right w:val="nil"/>
        <w:between w:val="nil"/>
      </w:pBdr>
      <w:tabs>
        <w:tab w:val="center" w:pos="4680"/>
        <w:tab w:val="right" w:pos="9360"/>
      </w:tabs>
      <w:rPr>
        <w:color w:val="000000"/>
      </w:rPr>
    </w:pPr>
  </w:p>
  <w:p w14:paraId="06654763" w14:textId="1D739474" w:rsidR="00E5097D" w:rsidRDefault="00E5097D">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6A837" w14:textId="77777777" w:rsidR="00E5097D" w:rsidRDefault="00000000">
    <w:pPr>
      <w:pBdr>
        <w:top w:val="nil"/>
        <w:left w:val="nil"/>
        <w:bottom w:val="nil"/>
        <w:right w:val="nil"/>
        <w:between w:val="nil"/>
      </w:pBdr>
      <w:tabs>
        <w:tab w:val="center" w:pos="4680"/>
        <w:tab w:val="right" w:pos="9360"/>
      </w:tabs>
      <w:rPr>
        <w:color w:val="000000"/>
      </w:rPr>
    </w:pPr>
    <w:r>
      <w:rPr>
        <w:color w:val="000000"/>
      </w:rPr>
      <w:pict w14:anchorId="27945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24.7pt;height:424.7pt;z-index:-251656192;mso-wrap-edited:f;mso-width-percent:0;mso-height-percent:0;mso-position-horizontal:center;mso-position-horizontal-relative:margin;mso-position-vertical:center;mso-position-vertical-relative:margin;mso-width-percent:0;mso-height-percent:0" o:allowincell="f">
          <v:imagedata r:id="rId1" o:title="Logotipo1" gain="19661f" blacklevel="22938f"/>
          <w10:wrap anchorx="margin" anchory="margin"/>
        </v:shape>
      </w:pict>
    </w:r>
    <w:r>
      <w:rPr>
        <w:color w:val="000000"/>
      </w:rPr>
      <w:pict w14:anchorId="0224E3F4">
        <v:shape id="_x0000_s1025" type="#_x0000_t75" alt="" style="position:absolute;left:0;text-align:left;margin-left:0;margin-top:0;width:481.75pt;height:503.6pt;z-index:-251657216;mso-wrap-edited:f;mso-width-percent:0;mso-height-percent:0;mso-position-horizontal:center;mso-position-horizontal-relative:margin;mso-position-vertical:center;mso-position-vertical-relative:margin;mso-width-percent:0;mso-height-percent:0" o:allowincell="f">
          <v:imagedata r:id="rId2" o:title="AP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09433" w14:textId="77777777" w:rsidR="00E5097D" w:rsidRDefault="00306445">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56192" behindDoc="0" locked="0" layoutInCell="1" hidden="0" allowOverlap="1" wp14:anchorId="5C49B9EB" wp14:editId="136E41A5">
          <wp:simplePos x="0" y="0"/>
          <wp:positionH relativeFrom="column">
            <wp:posOffset>-1097914</wp:posOffset>
          </wp:positionH>
          <wp:positionV relativeFrom="paragraph">
            <wp:posOffset>-198119</wp:posOffset>
          </wp:positionV>
          <wp:extent cx="7598410" cy="2517775"/>
          <wp:effectExtent l="0" t="0" r="0" b="0"/>
          <wp:wrapSquare wrapText="bothSides" distT="0" distB="0" distL="114300" distR="114300"/>
          <wp:docPr id="17048826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97D"/>
    <w:rsid w:val="00306445"/>
    <w:rsid w:val="00315687"/>
    <w:rsid w:val="006442F1"/>
    <w:rsid w:val="006E3362"/>
    <w:rsid w:val="00750B66"/>
    <w:rsid w:val="007A7424"/>
    <w:rsid w:val="0085608A"/>
    <w:rsid w:val="00957029"/>
    <w:rsid w:val="009A4ECD"/>
    <w:rsid w:val="009E38CB"/>
    <w:rsid w:val="00A4527F"/>
    <w:rsid w:val="00CF3895"/>
    <w:rsid w:val="00D022EB"/>
    <w:rsid w:val="00D83D5D"/>
    <w:rsid w:val="00DF4DAA"/>
    <w:rsid w:val="00E5097D"/>
    <w:rsid w:val="00FF6B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34C83D"/>
  <w15:docId w15:val="{1C1A80EC-CCC6-46CD-96DA-1A3090272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0B2C"/>
    <w:rPr>
      <w:lang w:val="fr-FR" w:eastAsia="fr-FR"/>
    </w:rPr>
  </w:style>
  <w:style w:type="paragraph" w:styleId="Ttulo1">
    <w:name w:val="heading 1"/>
    <w:basedOn w:val="Normal"/>
    <w:next w:val="Normal"/>
    <w:uiPriority w:val="9"/>
    <w:qFormat/>
    <w:rsid w:val="00060B2C"/>
    <w:pPr>
      <w:keepNext/>
      <w:spacing w:before="120" w:after="120"/>
      <w:jc w:val="center"/>
      <w:outlineLvl w:val="0"/>
    </w:pPr>
    <w:rPr>
      <w:rFonts w:cs="Arial"/>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086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YGSCFWvtO65Hu9wsxMBqeMim9Q==">CgMxLjA4AHIhMUFEYXV0VDNtNjBJdTBLZkJRTzFRazVzU3VqUTdXUGxt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Pages>
  <Words>409</Words>
  <Characters>2214</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Pedro Renato Bodo de Paiva</cp:lastModifiedBy>
  <cp:revision>7</cp:revision>
  <dcterms:created xsi:type="dcterms:W3CDTF">2024-01-25T19:38:00Z</dcterms:created>
  <dcterms:modified xsi:type="dcterms:W3CDTF">2026-04-17T13:16:00Z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