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hanging="2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8307"/>
        </w:tabs>
        <w:spacing w:line="276" w:lineRule="auto"/>
        <w:ind w:left="2" w:hanging="4"/>
        <w:jc w:val="center"/>
        <w:rPr>
          <w:rFonts w:ascii="Open Sans" w:cs="Open Sans" w:eastAsia="Open Sans" w:hAnsi="Open Sans"/>
          <w:b w:val="1"/>
          <w:sz w:val="44"/>
          <w:szCs w:val="44"/>
        </w:rPr>
      </w:pPr>
      <w:r w:rsidDel="00000000" w:rsidR="00000000" w:rsidRPr="00000000">
        <w:rPr>
          <w:rFonts w:ascii="Open Sans" w:cs="Open Sans" w:eastAsia="Open Sans" w:hAnsi="Open Sans"/>
          <w:b w:val="1"/>
          <w:sz w:val="40"/>
          <w:szCs w:val="40"/>
          <w:rtl w:val="0"/>
        </w:rPr>
        <w:t xml:space="preserve">SEMANA DA DIVERSIDADE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" w:hanging="3"/>
        <w:jc w:val="right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" w:hanging="3"/>
        <w:jc w:val="righ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Ana Rosa Carvalho de Oliveira¹</w:t>
      </w:r>
    </w:p>
    <w:p w:rsidR="00000000" w:rsidDel="00000000" w:rsidP="00000000" w:rsidRDefault="00000000" w:rsidRPr="00000000" w14:paraId="00000005">
      <w:pPr>
        <w:spacing w:line="276" w:lineRule="auto"/>
        <w:ind w:left="1" w:hanging="3"/>
        <w:jc w:val="righ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Diêgo Araujo Silva²</w:t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jc w:val="righ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¹ Universidade Federal do Norte do Tocantins, UFNT. E-mail: </w:t>
      </w:r>
      <w:hyperlink r:id="rId8">
        <w:r w:rsidDel="00000000" w:rsidR="00000000" w:rsidRPr="00000000">
          <w:rPr>
            <w:rFonts w:ascii="Open Sans" w:cs="Open Sans" w:eastAsia="Open Sans" w:hAnsi="Open Sans"/>
            <w:color w:val="0000ff"/>
            <w:sz w:val="24"/>
            <w:szCs w:val="24"/>
            <w:u w:val="single"/>
            <w:vertAlign w:val="baseline"/>
            <w:rtl w:val="0"/>
          </w:rPr>
          <w:t xml:space="preserve">ana.oliveira@ufnt.edu.br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hanging="2"/>
        <w:jc w:val="righ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² Universidade Federal do Norte do Tocantins, UFNT. E-mail: </w:t>
      </w:r>
      <w:hyperlink r:id="rId9">
        <w:r w:rsidDel="00000000" w:rsidR="00000000" w:rsidRPr="00000000">
          <w:rPr>
            <w:rFonts w:ascii="Open Sans" w:cs="Open Sans" w:eastAsia="Open Sans" w:hAnsi="Open Sans"/>
            <w:color w:val="0000ff"/>
            <w:sz w:val="24"/>
            <w:szCs w:val="24"/>
            <w:u w:val="single"/>
            <w:vertAlign w:val="baseline"/>
            <w:rtl w:val="0"/>
          </w:rPr>
          <w:t xml:space="preserve">diego.silva@ufnt.edu.br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hanging="2"/>
        <w:jc w:val="righ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0" w:line="240" w:lineRule="auto"/>
        <w:ind w:left="1" w:hanging="3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after="0" w:line="360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VI Semana da Diversidade de Araguaína tem como proposta visibilizar os grupos que pautam a diversidade, como a comunidade LGBTQIAPN+, movimento negro, movimento de mulheres e feminista dentro da universidade, fomentando debates sobre direitos, cidadania e acesso à educação para a cidade de Araguaína. Dessa forma, evento dividido em dois dias, com discussões sobre saúde pública, a importância do nome para as pessoas transsexuais e transgêneras, a escola, a juventude LGBT e suas interseccionalidades, propostas transgressoras para a formação de professores, e as políticas públicas e os desafios contra a diversidade. Houveram discussões e estudantes de diversas instituições, em discussões necessárias, e de como acessar as políticas públicas sendo uma pessoa LGBTQIAPN+ na sociedade Araguaínense. Foi percebido a importância desses debates, e como é preciso avançar tanto em discussão social, de políticas públicas, como a discussão sobre a diversidade nos espaços institucionais educacionais, sobretudo na formação de professores na qual a universidade tem um papel formador e reflexivo nesse processo. A universidade como  um espaço de fomento, através do edital FLORESÇA de 2023, da Pró-reitoria de Extensão, Cultura e Assuntos Comunitários, foi importante o auxílio financeiro para a execução do projeto.  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Palavras-chave: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 semana da diversidade, LGBTQIAPN+, movimento social e universidade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0" w:line="240" w:lineRule="auto"/>
        <w:ind w:left="1" w:hanging="3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rtl w:val="0"/>
        </w:rPr>
        <w:t xml:space="preserve">Introdução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ind w:left="0" w:firstLine="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 discussões em torno da diversidade ainda são seminais na Região Norte, mais especificamente no Norte do Tocantins. Dessa forma promover debates, com trocas de experiências e vivências estudantis a partir da experiência do movimento social, possibilita  experimentações dentro e fora da universidade. Segundo o Programa Brasil de Todas as Cores (2022), a Região Norte, historicamente vive um processo de marginalização, e especialmente quando pensamos a partir das categorias sociais que são reveladas nesse espaço, que se interseccionam como: raça, etnia, sexualidade, identidade de gênero, e precisam ser consideradas no processo de construção de direitos, cidadania e políticas públicas. Assim, esses aspectos provocam a necessidade da participação política através de questões que vão desde a retificação do nome, até questões mais complexas, como atendimento especializado de saúde. A ANDIFES/FONAPRACE (2018) apontam que estudantes que se engajam em mobilizações e discussões apresentam taxa de evasão menor, e o movimento LGBTQIAPN+</w:t>
      </w:r>
      <w:r w:rsidDel="00000000" w:rsidR="00000000" w:rsidRPr="00000000">
        <w:rPr>
          <w:rFonts w:ascii="Open Sans" w:cs="Open Sans" w:eastAsia="Open Sans" w:hAnsi="Open Sans"/>
          <w:vertAlign w:val="superscript"/>
        </w:rPr>
        <w:footnoteReference w:customMarkFollows="0" w:id="0"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movimento feminista, movimento negro segue na lista de prefêrencias, e são os pontos de discussão desse projeto.  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ab/>
        <w:t xml:space="preserve">A proposta questiona, a partir de quais parâmetros está sendo construída a “sociedade diversa”, além de sinalizar os pontos práticos de acesso aos ambientes educacionais públicos, seja no ensino básico ou no ensino superior, indo das questões físicas e comportamentais. Os objetivos de desenvolvimento sustentável (ODS) no Brasil conecta ao projeto a partir da saúde e bem-estar ao pensar saúde mental de pessoas que são frequentemente furtadas de seus direitos e cidadania, educação de qualidade quando promove discussões para além do ordenamento curricular, perpassando pela experiência e vivência dos indivíduos, e a igualdade de gênero, quando pensamos nos acesso e permanência dessa população nos espaços, sejam públicos ou privados, educacionais, trabalhistas  ou de lazer, promovendo discussões que nos levem a políticas  equânimes.  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expectativa é o envolvimento da comunidade LGBTQIAPN+, as mulheres e movimento negro com a comunidade acadêmica, observando a integração e a discussão de questões importantes, sejam no ambiente educacional ou não, como o tratamento de pessoas a partir da própria identificação. Esse envolvimento é interdisciplinar, composto por estudantes de todos os cursos, com atividade de discussão sobre metodologia de ensino com a diversidade, como descrevo abaixo, sobretudo propor um espaço que tem estudantes de diversos cursos, pensando em discussões que nos atravessam o tempo todo. Uma vez que o espaço educacional é um espaço violento para a população LGBTQIAPN+, como uma busca rápida em um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site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de pesquisa, rapidamente aparecerá diversas situações parecidas. Assim, ao pensarmos em formação de professores, ou uma discussão ampla com diversos setores e áreas do saber, conseguimos intermediar as observações e ter dimensões diferentes, com diferentes perspectivas de vida. 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Assim, a integração entre diversas instituições de ensino para além da UFNT, fomentou reflexões e trocas de experiências na qual serve para conseguir refletir sobre comportamentos sociais e de alguma forma a participação das pessoas para o tema da diversidade, elucidando que uso da identidade de gênero, bem como a possibilidade de exercer a orientação sexual que lhe aprouver. Essas reflexões são necessárias para que haja mudanças sociais e culturais, agregando pessoas que militam, que pesquisam e que vivenciam essa diversidade em diferentes âmbitos e são referências  para os estudos sobre a diversidade, com foco na população LGBTQIAPN+.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0" w:line="240" w:lineRule="auto"/>
        <w:ind w:left="1" w:hanging="3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rtl w:val="0"/>
        </w:rPr>
        <w:t xml:space="preserve">Objetivos</w:t>
      </w:r>
    </w:p>
    <w:p w:rsidR="00000000" w:rsidDel="00000000" w:rsidP="00000000" w:rsidRDefault="00000000" w:rsidRPr="00000000" w14:paraId="00000018">
      <w:pPr>
        <w:spacing w:after="0" w:before="0" w:line="360" w:lineRule="auto"/>
        <w:ind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Geral: Visibilizar os grupos que pautam a diversidade, como a comunidade LGBTQIAPN+, movimento negro, movimento de mulheres e feminista dentro da universidade, fomentando debates sobre direitos, cidadania e acesso à educação para a cidade de Araguaína. </w:t>
      </w:r>
    </w:p>
    <w:p w:rsidR="00000000" w:rsidDel="00000000" w:rsidP="00000000" w:rsidRDefault="00000000" w:rsidRPr="00000000" w14:paraId="00000019">
      <w:pPr>
        <w:spacing w:after="0" w:before="0" w:line="360" w:lineRule="auto"/>
        <w:ind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Específicos:</w:t>
      </w:r>
    </w:p>
    <w:p w:rsidR="00000000" w:rsidDel="00000000" w:rsidP="00000000" w:rsidRDefault="00000000" w:rsidRPr="00000000" w14:paraId="0000001A">
      <w:pPr>
        <w:spacing w:after="0" w:before="0" w:line="360" w:lineRule="auto"/>
        <w:ind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 Promover ação de visibilidade da diversidade em diferentes aspectos de auto identificação, e como acessam os espaços na cidade de Araguaína. </w:t>
      </w:r>
    </w:p>
    <w:p w:rsidR="00000000" w:rsidDel="00000000" w:rsidP="00000000" w:rsidRDefault="00000000" w:rsidRPr="00000000" w14:paraId="0000001B">
      <w:pPr>
        <w:spacing w:after="0" w:before="0" w:line="360" w:lineRule="auto"/>
        <w:ind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 Realizar rodas de conversa e apresentações de painéis sobre Políticas Públicas para a população LGBTQIAPN+, em diferentes aspectos como saúde, direitos e educação. </w:t>
      </w:r>
    </w:p>
    <w:p w:rsidR="00000000" w:rsidDel="00000000" w:rsidP="00000000" w:rsidRDefault="00000000" w:rsidRPr="00000000" w14:paraId="0000001C">
      <w:pPr>
        <w:spacing w:after="0" w:before="0" w:line="36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- Realizar discussões sobre a Lei 7.716/89, que  equipara o crime de homofobia ao de  racismo, além de debater sobre o direito ao acesso e permanência nas escolas, e  o direito de se ter  a identidade respeitada nesses ambientes.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0" w:line="240" w:lineRule="auto"/>
        <w:ind w:left="1" w:hanging="3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rtl w:val="0"/>
        </w:rPr>
        <w:t xml:space="preserve">A Semana da Diversidade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0" w:line="240" w:lineRule="auto"/>
        <w:ind w:left="1" w:firstLine="0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VI Semana da Diversidade em Araguaína foi construída, inicialmente, pela ADIARA (Associação da Diversidade de Araguaína) em conjunto com a DAEP (Diretoria de Acessibilidade, Equidade e Políticas Afirmativas), por meio da Coordenação de Gênero e Diversidade. Assim houveram algumas reuniões de alinhamento, e  foi decidido temas, possíveis nomes e a estrutura do ato político. Após oito meses de discussões, alguns membros e membras da equipe organizadora foram desmobilizando, e quando houve a decisão de não fazer o ato  político, que seria a Parada da Diversidade de Araguaína. Dessa forma, decidiu que seriam dos dias 22 a 24 de novembro do ano de 2023 de evento, com apresentações culturais todos os dias na abertura, onde é importante que essas pessoas contribuam com esse processo de sensibilização, sendo portanto um instrumento de reflexão. 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2268" w:hanging="1.9999999999998863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O propósito não é apenas ouvir para registrar uma opinião, é compreender o que está por trás, para além da aparência, uma porta para o diálogo e revisão das próprias certezas, uma chance de enxergar outras possibilidades e modos de ser das coisas. (Moura e Gianella, 2016, p. 10)</w:t>
      </w:r>
    </w:p>
    <w:p w:rsidR="00000000" w:rsidDel="00000000" w:rsidP="00000000" w:rsidRDefault="00000000" w:rsidRPr="00000000" w14:paraId="00000021">
      <w:pPr>
        <w:spacing w:after="0" w:before="0"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 primeiro dia, dia 22, com uma abertura de Fúscia, com poesia e músicas autorais, ele inicia a reflexão de existir nesse lugar, no Norte do país, em um interior do Tocantins, apresentando ao final o livro dele que estava à venda, chamado “Cuecas Freadas”. Na sequência a mesa redonda “Me chame pelo meu nome: Direitos LGBTQIAPN+ em Araguaína”, com a presença da professora Lucrécia Borges, do defensor Sandro Ferreira Pinto e de Dhiogo Thomaz na mediação. Com reflexões contundentes sobre a trajetória de uma pessoa trans, e como entrelaçar as diversas pautas da vida, mostrando aqui como as identidades são fluidas e permeiam o que somos como coloca Hall (2005), pensando na pluralidade de questões ou categorias que nos atravessam. </w:t>
      </w:r>
    </w:p>
    <w:p w:rsidR="00000000" w:rsidDel="00000000" w:rsidP="00000000" w:rsidRDefault="00000000" w:rsidRPr="00000000" w14:paraId="00000023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 segundo dia, dia 23, houve uma conversa com estudantes da escola Jardim Paulista, na qual essa escola estava em parceria com um projeto de extensão da universidade com a escola, sobre “Educação, Diversidade Sexual e de Gênero” sob coordenação do professor Yonier Alexander Orozco Marín. Nesse encontro houveram trocas de experiências entra a universidade e a escola, e em uma reflexão se percebe que as estruturas são rígidas e fixas, como não ter um banheiro para um estudantes que se identifica como não-binário usar. A escola sendo esse lugar formador é importante que tenhamos ferramentas pedagógicas para lidar com o diferente, com o outro, tanto em questões identitárias, como nas questões de infraestrutura. Martelli e Ferrari (2017, p.105) apresenta que  “A mediação pedagógica e o diálogo, como exigência existencial, são procedimentos educativos e necessários, os quais estão diretamente relacionados à garantia e reconhecimento das diversidades,dos direitos humanos e da cidadania”. 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Ainda no dia 22, para a abertura da mesa redonda da noite, houve uma apresentação do Grupo de Capoeira Herança dos Pombais, onde se apresenta uma possibilidade para a juventude, em fala do Mestre Libertino a importância de entendermos e pensarmos sobre esse assunto, o qual perpassa os jovens que frequentam o grupo de capoeira, pensando em um espaço acolhedor e de muito respeito. A mesa intitulada “Juventude LGBTQIAPN+: Resistência e sobrevivência no cotidiano de Araguaína”, contando com jovens que são ou que foram do movimento estudantil,  para fazerem essa discussão, como Raissa Alana, Khalyel Marques e Sereia Ribeiro na mediação. 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 dia 23, na parte da manhã “Seminário de experiências: Propostas transgressoras sobre a diversidade sexual e de gênero na formação de professores”, mediada pelo professor Yonier Alexander Orozco Marín, do curso de Biologia, que agregou o evento em uma disciplina. Um momento de sistematizar esses debates a partir de metodologias de ensino, e temas que despertam o interesse da juventude escolar, pensando na educação como um ambiente de discussão sobre a diversidade sexual e de gênero. Para a última mesa intitulada “Política Pública e desafios atuais contra a diversidade”, houve a apresentação de voz e violão de Rita e Lorena. Na mesa estavam presentes Elton Reis e a Alessandra Dias, que estão em contato diretamente com as políticas públicas, e o Rafael Cipriano para mediação. Foram discutidos aspectos psicológicos e de como as políticas públicas podem atender eficaz a população LGBTQIAPN+, e a importância do movimento social nesse processo, como cita Maria Clara Araújo Passos (2022) sistematizando e apresentando a história das mulheres transsexuais e travestis com o movimento social organizado e o quanto esse movimento se compromete com a vida dessas pessoas. 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0" w:line="240" w:lineRule="auto"/>
        <w:ind w:left="1" w:hanging="3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rtl w:val="0"/>
        </w:rPr>
        <w:t xml:space="preserve">Considerações Finais</w:t>
      </w:r>
    </w:p>
    <w:p w:rsidR="00000000" w:rsidDel="00000000" w:rsidP="00000000" w:rsidRDefault="00000000" w:rsidRPr="00000000" w14:paraId="00000029">
      <w:pPr>
        <w:spacing w:after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educação nos oferece diversas experiências, nas quais, nos encantamos, nos indignamos e a partir disso vamos entendendo o mundo, as relações sociais, os processos hierárquicos , e entendendo que esse processo de construção não há neutralidade. </w:t>
      </w:r>
    </w:p>
    <w:p w:rsidR="00000000" w:rsidDel="00000000" w:rsidP="00000000" w:rsidRDefault="00000000" w:rsidRPr="00000000" w14:paraId="0000002B">
      <w:pPr>
        <w:spacing w:after="0" w:line="360" w:lineRule="auto"/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partir dessa reflexão é importante percebermos como os debates de pesquisa, os espaços educacionais e de trabalho, perpassam as subjetividades de cada pessoa, mas que no que construímos, em muitas vezes essas subjetividades ficam de fora, sobretudo em alguns espaços deixar mais uma identidade se sobressair à outra. Felizmente, esse entendimento de si, não cabe para todas as pessoas. </w:t>
        <w:br w:type="textWrapping"/>
        <w:t xml:space="preserve">Ainda bem que algumas pessoas se colocam enquanto sujeito de espaços e isso faz com que haja o confronto, haja o conhecimento, haja a representação e haja a diversidade. A diversidade encontra com essa ousadia de pensar para além do que já está posto, ela pensa no que ainda pode acontecer, e a semana da diversidade em seus diversos diálogos, compos esse processo, das discussões necessárias a serem feitas no ambiente educacional, o que de toda forma, ainda estamos em estado seminal. 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0" w:line="240" w:lineRule="auto"/>
        <w:ind w:left="1" w:hanging="3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8"/>
          <w:szCs w:val="28"/>
          <w:rtl w:val="0"/>
        </w:rPr>
        <w:t xml:space="preserve">Referências Bibliográficas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hanging="2"/>
        <w:jc w:val="left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ANDIFES/FONAPRACE.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V PESQUISA NACIONAL DE PERFIL SOCIOECONÔMICO E CULTURAL DOS (AS) GRADUANDOS (AS) DAS IFES - 2018. 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Brasília, 2019.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HALL, Stuart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. A identidade cultura na pós-modernidade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10. ed. Rio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 Janeiro: DP&amp;A, 2005.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hanging="2"/>
        <w:jc w:val="left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MARIANO, A. S.; SILVA, D.; NUNES, G.; OLIVEIRA, J. B.; RIBAS, L.; CARVALHO, S. L. B. de.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 PROGRAMA BRASIL DE TODAS AS CORES. 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Conselho Nacional Popular LGBTI+.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hanging="2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MARTELLI, Andrea; e FERRARI, Alexandre.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Quando o silêncio legitima as tiranias.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In:  Educação, sexualidade e diversidade: políticas públicas educacionais:  avanços ou retrocesso? / Org. Ricardo Desidério da Silva,  Eromi Izabel Hummel, Isaías Batista de Oliveira Junior. Londrina, PR, Syntagma Editores, 2017. 105p.</w:t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hanging="2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hanging="2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MOURA, Maria Suzana de Souza; GIANELLA, Valeria. A ARTE DE ESCUTAR: NUANCES DE UM CAMPO DE PRÁTICAS E DE CONHECIMENTO.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Revista Terceiro Incluído.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Vol 6, 2016.  </w:t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PASSOS, Maria Clara Araújo Passos.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Pedagogia das travestilidades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[recurso eletrônico]/ 1ª edição, Rio de Janeiro, Ed Civilização Brasileira, 2022. 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VI. Agradecimentos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Agradecemos a Pró-reitoria de Extensão, Cultura e Assuntos Comunitários, por nos proporcionar o edital Floresça. </w:t>
      </w:r>
    </w:p>
    <w:p w:rsidR="00000000" w:rsidDel="00000000" w:rsidP="00000000" w:rsidRDefault="00000000" w:rsidRPr="00000000" w14:paraId="0000003E">
      <w:pPr>
        <w:ind w:left="0" w:hanging="2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7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hanging="2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Sigla que significa Lésbica, Gays, Bissexuais, Transsexuais, Travestis, Queer, Intersexo, Assexuais, Panssexuais, Não-Binária, e mais quem tiver no espectro de gênero, orientação sexual e/ou identidade de .gênero. A escolha dessa sigla é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englobar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maior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faixa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espectro.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60" w:line="240" w:lineRule="auto"/>
      <w:ind w:left="0" w:right="0" w:hanging="2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pt-BR"/>
      </w:rPr>
    </w:rPrDefault>
    <w:pPrDefault>
      <w:pPr>
        <w:spacing w:after="60" w:before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60" w:line="240" w:lineRule="auto"/>
      <w:ind w:left="0" w:right="0" w:hanging="1"/>
      <w:jc w:val="both"/>
    </w:pPr>
    <w:rPr>
      <w:rFonts w:ascii="Century Gothic" w:cs="Century Gothic" w:eastAsia="Century Gothic" w:hAnsi="Century Gothic"/>
      <w:b w:val="0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after="120" w:before="240" w:lineRule="auto"/>
      <w:ind w:left="274" w:hanging="274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0" w:before="120" w:lineRule="auto"/>
      <w:ind w:left="720" w:firstLine="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next w:val="Normal"/>
    <w:uiPriority w:val="9"/>
    <w:qFormat w:val="1"/>
    <w:pPr>
      <w:numPr>
        <w:numId w:val="1"/>
      </w:numPr>
      <w:autoSpaceDE w:val="0"/>
      <w:spacing w:after="80" w:line="1" w:lineRule="atLeast"/>
      <w:ind w:left="-1" w:leftChars="-1" w:hanging="1" w:hangingChars="1"/>
      <w:textDirection w:val="btLr"/>
      <w:textAlignment w:val="top"/>
      <w:outlineLvl w:val="0"/>
    </w:pPr>
    <w:rPr>
      <w:rFonts w:cs="Arial" w:eastAsia="Arial"/>
      <w:position w:val="-1"/>
      <w:sz w:val="44"/>
      <w:szCs w:val="44"/>
      <w:lang w:eastAsia="ar-SA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autoSpaceDE w:val="0"/>
      <w:spacing w:after="120" w:before="240"/>
      <w:ind w:left="274" w:hanging="274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before="240"/>
      <w:outlineLvl w:val="2"/>
    </w:pPr>
    <w:rPr>
      <w:rFonts w:cs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0" w:before="120"/>
      <w:ind w:left="720" w:firstLine="0"/>
      <w:outlineLvl w:val="3"/>
    </w:pPr>
    <w:rPr>
      <w:rFonts w:ascii="Arial" w:hAnsi="Arial"/>
      <w:b w:val="1"/>
      <w:bCs w:val="1"/>
      <w:sz w:val="24"/>
      <w:szCs w:val="28"/>
      <w:lang w:val="pt-BR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spacing w:before="240"/>
      <w:jc w:val="center"/>
    </w:pPr>
    <w:rPr>
      <w:rFonts w:ascii="Cambria" w:hAnsi="Cambria"/>
      <w:b w:val="1"/>
      <w:bCs w:val="1"/>
      <w:kern w:val="1"/>
      <w:sz w:val="32"/>
      <w:szCs w:val="3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2z0" w:customStyle="1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2z1" w:customStyle="1">
    <w:name w:val="WW8Num2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7z1" w:customStyle="1">
    <w:name w:val="WW8Num2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2" w:customStyle="1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8z1" w:customStyle="1">
    <w:name w:val="WW8Num28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8z2" w:customStyle="1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29z1" w:customStyle="1">
    <w:name w:val="WW8Num2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9z2" w:customStyle="1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0z1" w:customStyle="1">
    <w:name w:val="WW8Num30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0z2" w:customStyle="1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1z1" w:customStyle="1">
    <w:name w:val="WW8Num3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1z2" w:customStyle="1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2z2" w:customStyle="1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3z2" w:customStyle="1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4z1" w:customStyle="1">
    <w:name w:val="WW8Num3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4z2" w:customStyle="1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5z2" w:customStyle="1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6z1" w:customStyle="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7z0" w:customStyle="1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7z1" w:customStyle="1">
    <w:name w:val="WW8Num3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7z2" w:customStyle="1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8z0" w:customStyle="1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8z1" w:customStyle="1">
    <w:name w:val="WW8Num38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8z2" w:customStyle="1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9z0" w:customStyle="1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39z1" w:customStyle="1">
    <w:name w:val="WW8Num39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9z2" w:customStyle="1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0z0" w:customStyle="1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40z1" w:customStyle="1">
    <w:name w:val="WW8Num40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0z2" w:customStyle="1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0z3" w:customStyle="1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2z0" w:customStyle="1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2z1" w:customStyle="1">
    <w:name w:val="WW8Num4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2z2" w:customStyle="1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3z0" w:customStyle="1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3z1" w:customStyle="1">
    <w:name w:val="WW8Num4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3z2" w:customStyle="1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4z0" w:customStyle="1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4z1" w:customStyle="1">
    <w:name w:val="WW8Num4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4z2" w:customStyle="1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Century Gothic" w:cs="Arial" w:hAnsi="Century Gothic"/>
      <w:w w:val="100"/>
      <w:position w:val="-1"/>
      <w:sz w:val="44"/>
      <w:szCs w:val="44"/>
      <w:effect w:val="none"/>
      <w:vertAlign w:val="baseline"/>
      <w:cs w:val="0"/>
      <w:em w:val="none"/>
      <w:lang w:bidi="ar-SA" w:eastAsia="ar-SA" w:val="en-US"/>
    </w:rPr>
  </w:style>
  <w:style w:type="character" w:styleId="ProposalChar" w:customStyle="1">
    <w:name w:val="Proposal Char"/>
    <w:rPr>
      <w:rFonts w:ascii="Century Gothic" w:cs="Arial" w:hAnsi="Century Gothic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bidi="ar-SA" w:eastAsia="ar-SA" w:val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styleId="FootnoteCharacters" w:customStyle="1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Pr-formataoHTMLChar" w:customStyle="1">
    <w:name w:val="Pré-formatação HTML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RodapChar" w:customStyle="1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character" w:styleId="Ttulo2Char" w:customStyle="1">
    <w:name w:val="Título 2 Char"/>
    <w:rPr>
      <w:rFonts w:ascii="Century Gothic" w:cs="Arial" w:hAnsi="Century Gothic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styleId="Pr-formataoHTMLChar1" w:customStyle="1">
    <w:name w:val="Pré-formatação HTML Char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entury Gothic" w:cs="Arial" w:hAnsi="Century Gothic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TextodenotaderodapChar" w:customStyle="1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styleId="WW-FootnoteCharacters" w:customStyle="1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MTDisplayEquationChar" w:customStyle="1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styleId="nfakpe" w:customStyle="1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styleId="SubttuloChar" w:customStyle="1">
    <w:name w:val="Subtítulo Char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Emphasis">
    <w:name w:val="Emphasis"/>
    <w:rPr>
      <w:iCs w:val="1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otnoteChar" w:customStyle="1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styleId="texto" w:customStyle="1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text1" w:customStyle="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style41" w:customStyle="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TabeladeGrade1Clara1" w:customStyle="1">
    <w:name w:val="Tabela de Grade 1 Clara1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</w:rPr>
  </w:style>
  <w:style w:type="character" w:styleId="longtext" w:customStyle="1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mediumtext" w:customStyle="1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NumberingSymbols" w:customStyle="1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BodyText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">
    <w:name w:val="List"/>
    <w:basedOn w:val="BodyText"/>
  </w:style>
  <w:style w:type="paragraph" w:styleId="Caption1" w:customStyle="1">
    <w:name w:val="Caption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  <w:spacing w:after="0" w:before="120" w:line="360" w:lineRule="auto"/>
      <w:ind w:firstLine="709"/>
    </w:pPr>
    <w:rPr>
      <w:rFonts w:ascii="Arial" w:cs="Tahoma" w:hAnsi="Arial"/>
      <w:sz w:val="24"/>
      <w:szCs w:val="24"/>
      <w:lang w:val="pt-BR"/>
    </w:rPr>
  </w:style>
  <w:style w:type="paragraph" w:styleId="Proposal" w:customStyle="1">
    <w:name w:val="Proposal"/>
    <w:pPr>
      <w:pBdr>
        <w:top w:color="c0c0c0" w:space="0" w:sz="8" w:val="single"/>
      </w:pBdr>
      <w:spacing w:before="1100" w:line="1" w:lineRule="atLeast"/>
      <w:ind w:left="-1" w:leftChars="-1" w:hanging="1" w:hangingChars="1"/>
      <w:textDirection w:val="btLr"/>
      <w:textAlignment w:val="top"/>
      <w:outlineLvl w:val="0"/>
    </w:pPr>
    <w:rPr>
      <w:rFonts w:cs="Arial" w:eastAsia="Arial"/>
      <w:color w:val="c0c0c0"/>
      <w:position w:val="-1"/>
      <w:sz w:val="88"/>
      <w:szCs w:val="44"/>
      <w:lang w:eastAsia="ar-SA"/>
    </w:rPr>
  </w:style>
  <w:style w:type="paragraph" w:styleId="OrgNameandDate" w:customStyle="1">
    <w:name w:val="Org Name and Date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Arial"/>
      <w:position w:val="-1"/>
      <w:sz w:val="28"/>
      <w:szCs w:val="28"/>
      <w:lang w:eastAsia="ar-SA"/>
    </w:rPr>
  </w:style>
  <w:style w:type="paragraph" w:styleId="ProjectName" w:customStyle="1">
    <w:name w:val="Project Name"/>
    <w:pPr>
      <w:spacing w:before="100" w:line="1" w:lineRule="atLeast"/>
      <w:ind w:left="-1" w:leftChars="-1" w:hanging="1" w:hangingChars="1"/>
      <w:textDirection w:val="btLr"/>
      <w:textAlignment w:val="top"/>
      <w:outlineLvl w:val="0"/>
    </w:pPr>
    <w:rPr>
      <w:rFonts w:eastAsia="Arial"/>
      <w:position w:val="-1"/>
      <w:sz w:val="44"/>
      <w:lang w:eastAsia="ar-SA"/>
    </w:rPr>
  </w:style>
  <w:style w:type="paragraph" w:styleId="Header">
    <w:name w:val="header"/>
    <w:basedOn w:val="Normal"/>
  </w:style>
  <w:style w:type="paragraph" w:styleId="TOC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="-1" w:leftChars="-1" w:hanging="1" w:hangingChars="1"/>
      <w:textDirection w:val="btLr"/>
      <w:textAlignment w:val="top"/>
      <w:outlineLvl w:val="0"/>
    </w:pPr>
    <w:rPr>
      <w:rFonts w:cs="Arial" w:eastAsia="Arial"/>
      <w:bCs w:val="1"/>
      <w:caps w:val="1"/>
      <w:position w:val="-1"/>
      <w:lang w:eastAsia="ar-SA"/>
    </w:rPr>
  </w:style>
  <w:style w:type="paragraph" w:styleId="TableText" w:customStyle="1">
    <w:name w:val="Table Text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Arial"/>
      <w:position w:val="-1"/>
      <w:sz w:val="16"/>
      <w:lang w:eastAsia="ar-SA"/>
    </w:rPr>
  </w:style>
  <w:style w:type="paragraph" w:styleId="Total" w:customStyle="1">
    <w:name w:val="Total"/>
    <w:basedOn w:val="TableText"/>
    <w:pPr>
      <w:jc w:val="right"/>
    </w:pPr>
    <w:rPr>
      <w:b w:val="1"/>
      <w:bCs w:val="1"/>
    </w:rPr>
  </w:style>
  <w:style w:type="paragraph" w:styleId="TOC2">
    <w:name w:val="toc 2"/>
    <w:basedOn w:val="Normal"/>
    <w:next w:val="Normal"/>
    <w:pPr>
      <w:spacing w:before="240"/>
    </w:pPr>
    <w:rPr>
      <w:b w:val="1"/>
      <w:bCs w:val="1"/>
    </w:rPr>
  </w:style>
  <w:style w:type="paragraph" w:styleId="TOC3">
    <w:name w:val="toc 3"/>
    <w:basedOn w:val="Normal"/>
    <w:next w:val="Normal"/>
    <w:pPr>
      <w:ind w:left="240"/>
    </w:pPr>
  </w:style>
  <w:style w:type="paragraph" w:styleId="TOC4">
    <w:name w:val="toc 4"/>
    <w:basedOn w:val="Normal"/>
    <w:next w:val="Normal"/>
    <w:pPr>
      <w:ind w:left="480"/>
    </w:pPr>
  </w:style>
  <w:style w:type="paragraph" w:styleId="TOC5">
    <w:name w:val="toc 5"/>
    <w:basedOn w:val="Normal"/>
    <w:next w:val="Normal"/>
    <w:pPr>
      <w:ind w:left="720"/>
    </w:pPr>
  </w:style>
  <w:style w:type="paragraph" w:styleId="TOC6">
    <w:name w:val="toc 6"/>
    <w:basedOn w:val="Normal"/>
    <w:next w:val="Normal"/>
    <w:pPr>
      <w:ind w:left="960"/>
    </w:pPr>
  </w:style>
  <w:style w:type="paragraph" w:styleId="TOC7">
    <w:name w:val="toc 7"/>
    <w:basedOn w:val="Normal"/>
    <w:next w:val="Normal"/>
    <w:pPr>
      <w:ind w:left="1200"/>
    </w:pPr>
  </w:style>
  <w:style w:type="paragraph" w:styleId="TOC8">
    <w:name w:val="toc 8"/>
    <w:basedOn w:val="Normal"/>
    <w:next w:val="Normal"/>
    <w:pPr>
      <w:ind w:left="1440"/>
    </w:pPr>
  </w:style>
  <w:style w:type="paragraph" w:styleId="TOC9">
    <w:name w:val="toc 9"/>
    <w:basedOn w:val="Normal"/>
    <w:next w:val="Normal"/>
    <w:pPr>
      <w:ind w:left="1680"/>
    </w:p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Commarcadores1" w:customStyle="1">
    <w:name w:val="Com marcadores1"/>
    <w:basedOn w:val="Normal"/>
    <w:pPr>
      <w:numPr>
        <w:numId w:val="2"/>
      </w:numPr>
      <w:ind w:left="1152" w:firstLine="720"/>
    </w:pPr>
  </w:style>
  <w:style w:type="paragraph" w:styleId="TableTextBold" w:customStyle="1">
    <w:name w:val="Table Text Bold"/>
    <w:basedOn w:val="TableText"/>
    <w:rPr>
      <w:b w:val="1"/>
      <w:color w:val="000000"/>
      <w:szCs w:val="16"/>
    </w:rPr>
  </w:style>
  <w:style w:type="paragraph" w:styleId="FootnoteText">
    <w:name w:val="footnote text"/>
    <w:basedOn w:val="Normal"/>
    <w:pPr>
      <w:spacing w:after="0" w:before="120"/>
    </w:pPr>
    <w:rPr>
      <w:rFonts w:ascii="Arial" w:hAnsi="Arial"/>
      <w:color w:val="000000"/>
      <w:sz w:val="18"/>
    </w:rPr>
  </w:style>
  <w:style w:type="paragraph" w:styleId="Legenda1" w:customStyle="1">
    <w:name w:val="Legenda1"/>
    <w:basedOn w:val="Normal"/>
    <w:next w:val="Normal"/>
    <w:pPr>
      <w:ind w:firstLine="0"/>
      <w:jc w:val="center"/>
    </w:pPr>
    <w:rPr>
      <w:b w:val="1"/>
      <w:bCs w:val="1"/>
      <w:lang w:val="pt-BR"/>
    </w:rPr>
  </w:style>
  <w:style w:type="paragraph" w:styleId="StyleCaptionCentered" w:customStyle="1">
    <w:name w:val="Style Caption + Centered"/>
    <w:basedOn w:val="Legenda1"/>
  </w:style>
  <w:style w:type="paragraph" w:styleId="HTMLPreformatted">
    <w:name w:val="HTML Preformatted"/>
    <w:basedOn w:val="Normal"/>
    <w:pPr>
      <w:spacing w:after="0" w:before="0"/>
      <w:ind w:firstLine="0"/>
      <w:jc w:val="left"/>
    </w:pPr>
    <w:rPr>
      <w:rFonts w:ascii="Courier New" w:cs="Courier New" w:hAnsi="Courier New"/>
      <w:lang w:val="pt-BR"/>
    </w:rPr>
  </w:style>
  <w:style w:type="paragraph" w:styleId="Footer">
    <w:name w:val="footer"/>
    <w:basedOn w:val="Normal"/>
  </w:style>
  <w:style w:type="paragraph" w:styleId="WW-Default" w:customStyle="1">
    <w:name w:val="WW-Default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 w:val="pt-BR"/>
    </w:rPr>
  </w:style>
  <w:style w:type="paragraph" w:styleId="ListParagraph1" w:customStyle="1">
    <w:name w:val="List Paragraph1"/>
    <w:basedOn w:val="Normal"/>
    <w:pPr>
      <w:spacing w:after="0" w:before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styleId="MTDisplayEquation" w:customStyle="1">
    <w:name w:val="MTDisplayEquation"/>
    <w:basedOn w:val="Normal"/>
    <w:next w:val="Normal"/>
    <w:rPr>
      <w:lang w:val="pt-B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WW-Footnote" w:customStyle="1">
    <w:name w:val="WW-Footnote"/>
    <w:basedOn w:val="FootnoteText"/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styleId="StyleNormalWebArialNotBold" w:customStyle="1">
    <w:name w:val="Style Normal (Web) + Arial Not Bold"/>
    <w:basedOn w:val="NormalWeb"/>
    <w:pPr>
      <w:spacing w:after="120" w:before="280" w:line="360" w:lineRule="auto"/>
      <w:ind w:firstLine="706"/>
    </w:pPr>
    <w:rPr>
      <w:rFonts w:ascii="Arial" w:cs="Arial" w:hAnsi="Arial"/>
      <w:color w:val="000000"/>
      <w:lang w:val="pt-BR"/>
    </w:rPr>
  </w:style>
  <w:style w:type="paragraph" w:styleId="StyletituloArial14pt" w:customStyle="1">
    <w:name w:val="Style titulo + Arial 14 pt"/>
    <w:basedOn w:val="Normal"/>
    <w:pPr>
      <w:spacing w:after="120" w:before="240" w:line="336" w:lineRule="atLeast"/>
      <w:ind w:firstLine="0"/>
    </w:pPr>
    <w:rPr>
      <w:rFonts w:ascii="Arial" w:cs="Arial" w:hAnsi="Arial"/>
      <w:b w:val="1"/>
      <w:bCs w:val="1"/>
      <w:color w:val="000000"/>
      <w:sz w:val="28"/>
      <w:szCs w:val="24"/>
      <w:lang w:val="pt-BR"/>
    </w:rPr>
  </w:style>
  <w:style w:type="paragraph" w:styleId="StyleStyleNormalWebArialNotBoldLinespacingsingle" w:customStyle="1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styleId="ListaColorida-nfase11" w:customStyle="1">
    <w:name w:val="Lista Colorida - Ênfase 11"/>
    <w:basedOn w:val="Normal"/>
    <w:pPr>
      <w:spacing w:after="200" w:before="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styleId="Contents10" w:customStyle="1">
    <w:name w:val="Contents 10"/>
    <w:basedOn w:val="Index"/>
    <w:pPr>
      <w:ind w:left="2547" w:firstLine="0"/>
    </w:pPr>
  </w:style>
  <w:style w:type="paragraph" w:styleId="Framecontents" w:customStyle="1">
    <w:name w:val="Frame contents"/>
    <w:basedOn w:val="BodyText"/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Table" w:customStyle="1">
    <w:name w:val="Table"/>
    <w:basedOn w:val="Caption1"/>
  </w:style>
  <w:style w:type="paragraph" w:styleId="Illustration" w:customStyle="1">
    <w:name w:val="Illustration"/>
    <w:basedOn w:val="Caption1"/>
  </w:style>
  <w:style w:type="paragraph" w:styleId="Figure" w:customStyle="1">
    <w:name w:val="Figure"/>
    <w:basedOn w:val="Caption1"/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dnoteText">
    <w:name w:val="endnote text"/>
    <w:basedOn w:val="Normal"/>
    <w:qFormat w:val="1"/>
  </w:style>
  <w:style w:type="character" w:styleId="TextodenotadefimChar" w:customStyle="1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eastAsia="ar-SA" w:val="en-US"/>
    </w:rPr>
  </w:style>
  <w:style w:type="character" w:styleId="EndnoteReference">
    <w:name w:val="end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 w:val="1"/>
  </w:style>
  <w:style w:type="character" w:styleId="TextodecomentrioChar" w:customStyle="1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eastAsia="ar-SA" w:val="en-US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Century Gothic" w:hAnsi="Century Gothic"/>
      <w:b w:val="1"/>
      <w:bCs w:val="1"/>
      <w:w w:val="100"/>
      <w:position w:val="-1"/>
      <w:effect w:val="none"/>
      <w:vertAlign w:val="baseline"/>
      <w:cs w:val="0"/>
      <w:em w:val="none"/>
      <w:lang w:eastAsia="ar-SA" w:val="en-US"/>
    </w:rPr>
  </w:style>
  <w:style w:type="character" w:styleId="CabealhoChar" w:customStyle="1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mailto:diego.silva@ufnt.edu.b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na.oliveira@ufnt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yjpLhlcR+O1V4Co2T/9G6qtsg==">CgMxLjAyCWguM3pueXNoNzIJaC4xZm9iOXRlOAByITFycjhkbjl0N1NfSzhCQTFrWG1FMmhZUHM3SWFzaE53RQ==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2024-10-14T21:42:00Z</dcterms:created>
  <dc:creator>Sergio F. Novaes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  <property fmtid="{D5CDD505-2E9C-101B-9397-08002B2CF9AE}" pid="3" name="_TemplateID">
    <vt:lpwstr>TC060891651033</vt:lpwstr>
  </property>
</Properties>
</file>