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64" w:rsidRDefault="004E5E64" w:rsidP="004E5E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MANEJO DA ENDOCARDITE BACTERIANA MULTIDROGA RESISTENTE</w:t>
      </w:r>
    </w:p>
    <w:p w:rsidR="004E5E64" w:rsidRDefault="004E5E64" w:rsidP="004E5E64">
      <w:pPr>
        <w:rPr>
          <w:b/>
          <w:sz w:val="24"/>
          <w:szCs w:val="24"/>
        </w:rPr>
      </w:pPr>
    </w:p>
    <w:p w:rsidR="004E5E64" w:rsidRDefault="004E5E64" w:rsidP="004E5E64">
      <w:pPr>
        <w:spacing w:line="360" w:lineRule="auto"/>
        <w:jc w:val="both"/>
        <w:rPr>
          <w:color w:val="202124"/>
          <w:sz w:val="24"/>
          <w:szCs w:val="24"/>
        </w:rPr>
      </w:pPr>
      <w:bookmarkStart w:id="0" w:name="_GoBack"/>
      <w:r>
        <w:rPr>
          <w:color w:val="202124"/>
          <w:sz w:val="24"/>
          <w:szCs w:val="24"/>
        </w:rPr>
        <w:t>INTRODUÇÃO:</w:t>
      </w:r>
      <w:r>
        <w:rPr>
          <w:b/>
          <w:color w:val="202124"/>
          <w:sz w:val="24"/>
          <w:szCs w:val="24"/>
        </w:rPr>
        <w:t xml:space="preserve"> </w:t>
      </w:r>
      <w:r>
        <w:rPr>
          <w:sz w:val="24"/>
          <w:szCs w:val="24"/>
        </w:rPr>
        <w:t xml:space="preserve">A Endocardite Bacteriana, doença causada majoritariamente por bactérias do gênero </w:t>
      </w:r>
      <w:r>
        <w:rPr>
          <w:i/>
          <w:sz w:val="24"/>
          <w:szCs w:val="24"/>
        </w:rPr>
        <w:t>Enterococcus</w:t>
      </w:r>
      <w:r>
        <w:rPr>
          <w:sz w:val="24"/>
          <w:szCs w:val="24"/>
        </w:rPr>
        <w:t>, possui grande importância clínica, uma vez que está associada a altas taxas de morbimortalidade. Além disso, as bactérias do gênero supracitado adquiriram, ao passar do tempo, resistência às intervenções medicamentosas típicas, fazendo-se necessário buscar novas formas de combater esses organismos multidrogas resistentes.</w:t>
      </w:r>
      <w:r>
        <w:rPr>
          <w:b/>
          <w:color w:val="202124"/>
          <w:sz w:val="24"/>
          <w:szCs w:val="24"/>
        </w:rPr>
        <w:t xml:space="preserve"> </w:t>
      </w:r>
      <w:r>
        <w:rPr>
          <w:color w:val="202124"/>
          <w:sz w:val="24"/>
          <w:szCs w:val="24"/>
        </w:rPr>
        <w:t>OBJETIVOS:</w:t>
      </w:r>
      <w:r>
        <w:rPr>
          <w:b/>
          <w:color w:val="202124"/>
          <w:sz w:val="24"/>
          <w:szCs w:val="24"/>
        </w:rPr>
        <w:t xml:space="preserve"> </w:t>
      </w:r>
      <w:r>
        <w:rPr>
          <w:color w:val="202124"/>
          <w:sz w:val="24"/>
          <w:szCs w:val="24"/>
        </w:rPr>
        <w:t>Elucidar opções de tratamento frente à endocardite bacteriana multidroga resistente.</w:t>
      </w:r>
      <w:r>
        <w:rPr>
          <w:b/>
          <w:color w:val="202124"/>
          <w:sz w:val="24"/>
          <w:szCs w:val="24"/>
        </w:rPr>
        <w:t xml:space="preserve"> </w:t>
      </w:r>
      <w:r>
        <w:rPr>
          <w:color w:val="202124"/>
          <w:sz w:val="24"/>
          <w:szCs w:val="24"/>
        </w:rPr>
        <w:t>METODOLOGIA:</w:t>
      </w:r>
      <w:r>
        <w:rPr>
          <w:b/>
          <w:color w:val="202124"/>
          <w:sz w:val="24"/>
          <w:szCs w:val="24"/>
        </w:rPr>
        <w:t xml:space="preserve"> </w:t>
      </w:r>
      <w:r>
        <w:rPr>
          <w:sz w:val="24"/>
          <w:szCs w:val="24"/>
        </w:rPr>
        <w:t>Trata-se de uma revisão bibliográfica integrativa da literatura nas bases de dados PubMed e Google Scholar, usando os descritores “management”, “endocarditis”, “multidrug resistant”, “bacterial” e “infective”, aplicando o operador booleano “AND’. Foram selecionados 11 artigos de maior relevância que contemplaram o tema e que se adequaram aos objetivos</w:t>
      </w:r>
      <w:r w:rsidRPr="006355D7">
        <w:rPr>
          <w:sz w:val="24"/>
          <w:szCs w:val="24"/>
        </w:rPr>
        <w:t>.</w:t>
      </w:r>
      <w:r>
        <w:rPr>
          <w:b/>
          <w:color w:val="202124"/>
          <w:sz w:val="24"/>
          <w:szCs w:val="24"/>
        </w:rPr>
        <w:t xml:space="preserve"> </w:t>
      </w:r>
      <w:r>
        <w:rPr>
          <w:color w:val="202124"/>
          <w:sz w:val="24"/>
          <w:szCs w:val="24"/>
        </w:rPr>
        <w:t>RESULTADOS:</w:t>
      </w:r>
      <w:r>
        <w:rPr>
          <w:b/>
          <w:color w:val="202124"/>
          <w:sz w:val="24"/>
          <w:szCs w:val="24"/>
        </w:rPr>
        <w:t xml:space="preserve"> </w:t>
      </w:r>
      <w:r>
        <w:rPr>
          <w:color w:val="202124"/>
          <w:sz w:val="24"/>
          <w:szCs w:val="24"/>
        </w:rPr>
        <w:t xml:space="preserve">O manejo da endocardite bacteriana multidroga resistente depende da </w:t>
      </w:r>
      <w:r>
        <w:rPr>
          <w:color w:val="202124"/>
          <w:sz w:val="24"/>
          <w:szCs w:val="24"/>
        </w:rPr>
        <w:t xml:space="preserve">gênero </w:t>
      </w:r>
      <w:r>
        <w:rPr>
          <w:color w:val="202124"/>
          <w:sz w:val="24"/>
          <w:szCs w:val="24"/>
        </w:rPr>
        <w:t>bacteriano a ser combatido, sendo a duração do tratamento de acordo com a densidade bacteriana. A conduta terapêutica é estabelecida muitas vezes empiricamente com o auxílio de hemocultura. O uso de daptomicina, linezolida, gentamicina e rifampicina é difundido.</w:t>
      </w:r>
      <w:r>
        <w:rPr>
          <w:i/>
          <w:color w:val="202124"/>
          <w:sz w:val="24"/>
          <w:szCs w:val="24"/>
        </w:rPr>
        <w:t xml:space="preserve"> Staphylococcus aureus</w:t>
      </w:r>
      <w:r>
        <w:rPr>
          <w:color w:val="202124"/>
          <w:sz w:val="24"/>
          <w:szCs w:val="24"/>
        </w:rPr>
        <w:t xml:space="preserve"> e </w:t>
      </w:r>
      <w:r>
        <w:rPr>
          <w:i/>
          <w:color w:val="202124"/>
          <w:sz w:val="24"/>
          <w:szCs w:val="24"/>
        </w:rPr>
        <w:t xml:space="preserve">Enterococcus sp. </w:t>
      </w:r>
      <w:r>
        <w:rPr>
          <w:color w:val="202124"/>
          <w:sz w:val="24"/>
          <w:szCs w:val="24"/>
        </w:rPr>
        <w:t>têm seu manejo descrito em literatura com o uso de daptomicina, conjuntamente com rifampicina, ampicilina e gentamicina. Os enterococos são resistentes a betalactâmicos e vancomicina.  Há discordância na literatura quanto ao uso de Linezolida para o tratamento de cocos Gram-positivos multirresistentes. Não há diretrizes bem estabelecidas para o tratamento da endocardite bacteriana multidroga resistente</w:t>
      </w:r>
      <w:r w:rsidRPr="006355D7">
        <w:rPr>
          <w:color w:val="202124"/>
          <w:sz w:val="24"/>
          <w:szCs w:val="24"/>
        </w:rPr>
        <w:t>.</w:t>
      </w:r>
      <w:r>
        <w:rPr>
          <w:color w:val="202124"/>
          <w:sz w:val="24"/>
          <w:szCs w:val="24"/>
        </w:rPr>
        <w:t xml:space="preserve"> CONCLUSÃO: Para o manejo da endocardite bacteriana multidroga resistente, é necessário a pesquisa por doenças infecciosas prováveis ou diagnosticadas e coleta de hemocultura, de forma a se estabelecer qual melhor medicamento a ser introduzido. A duração maior do tratamento é necessária para o combate de grandes densidades bacterianas. No arsenal terapêutico mais utilizado temos linezolida, daptomicina, gentamicina e rifampicina. Ainda não se tem conduta rígida para o tratamento da endocardite bacteriana e estudos ainda devem ser divulgados futuramente.</w:t>
      </w:r>
    </w:p>
    <w:bookmarkEnd w:id="0"/>
    <w:p w:rsidR="004E5E64" w:rsidRDefault="004E5E64" w:rsidP="004E5E64">
      <w:pPr>
        <w:spacing w:line="360" w:lineRule="auto"/>
        <w:jc w:val="both"/>
        <w:rPr>
          <w:color w:val="202124"/>
          <w:sz w:val="24"/>
          <w:szCs w:val="24"/>
        </w:rPr>
      </w:pPr>
    </w:p>
    <w:p w:rsidR="004E5E64" w:rsidRDefault="004E5E64" w:rsidP="004E5E64">
      <w:pPr>
        <w:spacing w:line="360" w:lineRule="auto"/>
        <w:jc w:val="both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 xml:space="preserve">Referências: </w:t>
      </w:r>
    </w:p>
    <w:p w:rsidR="004E5E64" w:rsidRDefault="004E5E64" w:rsidP="004E5E64">
      <w:pPr>
        <w:spacing w:line="360" w:lineRule="auto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lastRenderedPageBreak/>
        <w:t xml:space="preserve">ARIAS, C.A. </w:t>
      </w:r>
      <w:r>
        <w:rPr>
          <w:i/>
          <w:color w:val="202124"/>
          <w:sz w:val="24"/>
          <w:szCs w:val="24"/>
        </w:rPr>
        <w:t>et al</w:t>
      </w:r>
      <w:r>
        <w:rPr>
          <w:color w:val="202124"/>
          <w:sz w:val="24"/>
          <w:szCs w:val="24"/>
        </w:rPr>
        <w:t xml:space="preserve">. Management of multidrug-resistant enterococcal infections. </w:t>
      </w:r>
      <w:r>
        <w:rPr>
          <w:b/>
          <w:color w:val="202124"/>
          <w:sz w:val="24"/>
          <w:szCs w:val="24"/>
        </w:rPr>
        <w:t>Clinical Microbiology and Infection</w:t>
      </w:r>
      <w:r>
        <w:rPr>
          <w:color w:val="202124"/>
          <w:sz w:val="24"/>
          <w:szCs w:val="24"/>
        </w:rPr>
        <w:t>, ano 2010, v. 16, n. 6, p. 555-562, 1 jun. 2010. DOI 10.1111/j.1469-0691.2010.03214.x. Disponível em: https://www.sciencedirect.com/science/article/pii/S1198743X1461689X#!. Acesso em: 16 abr. 2022.</w:t>
      </w:r>
    </w:p>
    <w:p w:rsidR="004E5E64" w:rsidRDefault="004E5E64" w:rsidP="004E5E64">
      <w:pPr>
        <w:spacing w:before="240" w:after="240" w:line="360" w:lineRule="auto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BADDOUR, Larry M. </w:t>
      </w:r>
      <w:r>
        <w:rPr>
          <w:i/>
          <w:color w:val="202124"/>
          <w:sz w:val="24"/>
          <w:szCs w:val="24"/>
        </w:rPr>
        <w:t>et al</w:t>
      </w:r>
      <w:r>
        <w:rPr>
          <w:color w:val="202124"/>
          <w:sz w:val="24"/>
          <w:szCs w:val="24"/>
        </w:rPr>
        <w:t xml:space="preserve">. Infective Endocarditis in Adults: Diagnosis, Antimicrobial Therapy, and Management of Complications. </w:t>
      </w:r>
      <w:r>
        <w:rPr>
          <w:b/>
          <w:color w:val="202124"/>
          <w:sz w:val="24"/>
          <w:szCs w:val="24"/>
        </w:rPr>
        <w:t>Circulation</w:t>
      </w:r>
      <w:r>
        <w:rPr>
          <w:color w:val="202124"/>
          <w:sz w:val="24"/>
          <w:szCs w:val="24"/>
        </w:rPr>
        <w:t>, ano 2015, v. 132, n. 15, p. 1435–1486, 15 set. 2015. DOI 10.1161/CIR.0000000000000296. Disponível em: https://www.ahajournals.org/doi/10.1161/cir.0000000000000296. Acesso em: 16 abr. 2022.</w:t>
      </w:r>
    </w:p>
    <w:p w:rsidR="004E5E64" w:rsidRDefault="004E5E64" w:rsidP="004E5E64">
      <w:pPr>
        <w:spacing w:before="240" w:after="240" w:line="360" w:lineRule="auto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BRANDT, C. M. </w:t>
      </w:r>
      <w:r>
        <w:rPr>
          <w:i/>
          <w:color w:val="202124"/>
          <w:sz w:val="24"/>
          <w:szCs w:val="24"/>
        </w:rPr>
        <w:t>et al</w:t>
      </w:r>
      <w:r>
        <w:rPr>
          <w:color w:val="202124"/>
          <w:sz w:val="24"/>
          <w:szCs w:val="24"/>
        </w:rPr>
        <w:t xml:space="preserve">. Effective treatment of multidrug-resistant enterococcal experimental endocarditis with combinations of cell wall-active agents. </w:t>
      </w:r>
      <w:r>
        <w:rPr>
          <w:b/>
          <w:color w:val="202124"/>
          <w:sz w:val="24"/>
          <w:szCs w:val="24"/>
        </w:rPr>
        <w:t>The Journal of Infectious Diseases</w:t>
      </w:r>
      <w:r>
        <w:rPr>
          <w:color w:val="202124"/>
          <w:sz w:val="24"/>
          <w:szCs w:val="24"/>
        </w:rPr>
        <w:t>, ano 1996, v. 173, n. 4, p. 909-913, 1 abr. 1996. DOI 10.1093/infdis/173.4.909. Disponível em: https://pubmed.ncbi.nlm.nih.gov/8603970/. Acesso em: 16 abr. 2022.</w:t>
      </w:r>
    </w:p>
    <w:p w:rsidR="004E5E64" w:rsidRDefault="004E5E64" w:rsidP="004E5E64">
      <w:pPr>
        <w:spacing w:after="240" w:line="360" w:lineRule="auto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CHOPRA, Teena; KAATZ, Glenn W. Treatment strategies for infective endocarditis. </w:t>
      </w:r>
      <w:r>
        <w:rPr>
          <w:b/>
          <w:color w:val="202124"/>
          <w:sz w:val="24"/>
          <w:szCs w:val="24"/>
        </w:rPr>
        <w:t>Expert Opinion on Pharmacotherapy</w:t>
      </w:r>
      <w:r>
        <w:rPr>
          <w:color w:val="202124"/>
          <w:sz w:val="24"/>
          <w:szCs w:val="24"/>
        </w:rPr>
        <w:t>, [</w:t>
      </w:r>
      <w:r>
        <w:rPr>
          <w:i/>
          <w:color w:val="202124"/>
          <w:sz w:val="24"/>
          <w:szCs w:val="24"/>
        </w:rPr>
        <w:t>S. l.</w:t>
      </w:r>
      <w:r>
        <w:rPr>
          <w:color w:val="202124"/>
          <w:sz w:val="24"/>
          <w:szCs w:val="24"/>
        </w:rPr>
        <w:t>], ano 2022, v. 11, n. 3, p. 345-360, 27 jan. 2010. DOI 10.1517/14656560903496430. Disponível em: https://pubmed.ncbi.nlm.nih.gov/20102302/. Acesso em: 16 abr. 2022.</w:t>
      </w:r>
    </w:p>
    <w:p w:rsidR="004E5E64" w:rsidRDefault="004E5E64" w:rsidP="004E5E64">
      <w:pPr>
        <w:spacing w:before="240" w:after="240" w:line="360" w:lineRule="auto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FALAGAS, Matthew E </w:t>
      </w:r>
      <w:r>
        <w:rPr>
          <w:i/>
          <w:color w:val="202124"/>
          <w:sz w:val="24"/>
          <w:szCs w:val="24"/>
        </w:rPr>
        <w:t>et al</w:t>
      </w:r>
      <w:r>
        <w:rPr>
          <w:color w:val="202124"/>
          <w:sz w:val="24"/>
          <w:szCs w:val="24"/>
        </w:rPr>
        <w:t xml:space="preserve">. Linezolid for the treatment of patients with endocarditis: a systematic review of the published evidence. </w:t>
      </w:r>
      <w:r>
        <w:rPr>
          <w:b/>
          <w:color w:val="202124"/>
          <w:sz w:val="24"/>
          <w:szCs w:val="24"/>
        </w:rPr>
        <w:t>The Journal of antimicrobial chemotherapy</w:t>
      </w:r>
      <w:r>
        <w:rPr>
          <w:color w:val="202124"/>
          <w:sz w:val="24"/>
          <w:szCs w:val="24"/>
        </w:rPr>
        <w:t>, ano 2006, v. 58, n. 2, p. 273-280, 30 maio 2006. DOI 10.1093/jac/dkl219. Disponível em: https://pubmed.ncbi.nlm.nih.gov/16735427/. Acesso em: 16 abr. 2022.</w:t>
      </w:r>
    </w:p>
    <w:p w:rsidR="004E5E64" w:rsidRDefault="004E5E64" w:rsidP="004E5E64">
      <w:pPr>
        <w:spacing w:after="240" w:line="360" w:lineRule="auto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FALAGAS, Matthew E </w:t>
      </w:r>
      <w:r>
        <w:rPr>
          <w:i/>
          <w:color w:val="202124"/>
          <w:sz w:val="24"/>
          <w:szCs w:val="24"/>
        </w:rPr>
        <w:t>et al</w:t>
      </w:r>
      <w:r>
        <w:rPr>
          <w:color w:val="202124"/>
          <w:sz w:val="24"/>
          <w:szCs w:val="24"/>
        </w:rPr>
        <w:t xml:space="preserve">. Daptomycin for endocarditis and/or bacteraemia: a systematic review of the experimental and clinical evidence. </w:t>
      </w:r>
      <w:r>
        <w:rPr>
          <w:b/>
          <w:color w:val="202124"/>
          <w:sz w:val="24"/>
          <w:szCs w:val="24"/>
        </w:rPr>
        <w:t>The Journal of antimicrobial chemotherapy</w:t>
      </w:r>
      <w:r>
        <w:rPr>
          <w:color w:val="202124"/>
          <w:sz w:val="24"/>
          <w:szCs w:val="24"/>
        </w:rPr>
        <w:t>, ano 2007, v. 60, n. 1, p. 7-19, 4 jun. 2007. DOI 10.1093/jac/dkm137. Disponível em: https://pubmed.ncbi.nlm.nih.gov/17550889/. Acesso em: 16 abr. 2022.</w:t>
      </w:r>
    </w:p>
    <w:p w:rsidR="004E5E64" w:rsidRDefault="004E5E64" w:rsidP="004E5E64">
      <w:pPr>
        <w:spacing w:after="240" w:line="360" w:lineRule="auto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lastRenderedPageBreak/>
        <w:t xml:space="preserve">NAHA, Sowjanya </w:t>
      </w:r>
      <w:r>
        <w:rPr>
          <w:i/>
          <w:color w:val="202124"/>
          <w:sz w:val="24"/>
          <w:szCs w:val="24"/>
        </w:rPr>
        <w:t>et al</w:t>
      </w:r>
      <w:r>
        <w:rPr>
          <w:color w:val="202124"/>
          <w:sz w:val="24"/>
          <w:szCs w:val="24"/>
        </w:rPr>
        <w:t xml:space="preserve">. Community-acquired multidrug-resistant Gram-negative bacterial infective endocarditis. </w:t>
      </w:r>
      <w:r>
        <w:rPr>
          <w:b/>
          <w:color w:val="202124"/>
          <w:sz w:val="24"/>
          <w:szCs w:val="24"/>
        </w:rPr>
        <w:t>BMJ case reports</w:t>
      </w:r>
      <w:r>
        <w:rPr>
          <w:color w:val="202124"/>
          <w:sz w:val="24"/>
          <w:szCs w:val="24"/>
        </w:rPr>
        <w:t>, ano 2014, v. 2014, 5 jul. 2014. DOI 10.1136/bcr-2014-204176. Disponível em: https://www.ncbi.nlm.nih.gov/pmc/articles/PMC4127679/. Acesso em: 16 abr. 2022.</w:t>
      </w:r>
    </w:p>
    <w:p w:rsidR="004E5E64" w:rsidRDefault="004E5E64" w:rsidP="004E5E64">
      <w:pPr>
        <w:spacing w:after="240" w:line="360" w:lineRule="auto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PRESCOTT, A. </w:t>
      </w:r>
      <w:r>
        <w:rPr>
          <w:i/>
          <w:color w:val="202124"/>
          <w:sz w:val="24"/>
          <w:szCs w:val="24"/>
        </w:rPr>
        <w:t>et al</w:t>
      </w:r>
      <w:r>
        <w:rPr>
          <w:color w:val="202124"/>
          <w:sz w:val="24"/>
          <w:szCs w:val="24"/>
        </w:rPr>
        <w:t xml:space="preserve">. Ceftolozane-tazobactam in combination with fosfomycin for treatment of MDR/XDR P. aeruginosa infective endocarditis. </w:t>
      </w:r>
      <w:r>
        <w:rPr>
          <w:b/>
          <w:color w:val="202124"/>
          <w:sz w:val="24"/>
          <w:szCs w:val="24"/>
        </w:rPr>
        <w:t>Clinical Infection in Practice</w:t>
      </w:r>
      <w:r>
        <w:rPr>
          <w:color w:val="202124"/>
          <w:sz w:val="24"/>
          <w:szCs w:val="24"/>
        </w:rPr>
        <w:t>, ano 2019, v. 2, n. 15, p. 1435–1486, 15 out. 2019. DOI 10.1016/j.clinpr.2019.100011. Disponível em: https://www.sciencedirect.com/science/article/pii/S2590170219300111?via%3Dihub. Acesso em: 16 abr. 2022.</w:t>
      </w:r>
    </w:p>
    <w:p w:rsidR="004E5E64" w:rsidRDefault="004E5E64" w:rsidP="004E5E64">
      <w:pPr>
        <w:spacing w:after="240" w:line="360" w:lineRule="auto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REYES, M. P. </w:t>
      </w:r>
      <w:r>
        <w:rPr>
          <w:i/>
          <w:color w:val="202124"/>
          <w:sz w:val="24"/>
          <w:szCs w:val="24"/>
        </w:rPr>
        <w:t>et al</w:t>
      </w:r>
      <w:r>
        <w:rPr>
          <w:color w:val="202124"/>
          <w:sz w:val="24"/>
          <w:szCs w:val="24"/>
        </w:rPr>
        <w:t xml:space="preserve">. Gram-Negative Endocarditis. </w:t>
      </w:r>
      <w:r>
        <w:rPr>
          <w:b/>
          <w:color w:val="202124"/>
          <w:sz w:val="24"/>
          <w:szCs w:val="24"/>
        </w:rPr>
        <w:t>Current Infectious Disease Reports</w:t>
      </w:r>
      <w:r>
        <w:rPr>
          <w:color w:val="202124"/>
          <w:sz w:val="24"/>
          <w:szCs w:val="24"/>
        </w:rPr>
        <w:t>, ano 2008, v. 10, n. 4, p. 267 – 274, 11 out. 2008. DOI 10.1007/s11908-008-0044-5. Disponível em: https://pubmed.ncbi.nlm.nih.gov/18765099/. Acesso em: 16 abr. 2022.</w:t>
      </w:r>
    </w:p>
    <w:p w:rsidR="004E5E64" w:rsidRDefault="004E5E64" w:rsidP="004E5E64">
      <w:pPr>
        <w:spacing w:before="240" w:after="240" w:line="360" w:lineRule="auto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SOULE, D.; CLIMO, M. M. A Clinician’s Guide to the Treatment of Vancomycin Resistant Enterococci Bacteremia and Endocarditis. </w:t>
      </w:r>
      <w:r>
        <w:rPr>
          <w:b/>
          <w:color w:val="202124"/>
          <w:sz w:val="24"/>
          <w:szCs w:val="24"/>
        </w:rPr>
        <w:t>Current Treatment Options in Infectious Diseases</w:t>
      </w:r>
      <w:r>
        <w:rPr>
          <w:color w:val="202124"/>
          <w:sz w:val="24"/>
          <w:szCs w:val="24"/>
        </w:rPr>
        <w:t>, ano 2016, v. 8, n. 3, p. 197-207, 28 jun. 2016. DOI 10.1007/s40506-016-0082-8. Disponível em: https://link.springer.com/article/10.1007/s40506-016-0082-8. Acesso em: 16 abr. 2022.</w:t>
      </w:r>
    </w:p>
    <w:p w:rsidR="004E5E64" w:rsidRDefault="004E5E64" w:rsidP="004E5E64">
      <w:pPr>
        <w:spacing w:before="240" w:after="240" w:line="360" w:lineRule="auto"/>
        <w:jc w:val="both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SY, Cheng Len </w:t>
      </w:r>
      <w:r>
        <w:rPr>
          <w:i/>
          <w:color w:val="202124"/>
          <w:sz w:val="24"/>
          <w:szCs w:val="24"/>
        </w:rPr>
        <w:t>et al</w:t>
      </w:r>
      <w:r>
        <w:rPr>
          <w:color w:val="202124"/>
          <w:sz w:val="24"/>
          <w:szCs w:val="24"/>
        </w:rPr>
        <w:t xml:space="preserve">. Recommendations and guidelines for the treatment of infections due to multidrug resistant organisms. </w:t>
      </w:r>
      <w:r>
        <w:rPr>
          <w:b/>
          <w:color w:val="202124"/>
          <w:sz w:val="24"/>
          <w:szCs w:val="24"/>
        </w:rPr>
        <w:t>Journal of Microbiology, Immunology and Infection</w:t>
      </w:r>
      <w:r>
        <w:rPr>
          <w:color w:val="202124"/>
          <w:sz w:val="24"/>
          <w:szCs w:val="24"/>
        </w:rPr>
        <w:t>, ano 2022, 16 mar. 2022. DOI 10.1016/j.jmii.2022.02.001. Disponível em: https://pubmed.ncbi.nlm.nih.gov/35370082/. Acesso em: 16 abr. 2022.</w:t>
      </w:r>
    </w:p>
    <w:p w:rsidR="004E5E64" w:rsidRDefault="004E5E64" w:rsidP="004E5E64">
      <w:pPr>
        <w:spacing w:line="360" w:lineRule="auto"/>
        <w:jc w:val="both"/>
        <w:rPr>
          <w:color w:val="202124"/>
          <w:sz w:val="24"/>
          <w:szCs w:val="24"/>
          <w:shd w:val="clear" w:color="auto" w:fill="F8F9FA"/>
        </w:rPr>
      </w:pPr>
      <w:r>
        <w:rPr>
          <w:b/>
          <w:color w:val="202124"/>
          <w:sz w:val="24"/>
          <w:szCs w:val="24"/>
        </w:rPr>
        <w:t xml:space="preserve">Palavras-chave: </w:t>
      </w:r>
      <w:r>
        <w:rPr>
          <w:color w:val="202124"/>
          <w:sz w:val="24"/>
          <w:szCs w:val="24"/>
        </w:rPr>
        <w:t>manejo, endocardite, multidrogarresistente</w:t>
      </w:r>
      <w:r>
        <w:rPr>
          <w:color w:val="202124"/>
          <w:sz w:val="24"/>
          <w:szCs w:val="24"/>
          <w:shd w:val="clear" w:color="auto" w:fill="F8F9FA"/>
        </w:rPr>
        <w:t xml:space="preserve"> </w:t>
      </w:r>
    </w:p>
    <w:p w:rsidR="004E5E64" w:rsidRDefault="004E5E64" w:rsidP="004E5E64">
      <w:pPr>
        <w:spacing w:line="360" w:lineRule="auto"/>
        <w:jc w:val="both"/>
        <w:rPr>
          <w:b/>
          <w:color w:val="202124"/>
          <w:sz w:val="24"/>
          <w:szCs w:val="24"/>
          <w:shd w:val="clear" w:color="auto" w:fill="F8F9FA"/>
        </w:rPr>
      </w:pPr>
    </w:p>
    <w:p w:rsidR="004E5E64" w:rsidRDefault="004E5E64" w:rsidP="004E5E64">
      <w:pPr>
        <w:spacing w:line="360" w:lineRule="auto"/>
        <w:jc w:val="both"/>
        <w:rPr>
          <w:color w:val="202124"/>
          <w:sz w:val="24"/>
          <w:szCs w:val="24"/>
          <w:shd w:val="clear" w:color="auto" w:fill="F8F9FA"/>
        </w:rPr>
      </w:pPr>
    </w:p>
    <w:p w:rsidR="00BC48C3" w:rsidRDefault="00BC48C3"/>
    <w:sectPr w:rsidR="00BC48C3"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64"/>
    <w:rsid w:val="004E5E64"/>
    <w:rsid w:val="00B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AF69"/>
  <w15:chartTrackingRefBased/>
  <w15:docId w15:val="{6B9853B9-5157-43AC-B151-E2291182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6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Diretoria</cp:lastModifiedBy>
  <cp:revision>1</cp:revision>
  <dcterms:created xsi:type="dcterms:W3CDTF">2022-04-20T23:53:00Z</dcterms:created>
  <dcterms:modified xsi:type="dcterms:W3CDTF">2022-04-20T23:54:00Z</dcterms:modified>
</cp:coreProperties>
</file>