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328"/>
        <w:jc w:val="center"/>
      </w:pPr>
      <w:r>
        <w:rPr/>
        <w:t>Íleo biliar: relato de caso e manejos </w:t>
      </w:r>
      <w:r>
        <w:rPr>
          <w:spacing w:val="-2"/>
        </w:rPr>
        <w:t>cirúrgicos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92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Beatriz.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M.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A.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Testa</w:t>
      </w:r>
      <w:r>
        <w:rPr>
          <w:rFonts w:ascii="Arial" w:hAnsi="Arial"/>
          <w:b/>
          <w:sz w:val="24"/>
          <w:vertAlign w:val="superscript"/>
        </w:rPr>
        <w:t>1</w:t>
      </w:r>
      <w:r>
        <w:rPr>
          <w:rFonts w:ascii="Arial" w:hAnsi="Arial"/>
          <w:b/>
          <w:sz w:val="24"/>
          <w:vertAlign w:val="baseline"/>
        </w:rPr>
        <w:t>,</w:t>
      </w:r>
      <w:r>
        <w:rPr>
          <w:rFonts w:ascii="Arial" w:hAnsi="Arial"/>
          <w:b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Júlia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Assunção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Lívia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J.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Freitas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Humberto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S.</w:t>
      </w:r>
      <w:r>
        <w:rPr>
          <w:spacing w:val="-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França</w:t>
      </w:r>
      <w:r>
        <w:rPr>
          <w:spacing w:val="-2"/>
          <w:sz w:val="24"/>
          <w:vertAlign w:val="superscript"/>
        </w:rPr>
        <w:t>2</w:t>
      </w:r>
    </w:p>
    <w:p>
      <w:pPr>
        <w:pStyle w:val="BodyText"/>
      </w:pPr>
    </w:p>
    <w:p>
      <w:pPr>
        <w:pStyle w:val="BodyText"/>
        <w:ind w:left="141"/>
      </w:pPr>
      <w:r>
        <w:rPr>
          <w:rFonts w:ascii="Arial" w:hAnsi="Arial"/>
          <w:b/>
          <w:vertAlign w:val="superscript"/>
        </w:rPr>
        <w:t>1</w:t>
      </w:r>
      <w:r>
        <w:rPr>
          <w:rFonts w:ascii="Arial" w:hAnsi="Arial"/>
          <w:b/>
          <w:spacing w:val="-27"/>
          <w:vertAlign w:val="baseline"/>
        </w:rPr>
        <w:t> </w:t>
      </w:r>
      <w:r>
        <w:rPr>
          <w:vertAlign w:val="baseline"/>
        </w:rPr>
        <w:t>Faculdade</w:t>
      </w:r>
      <w:r>
        <w:rPr>
          <w:spacing w:val="-2"/>
          <w:vertAlign w:val="baseline"/>
        </w:rPr>
        <w:t> </w:t>
      </w:r>
      <w:r>
        <w:rPr>
          <w:vertAlign w:val="baseline"/>
        </w:rPr>
        <w:t>de Medicina</w:t>
      </w:r>
      <w:r>
        <w:rPr>
          <w:spacing w:val="-1"/>
          <w:vertAlign w:val="baseline"/>
        </w:rPr>
        <w:t> </w:t>
      </w:r>
      <w:r>
        <w:rPr>
          <w:vertAlign w:val="baseline"/>
        </w:rPr>
        <w:t>da</w:t>
      </w:r>
      <w:r>
        <w:rPr>
          <w:spacing w:val="-1"/>
          <w:vertAlign w:val="baseline"/>
        </w:rPr>
        <w:t> </w:t>
      </w:r>
      <w:r>
        <w:rPr>
          <w:vertAlign w:val="baseline"/>
        </w:rPr>
        <w:t>Universidade de</w:t>
      </w:r>
      <w:r>
        <w:rPr>
          <w:spacing w:val="-1"/>
          <w:vertAlign w:val="baseline"/>
        </w:rPr>
        <w:t> </w:t>
      </w:r>
      <w:r>
        <w:rPr>
          <w:vertAlign w:val="baseline"/>
        </w:rPr>
        <w:t>Itaúna,</w:t>
      </w:r>
      <w:r>
        <w:rPr>
          <w:spacing w:val="-1"/>
          <w:vertAlign w:val="baseline"/>
        </w:rPr>
        <w:t> </w:t>
      </w:r>
      <w:r>
        <w:rPr>
          <w:vertAlign w:val="baseline"/>
        </w:rPr>
        <w:t>Minas Gerais,</w:t>
      </w:r>
      <w:r>
        <w:rPr>
          <w:spacing w:val="-1"/>
          <w:vertAlign w:val="baseline"/>
        </w:rPr>
        <w:t> </w:t>
      </w:r>
      <w:r>
        <w:rPr>
          <w:vertAlign w:val="baseline"/>
        </w:rPr>
        <w:t>Brasil,</w:t>
      </w:r>
      <w:r>
        <w:rPr>
          <w:spacing w:val="-1"/>
          <w:vertAlign w:val="baseline"/>
        </w:rPr>
        <w:t> </w:t>
      </w:r>
      <w:r>
        <w:rPr>
          <w:spacing w:val="-4"/>
          <w:vertAlign w:val="baseline"/>
        </w:rPr>
        <w:t>2025</w:t>
      </w:r>
    </w:p>
    <w:p>
      <w:pPr>
        <w:pStyle w:val="BodyText"/>
        <w:ind w:left="141"/>
      </w:pPr>
      <w:r>
        <w:rPr>
          <w:vertAlign w:val="superscript"/>
        </w:rPr>
        <w:t>2</w:t>
      </w:r>
      <w:r>
        <w:rPr>
          <w:spacing w:val="-27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-2"/>
          <w:vertAlign w:val="baseline"/>
        </w:rPr>
        <w:t> </w:t>
      </w:r>
      <w:r>
        <w:rPr>
          <w:vertAlign w:val="baseline"/>
        </w:rPr>
        <w:t>Nossa Senhora</w:t>
      </w:r>
      <w:r>
        <w:rPr>
          <w:spacing w:val="-1"/>
          <w:vertAlign w:val="baseline"/>
        </w:rPr>
        <w:t> </w:t>
      </w:r>
      <w:r>
        <w:rPr>
          <w:vertAlign w:val="baseline"/>
        </w:rPr>
        <w:t>das</w:t>
      </w:r>
      <w:r>
        <w:rPr>
          <w:spacing w:val="-1"/>
          <w:vertAlign w:val="baseline"/>
        </w:rPr>
        <w:t> </w:t>
      </w:r>
      <w:r>
        <w:rPr>
          <w:vertAlign w:val="baseline"/>
        </w:rPr>
        <w:t>Graças, Sete</w:t>
      </w:r>
      <w:r>
        <w:rPr>
          <w:spacing w:val="-1"/>
          <w:vertAlign w:val="baseline"/>
        </w:rPr>
        <w:t> </w:t>
      </w:r>
      <w:r>
        <w:rPr>
          <w:vertAlign w:val="baseline"/>
        </w:rPr>
        <w:t>Lagoas,</w:t>
      </w:r>
      <w:r>
        <w:rPr>
          <w:spacing w:val="-1"/>
          <w:vertAlign w:val="baseline"/>
        </w:rPr>
        <w:t> </w:t>
      </w:r>
      <w:r>
        <w:rPr>
          <w:vertAlign w:val="baseline"/>
        </w:rPr>
        <w:t>Minas Gerais,</w:t>
      </w:r>
      <w:r>
        <w:rPr>
          <w:spacing w:val="-1"/>
          <w:vertAlign w:val="baseline"/>
        </w:rPr>
        <w:t> </w:t>
      </w:r>
      <w:r>
        <w:rPr>
          <w:vertAlign w:val="baseline"/>
        </w:rPr>
        <w:t>Brasil,</w:t>
      </w:r>
      <w:r>
        <w:rPr>
          <w:spacing w:val="-1"/>
          <w:vertAlign w:val="baseline"/>
        </w:rPr>
        <w:t> </w:t>
      </w:r>
      <w:r>
        <w:rPr>
          <w:spacing w:val="-4"/>
          <w:vertAlign w:val="baseline"/>
        </w:rPr>
        <w:t>2025</w:t>
      </w:r>
    </w:p>
    <w:p>
      <w:pPr>
        <w:pStyle w:val="BodyText"/>
        <w:spacing w:before="41"/>
      </w:pPr>
    </w:p>
    <w:p>
      <w:pPr>
        <w:spacing w:before="0"/>
        <w:ind w:left="141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Palavras-Chave: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Colelitíase; Obstrução Intestinal; Laparotomia; Fístula </w:t>
      </w:r>
      <w:r>
        <w:rPr>
          <w:spacing w:val="-2"/>
          <w:sz w:val="24"/>
        </w:rPr>
        <w:t>biliar.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141" w:right="13"/>
        <w:jc w:val="both"/>
      </w:pPr>
      <w:r>
        <w:rPr>
          <w:rFonts w:ascii="Arial" w:hAnsi="Arial"/>
          <w:b/>
        </w:rPr>
        <w:t>INTRODUÇÃO: </w:t>
      </w:r>
      <w:r>
        <w:rPr/>
        <w:t>B.L.J, 53 anos, com colecistectomia videolaparoscópica agendada, deu entrada </w:t>
      </w:r>
      <w:r>
        <w:rPr/>
        <w:t>no pronto-atendimento com distensão abdominal, dor intensa e vômitos. A tomografia evidenciou íleo biliar, com cálculo impactado na transição jejuno-ileal. Optou-se por abordagem em dois tempos. Realizou-se</w:t>
      </w:r>
      <w:r>
        <w:rPr>
          <w:spacing w:val="-3"/>
        </w:rPr>
        <w:t> </w:t>
      </w:r>
      <w:r>
        <w:rPr/>
        <w:t>mini-laparotomia</w:t>
      </w:r>
      <w:r>
        <w:rPr>
          <w:spacing w:val="-3"/>
        </w:rPr>
        <w:t> </w:t>
      </w:r>
      <w:r>
        <w:rPr/>
        <w:t>infraumbilical,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identificação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alças</w:t>
      </w:r>
      <w:r>
        <w:rPr>
          <w:spacing w:val="-3"/>
        </w:rPr>
        <w:t> </w:t>
      </w:r>
      <w:r>
        <w:rPr/>
        <w:t>dilatadas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montante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vazias a jusante. Havia perfuração na borda mesentérica no local de impactação, sendo realizada uma enterectomia segmentar. Outro cálculo menor foi encontrado proximalmente. A paciente evoluiu</w:t>
      </w:r>
      <w:r>
        <w:rPr>
          <w:spacing w:val="40"/>
        </w:rPr>
        <w:t> </w:t>
      </w:r>
      <w:r>
        <w:rPr/>
        <w:t>bem, com alta no 3º dia pós-operatório. Ressonância magnética e endoscopia digestiva alta evidenciou fístula colecistoduodenal na 2ª porção duodenal. Foi programada nova cirurgia por videolaparoscopia com colecistectomia e duodenorrafia. </w:t>
      </w:r>
      <w:r>
        <w:rPr>
          <w:rFonts w:ascii="Arial" w:hAnsi="Arial"/>
          <w:b/>
        </w:rPr>
        <w:t>OBJETIVO: </w:t>
      </w:r>
      <w:r>
        <w:rPr/>
        <w:t>Relatar um caso raro de íleo biliar com abdome agudo perfurativo e revisar as opções terapêuticas na literatura. </w:t>
      </w:r>
      <w:r>
        <w:rPr>
          <w:rFonts w:ascii="Arial" w:hAnsi="Arial"/>
          <w:b/>
        </w:rPr>
        <w:t>MÉTODOS: </w:t>
      </w:r>
      <w:r>
        <w:rPr/>
        <w:t>Realizou-se revisão nas bases PubMed e Scielo, com descritores em português, inglês e</w:t>
      </w:r>
      <w:r>
        <w:rPr>
          <w:spacing w:val="-2"/>
        </w:rPr>
        <w:t> </w:t>
      </w:r>
      <w:r>
        <w:rPr/>
        <w:t>espanhol,</w:t>
      </w:r>
      <w:r>
        <w:rPr>
          <w:spacing w:val="40"/>
        </w:rPr>
        <w:t> </w:t>
      </w:r>
      <w:r>
        <w:rPr/>
        <w:t>a fim de embasar o relato</w:t>
      </w:r>
      <w:r>
        <w:rPr>
          <w:spacing w:val="-5"/>
        </w:rPr>
        <w:t> </w:t>
      </w:r>
      <w:r>
        <w:rPr/>
        <w:t>clínico-cirúrgico</w:t>
      </w:r>
      <w:r>
        <w:rPr>
          <w:spacing w:val="-5"/>
        </w:rPr>
        <w:t> </w:t>
      </w:r>
      <w:r>
        <w:rPr/>
        <w:t>apresentado.</w:t>
      </w:r>
      <w:r>
        <w:rPr>
          <w:spacing w:val="-5"/>
        </w:rPr>
        <w:t> </w:t>
      </w:r>
      <w:r>
        <w:rPr>
          <w:rFonts w:ascii="Arial" w:hAnsi="Arial"/>
          <w:b/>
        </w:rPr>
        <w:t>RESULTADOS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DISCUSSÃO:</w:t>
      </w:r>
      <w:r>
        <w:rPr>
          <w:rFonts w:ascii="Arial" w:hAnsi="Arial"/>
          <w:b/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íleo</w:t>
      </w:r>
      <w:r>
        <w:rPr>
          <w:spacing w:val="-5"/>
        </w:rPr>
        <w:t> </w:t>
      </w:r>
      <w:r>
        <w:rPr/>
        <w:t>biliar é causa incomum de obstrução intestinal mecânica, representando 1-4% dos casos (5). Decorre</w:t>
      </w:r>
      <w:r>
        <w:rPr>
          <w:spacing w:val="-2"/>
        </w:rPr>
        <w:t> </w:t>
      </w:r>
      <w:r>
        <w:rPr/>
        <w:t>de uma fístula bilioentérica, com impacto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cálculo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luz</w:t>
      </w:r>
      <w:r>
        <w:rPr>
          <w:spacing w:val="-3"/>
        </w:rPr>
        <w:t> </w:t>
      </w:r>
      <w:r>
        <w:rPr/>
        <w:t>intestinal.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diagnóstico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desafiador,</w:t>
      </w:r>
      <w:r>
        <w:rPr>
          <w:spacing w:val="-3"/>
        </w:rPr>
        <w:t> </w:t>
      </w:r>
      <w:r>
        <w:rPr/>
        <w:t>devido aos sintomas inespecíficos. A tríade de</w:t>
      </w:r>
      <w:r>
        <w:rPr>
          <w:spacing w:val="-2"/>
        </w:rPr>
        <w:t> </w:t>
      </w:r>
      <w:r>
        <w:rPr/>
        <w:t>Rigler</w:t>
      </w:r>
      <w:r>
        <w:rPr>
          <w:spacing w:val="-2"/>
        </w:rPr>
        <w:t> </w:t>
      </w:r>
      <w:r>
        <w:rPr/>
        <w:t>(pneumobilia,</w:t>
      </w:r>
      <w:r>
        <w:rPr>
          <w:spacing w:val="-2"/>
        </w:rPr>
        <w:t> </w:t>
      </w:r>
      <w:r>
        <w:rPr/>
        <w:t>cálculo</w:t>
      </w:r>
      <w:r>
        <w:rPr>
          <w:spacing w:val="-2"/>
        </w:rPr>
        <w:t> </w:t>
      </w:r>
      <w:r>
        <w:rPr/>
        <w:t>ectópico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distensão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alças)</w:t>
      </w:r>
      <w:r>
        <w:rPr>
          <w:spacing w:val="-2"/>
        </w:rPr>
        <w:t> </w:t>
      </w:r>
      <w:r>
        <w:rPr/>
        <w:t>é característica, mas presente em menos de 50% dos casos (2). O tratamento é cirúrgico, com preferência pela enterolitotomia por</w:t>
      </w:r>
      <w:r>
        <w:rPr>
          <w:spacing w:val="-4"/>
        </w:rPr>
        <w:t> </w:t>
      </w:r>
      <w:r>
        <w:rPr/>
        <w:t>laparotomia.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abordagem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dois</w:t>
      </w:r>
      <w:r>
        <w:rPr>
          <w:spacing w:val="-4"/>
        </w:rPr>
        <w:t> </w:t>
      </w:r>
      <w:r>
        <w:rPr/>
        <w:t>tempos,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colecistectomia e</w:t>
      </w:r>
      <w:r>
        <w:rPr>
          <w:spacing w:val="-2"/>
        </w:rPr>
        <w:t> </w:t>
      </w:r>
      <w:r>
        <w:rPr/>
        <w:t>correção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fístula</w:t>
      </w:r>
      <w:r>
        <w:rPr>
          <w:spacing w:val="-2"/>
        </w:rPr>
        <w:t> </w:t>
      </w:r>
      <w:r>
        <w:rPr/>
        <w:t>após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semanas,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indicada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específicos</w:t>
      </w:r>
      <w:r>
        <w:rPr>
          <w:spacing w:val="-2"/>
        </w:rPr>
        <w:t> </w:t>
      </w:r>
      <w:r>
        <w:rPr/>
        <w:t>(2,3,4).</w:t>
      </w:r>
      <w:r>
        <w:rPr>
          <w:spacing w:val="-2"/>
        </w:rPr>
        <w:t> </w:t>
      </w:r>
      <w:r>
        <w:rPr>
          <w:rFonts w:ascii="Arial" w:hAnsi="Arial"/>
          <w:b/>
        </w:rPr>
        <w:t>CONCLUSÃO:</w:t>
      </w:r>
      <w:r>
        <w:rPr>
          <w:rFonts w:ascii="Arial" w:hAnsi="Arial"/>
          <w:b/>
          <w:spacing w:val="-2"/>
        </w:rPr>
        <w:t> </w:t>
      </w:r>
      <w:r>
        <w:rPr/>
        <w:t>O tratamento do íleo biliar é essencialmente cirúrgico. A enterolitotomia isolada é a técnica mais comum, indicada para pacientes com maior risco cirúrgico. Pacientes estáveis podem ser submetidos à cirurgia em tempo único, com colecistectomia e reparo da fístula. A abordagem em dois tempos é preferida em casos selecionados (3). Técnicas minimamente invasivas, como laparoscopia ou endoscopia, são alternativas em pacientes de alto risco (3, 4).</w:t>
      </w:r>
    </w:p>
    <w:p>
      <w:pPr>
        <w:pStyle w:val="Heading1"/>
        <w:spacing w:before="240"/>
        <w:rPr>
          <w:rFonts w:ascii="Arial MT" w:hAnsi="Arial MT"/>
          <w:b w:val="0"/>
        </w:rPr>
      </w:pPr>
      <w:r>
        <w:rPr>
          <w:spacing w:val="-2"/>
        </w:rPr>
        <w:t>REFERÊNCIAS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BodyText"/>
        <w:spacing w:before="102"/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88" w:lineRule="auto" w:before="0" w:after="0"/>
        <w:ind w:left="141" w:right="948" w:firstLine="0"/>
        <w:jc w:val="left"/>
        <w:rPr>
          <w:sz w:val="22"/>
        </w:rPr>
      </w:pPr>
      <w:r>
        <w:rPr>
          <w:sz w:val="22"/>
        </w:rPr>
        <w:t>Sánchez</w:t>
      </w:r>
      <w:r>
        <w:rPr>
          <w:spacing w:val="-6"/>
          <w:sz w:val="22"/>
        </w:rPr>
        <w:t> </w:t>
      </w:r>
      <w:r>
        <w:rPr>
          <w:sz w:val="22"/>
        </w:rPr>
        <w:t>P,</w:t>
      </w:r>
      <w:r>
        <w:rPr>
          <w:spacing w:val="-6"/>
          <w:sz w:val="22"/>
        </w:rPr>
        <w:t> </w:t>
      </w:r>
      <w:r>
        <w:rPr>
          <w:sz w:val="22"/>
        </w:rPr>
        <w:t>Arámbula</w:t>
      </w:r>
      <w:r>
        <w:rPr>
          <w:spacing w:val="-6"/>
          <w:sz w:val="22"/>
        </w:rPr>
        <w:t> </w:t>
      </w:r>
      <w:r>
        <w:rPr>
          <w:sz w:val="22"/>
        </w:rPr>
        <w:t>AM,</w:t>
      </w:r>
      <w:r>
        <w:rPr>
          <w:spacing w:val="-6"/>
          <w:sz w:val="22"/>
        </w:rPr>
        <w:t> </w:t>
      </w:r>
      <w:r>
        <w:rPr>
          <w:sz w:val="22"/>
        </w:rPr>
        <w:t>Rodríguez</w:t>
      </w:r>
      <w:r>
        <w:rPr>
          <w:spacing w:val="-6"/>
          <w:sz w:val="22"/>
        </w:rPr>
        <w:t> </w:t>
      </w:r>
      <w:r>
        <w:rPr>
          <w:sz w:val="22"/>
        </w:rPr>
        <w:t>A,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al.</w:t>
      </w:r>
      <w:r>
        <w:rPr>
          <w:spacing w:val="-6"/>
          <w:sz w:val="22"/>
        </w:rPr>
        <w:t> </w:t>
      </w:r>
      <w:r>
        <w:rPr>
          <w:sz w:val="22"/>
        </w:rPr>
        <w:t>Íleo</w:t>
      </w:r>
      <w:r>
        <w:rPr>
          <w:spacing w:val="-6"/>
          <w:sz w:val="22"/>
        </w:rPr>
        <w:t> </w:t>
      </w:r>
      <w:r>
        <w:rPr>
          <w:sz w:val="22"/>
        </w:rPr>
        <w:t>biliar:</w:t>
      </w:r>
      <w:r>
        <w:rPr>
          <w:spacing w:val="-6"/>
          <w:sz w:val="22"/>
        </w:rPr>
        <w:t> </w:t>
      </w:r>
      <w:r>
        <w:rPr>
          <w:sz w:val="22"/>
        </w:rPr>
        <w:t>revisión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tratamiento</w:t>
      </w:r>
      <w:r>
        <w:rPr>
          <w:spacing w:val="-6"/>
          <w:sz w:val="22"/>
        </w:rPr>
        <w:t> </w:t>
      </w:r>
      <w:r>
        <w:rPr>
          <w:sz w:val="22"/>
        </w:rPr>
        <w:t>quirúrgico.</w:t>
      </w:r>
      <w:r>
        <w:rPr>
          <w:spacing w:val="-6"/>
          <w:sz w:val="22"/>
        </w:rPr>
        <w:t> </w:t>
      </w:r>
      <w:r>
        <w:rPr>
          <w:sz w:val="22"/>
        </w:rPr>
        <w:t>Cir</w:t>
      </w:r>
      <w:r>
        <w:rPr>
          <w:spacing w:val="-6"/>
          <w:sz w:val="22"/>
        </w:rPr>
        <w:t> </w:t>
      </w:r>
      <w:r>
        <w:rPr>
          <w:sz w:val="22"/>
        </w:rPr>
        <w:t>Cir. </w:t>
      </w:r>
      <w:r>
        <w:rPr>
          <w:spacing w:val="-2"/>
          <w:sz w:val="22"/>
        </w:rPr>
        <w:t>2018;86(3):280–5.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88" w:lineRule="auto" w:before="0" w:after="0"/>
        <w:ind w:left="141" w:right="500" w:firstLine="0"/>
        <w:jc w:val="left"/>
        <w:rPr>
          <w:sz w:val="22"/>
        </w:rPr>
      </w:pPr>
      <w:r>
        <w:rPr>
          <w:sz w:val="22"/>
        </w:rPr>
        <w:t>Torres-Villalobos</w:t>
      </w:r>
      <w:r>
        <w:rPr>
          <w:spacing w:val="-7"/>
          <w:sz w:val="22"/>
        </w:rPr>
        <w:t> </w:t>
      </w:r>
      <w:r>
        <w:rPr>
          <w:sz w:val="22"/>
        </w:rPr>
        <w:t>G,</w:t>
      </w:r>
      <w:r>
        <w:rPr>
          <w:spacing w:val="-7"/>
          <w:sz w:val="22"/>
        </w:rPr>
        <w:t> </w:t>
      </w:r>
      <w:r>
        <w:rPr>
          <w:sz w:val="22"/>
        </w:rPr>
        <w:t>Roldán-Valadez</w:t>
      </w:r>
      <w:r>
        <w:rPr>
          <w:spacing w:val="-7"/>
          <w:sz w:val="22"/>
        </w:rPr>
        <w:t> </w:t>
      </w:r>
      <w:r>
        <w:rPr>
          <w:sz w:val="22"/>
        </w:rPr>
        <w:t>E,</w:t>
      </w:r>
      <w:r>
        <w:rPr>
          <w:spacing w:val="-7"/>
          <w:sz w:val="22"/>
        </w:rPr>
        <w:t> </w:t>
      </w:r>
      <w:r>
        <w:rPr>
          <w:sz w:val="22"/>
        </w:rPr>
        <w:t>Díaz-Elizondo</w:t>
      </w:r>
      <w:r>
        <w:rPr>
          <w:spacing w:val="-7"/>
          <w:sz w:val="22"/>
        </w:rPr>
        <w:t> </w:t>
      </w:r>
      <w:r>
        <w:rPr>
          <w:sz w:val="22"/>
        </w:rPr>
        <w:t>JA,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7"/>
          <w:sz w:val="22"/>
        </w:rPr>
        <w:t> </w:t>
      </w:r>
      <w:r>
        <w:rPr>
          <w:sz w:val="22"/>
        </w:rPr>
        <w:t>al.</w:t>
      </w:r>
      <w:r>
        <w:rPr>
          <w:spacing w:val="-7"/>
          <w:sz w:val="22"/>
        </w:rPr>
        <w:t> </w:t>
      </w:r>
      <w:r>
        <w:rPr>
          <w:sz w:val="22"/>
        </w:rPr>
        <w:t>Obstrucción</w:t>
      </w:r>
      <w:r>
        <w:rPr>
          <w:spacing w:val="-7"/>
          <w:sz w:val="22"/>
        </w:rPr>
        <w:t> </w:t>
      </w:r>
      <w:r>
        <w:rPr>
          <w:sz w:val="22"/>
        </w:rPr>
        <w:t>intestinal</w:t>
      </w:r>
      <w:r>
        <w:rPr>
          <w:spacing w:val="-7"/>
          <w:sz w:val="22"/>
        </w:rPr>
        <w:t> </w:t>
      </w:r>
      <w:r>
        <w:rPr>
          <w:sz w:val="22"/>
        </w:rPr>
        <w:t>secundaria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íleo biliar: reporte de caso. Cir Cir. 2022;90(3):412–6..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88" w:lineRule="auto" w:before="0" w:after="0"/>
        <w:ind w:left="141" w:right="529" w:firstLine="0"/>
        <w:jc w:val="left"/>
        <w:rPr>
          <w:sz w:val="22"/>
        </w:rPr>
      </w:pPr>
      <w:r>
        <w:rPr>
          <w:sz w:val="22"/>
        </w:rPr>
        <w:t>Clavijo-Alvarez</w:t>
      </w:r>
      <w:r>
        <w:rPr>
          <w:spacing w:val="-3"/>
          <w:sz w:val="22"/>
        </w:rPr>
        <w:t> </w:t>
      </w:r>
      <w:r>
        <w:rPr>
          <w:sz w:val="22"/>
        </w:rPr>
        <w:t>JA,</w:t>
      </w:r>
      <w:r>
        <w:rPr>
          <w:spacing w:val="-3"/>
          <w:sz w:val="22"/>
        </w:rPr>
        <w:t> </w:t>
      </w:r>
      <w:r>
        <w:rPr>
          <w:sz w:val="22"/>
        </w:rPr>
        <w:t>Holguín-Holguín</w:t>
      </w:r>
      <w:r>
        <w:rPr>
          <w:spacing w:val="-3"/>
          <w:sz w:val="22"/>
        </w:rPr>
        <w:t> </w:t>
      </w:r>
      <w:r>
        <w:rPr>
          <w:sz w:val="22"/>
        </w:rPr>
        <w:t>DA,</w:t>
      </w:r>
      <w:r>
        <w:rPr>
          <w:spacing w:val="-3"/>
          <w:sz w:val="22"/>
        </w:rPr>
        <w:t> </w:t>
      </w:r>
      <w:r>
        <w:rPr>
          <w:sz w:val="22"/>
        </w:rPr>
        <w:t>Restrepo-García</w:t>
      </w:r>
      <w:r>
        <w:rPr>
          <w:spacing w:val="-3"/>
          <w:sz w:val="22"/>
        </w:rPr>
        <w:t> </w:t>
      </w:r>
      <w:r>
        <w:rPr>
          <w:sz w:val="22"/>
        </w:rPr>
        <w:t>DA,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al.</w:t>
      </w:r>
      <w:r>
        <w:rPr>
          <w:spacing w:val="-3"/>
          <w:sz w:val="22"/>
        </w:rPr>
        <w:t> </w:t>
      </w:r>
      <w:r>
        <w:rPr>
          <w:sz w:val="22"/>
        </w:rPr>
        <w:t>Gallstone</w:t>
      </w:r>
      <w:r>
        <w:rPr>
          <w:spacing w:val="-3"/>
          <w:sz w:val="22"/>
        </w:rPr>
        <w:t> </w:t>
      </w:r>
      <w:r>
        <w:rPr>
          <w:sz w:val="22"/>
        </w:rPr>
        <w:t>ileus: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overview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 literature. Rev Gastroenterol Mex. 2017;82(1):65–71.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88" w:lineRule="auto" w:before="0" w:after="0"/>
        <w:ind w:left="141" w:right="370" w:firstLine="0"/>
        <w:jc w:val="left"/>
        <w:rPr>
          <w:sz w:val="22"/>
        </w:rPr>
      </w:pPr>
      <w:r>
        <w:rPr>
          <w:sz w:val="22"/>
        </w:rPr>
        <w:t>Utrabo</w:t>
      </w:r>
      <w:r>
        <w:rPr>
          <w:spacing w:val="-5"/>
          <w:sz w:val="22"/>
        </w:rPr>
        <w:t> </w:t>
      </w:r>
      <w:r>
        <w:rPr>
          <w:sz w:val="22"/>
        </w:rPr>
        <w:t>CAL,</w:t>
      </w:r>
      <w:r>
        <w:rPr>
          <w:spacing w:val="-5"/>
          <w:sz w:val="22"/>
        </w:rPr>
        <w:t> </w:t>
      </w:r>
      <w:r>
        <w:rPr>
          <w:sz w:val="22"/>
        </w:rPr>
        <w:t>Marchi</w:t>
      </w:r>
      <w:r>
        <w:rPr>
          <w:spacing w:val="-5"/>
          <w:sz w:val="22"/>
        </w:rPr>
        <w:t> </w:t>
      </w:r>
      <w:r>
        <w:rPr>
          <w:sz w:val="22"/>
        </w:rPr>
        <w:t>AF,</w:t>
      </w:r>
      <w:r>
        <w:rPr>
          <w:spacing w:val="-5"/>
          <w:sz w:val="22"/>
        </w:rPr>
        <w:t> </w:t>
      </w:r>
      <w:r>
        <w:rPr>
          <w:sz w:val="22"/>
        </w:rPr>
        <w:t>Henry</w:t>
      </w:r>
      <w:r>
        <w:rPr>
          <w:spacing w:val="-5"/>
          <w:sz w:val="22"/>
        </w:rPr>
        <w:t> </w:t>
      </w:r>
      <w:r>
        <w:rPr>
          <w:sz w:val="22"/>
        </w:rPr>
        <w:t>MAE,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al.</w:t>
      </w:r>
      <w:r>
        <w:rPr>
          <w:spacing w:val="-5"/>
          <w:sz w:val="22"/>
        </w:rPr>
        <w:t> </w:t>
      </w:r>
      <w:r>
        <w:rPr>
          <w:sz w:val="22"/>
        </w:rPr>
        <w:t>Abdome</w:t>
      </w:r>
      <w:r>
        <w:rPr>
          <w:spacing w:val="-5"/>
          <w:sz w:val="22"/>
        </w:rPr>
        <w:t> </w:t>
      </w:r>
      <w:r>
        <w:rPr>
          <w:sz w:val="22"/>
        </w:rPr>
        <w:t>agudo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obstrução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íleo</w:t>
      </w:r>
      <w:r>
        <w:rPr>
          <w:spacing w:val="-5"/>
          <w:sz w:val="22"/>
        </w:rPr>
        <w:t> </w:t>
      </w:r>
      <w:r>
        <w:rPr>
          <w:sz w:val="22"/>
        </w:rPr>
        <w:t>biliar.</w:t>
      </w:r>
      <w:r>
        <w:rPr>
          <w:spacing w:val="-5"/>
          <w:sz w:val="22"/>
        </w:rPr>
        <w:t> </w:t>
      </w:r>
      <w:r>
        <w:rPr>
          <w:sz w:val="22"/>
        </w:rPr>
        <w:t>Rev</w:t>
      </w:r>
      <w:r>
        <w:rPr>
          <w:spacing w:val="-5"/>
          <w:sz w:val="22"/>
        </w:rPr>
        <w:t> </w:t>
      </w:r>
      <w:r>
        <w:rPr>
          <w:sz w:val="22"/>
        </w:rPr>
        <w:t>Col</w:t>
      </w:r>
      <w:r>
        <w:rPr>
          <w:spacing w:val="-5"/>
          <w:sz w:val="22"/>
        </w:rPr>
        <w:t> </w:t>
      </w:r>
      <w:r>
        <w:rPr>
          <w:sz w:val="22"/>
        </w:rPr>
        <w:t>Bras</w:t>
      </w:r>
      <w:r>
        <w:rPr>
          <w:spacing w:val="-5"/>
          <w:sz w:val="22"/>
        </w:rPr>
        <w:t> </w:t>
      </w:r>
      <w:r>
        <w:rPr>
          <w:sz w:val="22"/>
        </w:rPr>
        <w:t>Cir. </w:t>
      </w:r>
      <w:r>
        <w:rPr>
          <w:spacing w:val="-2"/>
          <w:sz w:val="22"/>
        </w:rPr>
        <w:t>2013;40(4):323–5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88" w:lineRule="auto" w:before="0" w:after="0"/>
        <w:ind w:left="141" w:right="691" w:firstLine="0"/>
        <w:jc w:val="left"/>
        <w:rPr>
          <w:sz w:val="22"/>
        </w:rPr>
      </w:pPr>
      <w:r>
        <w:rPr>
          <w:sz w:val="22"/>
        </w:rPr>
        <w:t>Silva</w:t>
      </w:r>
      <w:r>
        <w:rPr>
          <w:spacing w:val="-3"/>
          <w:sz w:val="22"/>
        </w:rPr>
        <w:t> </w:t>
      </w:r>
      <w:r>
        <w:rPr>
          <w:sz w:val="22"/>
        </w:rPr>
        <w:t>FVD,</w:t>
      </w:r>
      <w:r>
        <w:rPr>
          <w:spacing w:val="-3"/>
          <w:sz w:val="22"/>
        </w:rPr>
        <w:t> </w:t>
      </w:r>
      <w:r>
        <w:rPr>
          <w:sz w:val="22"/>
        </w:rPr>
        <w:t>Carvalho</w:t>
      </w:r>
      <w:r>
        <w:rPr>
          <w:spacing w:val="-3"/>
          <w:sz w:val="22"/>
        </w:rPr>
        <w:t> </w:t>
      </w:r>
      <w:r>
        <w:rPr>
          <w:sz w:val="22"/>
        </w:rPr>
        <w:t>RVH,</w:t>
      </w:r>
      <w:r>
        <w:rPr>
          <w:spacing w:val="-3"/>
          <w:sz w:val="22"/>
        </w:rPr>
        <w:t> </w:t>
      </w:r>
      <w:r>
        <w:rPr>
          <w:sz w:val="22"/>
        </w:rPr>
        <w:t>Barbosa</w:t>
      </w:r>
      <w:r>
        <w:rPr>
          <w:spacing w:val="-3"/>
          <w:sz w:val="22"/>
        </w:rPr>
        <w:t> </w:t>
      </w:r>
      <w:r>
        <w:rPr>
          <w:sz w:val="22"/>
        </w:rPr>
        <w:t>ABM,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al.</w:t>
      </w:r>
      <w:r>
        <w:rPr>
          <w:spacing w:val="-3"/>
          <w:sz w:val="22"/>
        </w:rPr>
        <w:t> </w:t>
      </w:r>
      <w:r>
        <w:rPr>
          <w:sz w:val="22"/>
        </w:rPr>
        <w:t>Íleo</w:t>
      </w:r>
      <w:r>
        <w:rPr>
          <w:spacing w:val="-3"/>
          <w:sz w:val="22"/>
        </w:rPr>
        <w:t> </w:t>
      </w:r>
      <w:r>
        <w:rPr>
          <w:sz w:val="22"/>
        </w:rPr>
        <w:t>biliar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uma</w:t>
      </w:r>
      <w:r>
        <w:rPr>
          <w:spacing w:val="-3"/>
          <w:sz w:val="22"/>
        </w:rPr>
        <w:t> </w:t>
      </w:r>
      <w:r>
        <w:rPr>
          <w:sz w:val="22"/>
        </w:rPr>
        <w:t>complicação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doença</w:t>
      </w:r>
      <w:r>
        <w:rPr>
          <w:spacing w:val="-3"/>
          <w:sz w:val="22"/>
        </w:rPr>
        <w:t> </w:t>
      </w:r>
      <w:r>
        <w:rPr>
          <w:sz w:val="22"/>
        </w:rPr>
        <w:t>calculosa</w:t>
      </w:r>
      <w:r>
        <w:rPr>
          <w:spacing w:val="-3"/>
          <w:sz w:val="22"/>
        </w:rPr>
        <w:t> </w:t>
      </w:r>
      <w:r>
        <w:rPr>
          <w:sz w:val="22"/>
        </w:rPr>
        <w:t>da vesícula biliar. Rev Col Bras Cir. 2010;37(1):46–9</w:t>
      </w:r>
    </w:p>
    <w:sectPr>
      <w:type w:val="continuous"/>
      <w:pgSz w:w="11920" w:h="16860"/>
      <w:pgMar w:top="480" w:bottom="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1" w:hanging="245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8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7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6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4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3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2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1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9" w:hanging="24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1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1" w:right="37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OFICIAL CONGRESSO CIRURGIA ANO - Google Drive</dc:title>
  <dcterms:created xsi:type="dcterms:W3CDTF">2025-04-14T18:09:40Z</dcterms:created>
  <dcterms:modified xsi:type="dcterms:W3CDTF">2025-04-14T18:09:40Z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2025-04-14T00:00:00Z</vt:filetime>
  </property>
  <property fmtid="{D5CDD505-2E9C-101B-9397-08002B2CF9AE}" pid="5" name="Producer">
    <vt:lpwstr>Skia/PDF m134</vt:lpwstr>
  </property>
</Properties>
</file>