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677553F3" w:rsidR="002E6040" w:rsidRPr="0066214D" w:rsidRDefault="00FD5F01" w:rsidP="0066214D">
      <w:pPr>
        <w:pStyle w:val="ABN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SARCOPENIA: ALTERAÇÕES INFLAMATÓRIAS E CONSEQUÊNCIAS NO ENVELHECIMENTO</w:t>
      </w:r>
    </w:p>
    <w:p w14:paraId="7EDDAB54" w14:textId="3D2E9529" w:rsidR="002E6040" w:rsidRPr="00E25E3F" w:rsidRDefault="00BB19AC" w:rsidP="00F13A35">
      <w:pPr>
        <w:pStyle w:val="ABNT"/>
        <w:jc w:val="right"/>
        <w:rPr>
          <w:sz w:val="20"/>
          <w:szCs w:val="20"/>
        </w:rPr>
      </w:pPr>
      <w:r w:rsidRPr="00BB19AC">
        <w:rPr>
          <w:sz w:val="20"/>
          <w:szCs w:val="20"/>
        </w:rPr>
        <w:t>Gabryela Rodrigues Gonçalves</w:t>
      </w:r>
      <w:r w:rsidR="0066214D">
        <w:rPr>
          <w:sz w:val="20"/>
          <w:szCs w:val="20"/>
        </w:rPr>
        <w:t>, Samara</w:t>
      </w:r>
      <w:r w:rsidR="002E6040" w:rsidRPr="00E25E3F">
        <w:rPr>
          <w:sz w:val="20"/>
          <w:szCs w:val="20"/>
        </w:rPr>
        <w:t>¹</w:t>
      </w:r>
    </w:p>
    <w:p w14:paraId="19029FEB" w14:textId="5CA1D218" w:rsidR="002E6040" w:rsidRPr="00E25E3F" w:rsidRDefault="00BB19AC" w:rsidP="00F13A35">
      <w:pPr>
        <w:pStyle w:val="ABNT"/>
        <w:jc w:val="right"/>
        <w:rPr>
          <w:sz w:val="20"/>
          <w:szCs w:val="20"/>
          <w:vertAlign w:val="superscript"/>
        </w:rPr>
      </w:pPr>
      <w:r w:rsidRPr="00BB19AC">
        <w:rPr>
          <w:sz w:val="20"/>
          <w:szCs w:val="20"/>
        </w:rPr>
        <w:t>Giovanna Rodrigues Gonçalves</w:t>
      </w:r>
      <w:r w:rsidR="0066214D">
        <w:rPr>
          <w:sz w:val="20"/>
          <w:szCs w:val="20"/>
        </w:rPr>
        <w:t>, Sarah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46FCC25E" w:rsidR="002E6040" w:rsidRDefault="00FA4FCE" w:rsidP="00F13A35">
      <w:pPr>
        <w:pStyle w:val="ABNT"/>
        <w:jc w:val="right"/>
        <w:rPr>
          <w:sz w:val="20"/>
          <w:szCs w:val="20"/>
          <w:vertAlign w:val="superscript"/>
        </w:rPr>
      </w:pPr>
      <w:r w:rsidRPr="00FA4FCE">
        <w:rPr>
          <w:sz w:val="20"/>
          <w:szCs w:val="20"/>
        </w:rPr>
        <w:t>Prado de Azevedo Antunes</w:t>
      </w:r>
      <w:r w:rsidR="00F13A35" w:rsidRPr="00FA4FCE">
        <w:rPr>
          <w:sz w:val="20"/>
          <w:szCs w:val="20"/>
        </w:rPr>
        <w:t>,</w:t>
      </w:r>
      <w:r w:rsidR="002E6040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Alice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7D1EFED8" w14:textId="587100A5" w:rsidR="0066214D" w:rsidRPr="0066214D" w:rsidRDefault="00DE65AC" w:rsidP="0066214D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Spacassassi Centurió</w:t>
      </w:r>
      <w:r w:rsidRPr="00DE65AC">
        <w:rPr>
          <w:sz w:val="20"/>
          <w:szCs w:val="20"/>
        </w:rPr>
        <w:t>n</w:t>
      </w:r>
      <w:r w:rsidR="0066214D">
        <w:rPr>
          <w:sz w:val="20"/>
          <w:szCs w:val="20"/>
        </w:rPr>
        <w:t>,</w:t>
      </w:r>
      <w:r w:rsidR="00F13A35" w:rsidRPr="00E25E3F">
        <w:rPr>
          <w:sz w:val="20"/>
          <w:szCs w:val="20"/>
        </w:rPr>
        <w:t xml:space="preserve"> </w:t>
      </w:r>
      <w:r>
        <w:rPr>
          <w:sz w:val="20"/>
          <w:szCs w:val="20"/>
        </w:rPr>
        <w:t>Daniella</w:t>
      </w:r>
      <w:r w:rsidR="00F13A35">
        <w:rPr>
          <w:sz w:val="20"/>
          <w:szCs w:val="20"/>
          <w:vertAlign w:val="superscript"/>
        </w:rPr>
        <w:t xml:space="preserve">4 </w:t>
      </w:r>
    </w:p>
    <w:p w14:paraId="6CD2E189" w14:textId="4499FAEB" w:rsidR="002E6040" w:rsidRPr="00684F37" w:rsidRDefault="00BA1FEA" w:rsidP="00BA1F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FE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</w:t>
      </w:r>
      <w:r w:rsidR="00684F37" w:rsidRPr="00684F37">
        <w:rPr>
          <w:rFonts w:ascii="Times New Roman" w:hAnsi="Times New Roman" w:cs="Times New Roman"/>
          <w:sz w:val="24"/>
          <w:szCs w:val="24"/>
        </w:rPr>
        <w:t xml:space="preserve">A sarcopenia caracteriza-se pela perda da massa e da função do musculo esqueleto, de forma progressiva e generalizada, associada ao processo de envelhecimento. Nesse contexto, com o aumento da expectativa de vida, é necessário compreender fenômenos relacionados a incidência da sarcopenia, a fim de promover assistência à saúde direcionada ao idoso.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</w:t>
      </w:r>
      <w:r w:rsidR="00684F37" w:rsidRPr="00684F37"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FD5F01" w:rsidRPr="00FD5F01">
        <w:rPr>
          <w:rFonts w:ascii="Times New Roman" w:hAnsi="Times New Roman" w:cs="Times New Roman"/>
          <w:sz w:val="24"/>
          <w:szCs w:val="24"/>
        </w:rPr>
        <w:t xml:space="preserve">a interação entre alterações </w:t>
      </w:r>
      <w:r w:rsidR="00FD5F01">
        <w:rPr>
          <w:rFonts w:ascii="Times New Roman" w:hAnsi="Times New Roman" w:cs="Times New Roman"/>
          <w:sz w:val="24"/>
          <w:szCs w:val="24"/>
        </w:rPr>
        <w:t xml:space="preserve">inflamatórias </w:t>
      </w:r>
      <w:r w:rsidR="00FD5F01" w:rsidRPr="00FD5F01">
        <w:rPr>
          <w:rFonts w:ascii="Times New Roman" w:hAnsi="Times New Roman" w:cs="Times New Roman"/>
          <w:sz w:val="24"/>
          <w:szCs w:val="24"/>
        </w:rPr>
        <w:t>e sarcopenia, suas conseq</w:t>
      </w:r>
      <w:r w:rsidR="00FD5F01">
        <w:rPr>
          <w:rFonts w:ascii="Times New Roman" w:hAnsi="Times New Roman" w:cs="Times New Roman"/>
          <w:sz w:val="24"/>
          <w:szCs w:val="24"/>
        </w:rPr>
        <w:t>u</w:t>
      </w:r>
      <w:r w:rsidR="00FD5F01" w:rsidRPr="00FD5F01">
        <w:rPr>
          <w:rFonts w:ascii="Times New Roman" w:hAnsi="Times New Roman" w:cs="Times New Roman"/>
          <w:sz w:val="24"/>
          <w:szCs w:val="24"/>
        </w:rPr>
        <w:t>ências no envelhecimento e possíveis intervenções</w:t>
      </w:r>
      <w:r w:rsidR="00FD5F01">
        <w:rPr>
          <w:rFonts w:ascii="Times New Roman" w:hAnsi="Times New Roman" w:cs="Times New Roman"/>
          <w:sz w:val="24"/>
          <w:szCs w:val="24"/>
        </w:rPr>
        <w:t>.</w:t>
      </w:r>
      <w:r w:rsidR="005B153B">
        <w:rPr>
          <w:rFonts w:ascii="Times New Roman" w:hAnsi="Times New Roman" w:cs="Times New Roman"/>
          <w:sz w:val="24"/>
          <w:szCs w:val="24"/>
        </w:rPr>
        <w:t xml:space="preserve">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BA1FEA">
        <w:rPr>
          <w:rFonts w:ascii="Times New Roman" w:hAnsi="Times New Roman" w:cs="Times New Roman"/>
          <w:sz w:val="24"/>
          <w:szCs w:val="24"/>
        </w:rPr>
        <w:t xml:space="preserve"> Trata-se de uma revisão narrativa da literatura, na qual foram utilizadas as bases de dados do </w:t>
      </w:r>
      <w:r w:rsidR="00636F69" w:rsidRPr="00BA1FEA">
        <w:rPr>
          <w:rFonts w:ascii="Times New Roman" w:hAnsi="Times New Roman" w:cs="Times New Roman"/>
          <w:sz w:val="24"/>
          <w:szCs w:val="24"/>
        </w:rPr>
        <w:t>SciELO</w:t>
      </w:r>
      <w:r w:rsidRPr="00BA1FEA">
        <w:rPr>
          <w:rFonts w:ascii="Times New Roman" w:hAnsi="Times New Roman" w:cs="Times New Roman"/>
          <w:sz w:val="24"/>
          <w:szCs w:val="24"/>
        </w:rPr>
        <w:t xml:space="preserve"> e PubMed conforme os seguintes critérios de inclusão: (1) língua inglesa e portuguesa, (2) intervalo de tempo de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A1FEA">
        <w:rPr>
          <w:rFonts w:ascii="Times New Roman" w:hAnsi="Times New Roman" w:cs="Times New Roman"/>
          <w:sz w:val="24"/>
          <w:szCs w:val="24"/>
        </w:rPr>
        <w:t xml:space="preserve"> a 202</w:t>
      </w:r>
      <w:r w:rsidR="00BE4A69">
        <w:rPr>
          <w:rFonts w:ascii="Times New Roman" w:hAnsi="Times New Roman" w:cs="Times New Roman"/>
          <w:sz w:val="24"/>
          <w:szCs w:val="24"/>
        </w:rPr>
        <w:t>0</w:t>
      </w:r>
      <w:r w:rsidRPr="00BA1FEA">
        <w:rPr>
          <w:rFonts w:ascii="Times New Roman" w:hAnsi="Times New Roman" w:cs="Times New Roman"/>
          <w:sz w:val="24"/>
          <w:szCs w:val="24"/>
        </w:rPr>
        <w:t xml:space="preserve"> e (3) relevância do artigo, usando as seguintes palavras chaves:</w:t>
      </w:r>
      <w:r w:rsidR="00E364D7">
        <w:rPr>
          <w:rFonts w:ascii="Times New Roman" w:hAnsi="Times New Roman" w:cs="Times New Roman"/>
          <w:sz w:val="24"/>
          <w:szCs w:val="24"/>
        </w:rPr>
        <w:t xml:space="preserve"> sarcopenia</w:t>
      </w:r>
      <w:r>
        <w:rPr>
          <w:rFonts w:ascii="Times New Roman" w:hAnsi="Times New Roman" w:cs="Times New Roman"/>
          <w:sz w:val="24"/>
          <w:szCs w:val="24"/>
        </w:rPr>
        <w:t xml:space="preserve">, fator preditor, sistema musculoesquelético. </w:t>
      </w:r>
      <w:r w:rsidRPr="00BA1FEA">
        <w:rPr>
          <w:rFonts w:ascii="Times New Roman" w:hAnsi="Times New Roman" w:cs="Times New Roman"/>
          <w:sz w:val="24"/>
          <w:szCs w:val="24"/>
        </w:rPr>
        <w:t xml:space="preserve">Os critérios de seleção utilizados foram pesquisas relacionadas ao tema e como critérios de eliminação: artigos que não correlacionavam com o objetivo do estudo, bem como relatos de caso, resultando em 5 artigos selecionados.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BA1FEA">
        <w:rPr>
          <w:rFonts w:ascii="Times New Roman" w:hAnsi="Times New Roman" w:cs="Times New Roman"/>
          <w:sz w:val="24"/>
          <w:szCs w:val="24"/>
        </w:rPr>
        <w:t xml:space="preserve"> </w:t>
      </w:r>
      <w:r w:rsidR="00684F37" w:rsidRPr="00684F37">
        <w:rPr>
          <w:rFonts w:ascii="Times New Roman" w:hAnsi="Times New Roman" w:cs="Times New Roman"/>
          <w:sz w:val="24"/>
          <w:szCs w:val="24"/>
        </w:rPr>
        <w:t>Em primeira análise, nos cinco estudos revisados, estima-se que a partir dos 40 anos de idade perde-se cerca de 5% de massa muscular a cada década, com um declínio acentuado aos 65 anos, a fragilidade analisada é decorrente da deterioração do estado homeostático biológico, no qual o organismo não consegue se adaptar as novas condições de estresse. Vale ressaltar que, a etiologia da sarcopenia tem origem multifatorial, e expõe indivíduos acometidos a risco de queda, incapacidade, hospitalização, institucionalização e morte</w:t>
      </w:r>
      <w:r w:rsidR="00B272D1">
        <w:rPr>
          <w:rFonts w:ascii="Times New Roman" w:hAnsi="Times New Roman" w:cs="Times New Roman"/>
          <w:sz w:val="24"/>
          <w:szCs w:val="24"/>
        </w:rPr>
        <w:t xml:space="preserve"> súbita</w:t>
      </w:r>
      <w:r w:rsidR="00684F37" w:rsidRPr="00684F37">
        <w:rPr>
          <w:rFonts w:ascii="Times New Roman" w:hAnsi="Times New Roman" w:cs="Times New Roman"/>
          <w:sz w:val="24"/>
          <w:szCs w:val="24"/>
        </w:rPr>
        <w:t>. Diante disso, três estudos examinados indicaram a inflamação sistêmica como principal fator crítico na fisiopatologia da sarcopenia, o resultado se baseou na constatação de que, ao longo da idade, os níveis de citocinas pró-inflamatória aumentam gradativamente, resultando na degradação das proteínas. Outrossim, uma pesquisa apontou a correlação do tecido adiposo com a proteólise, uma vez que, o adipócito produz reagentes inflamatórios: resistinas e interleucinas, que estimulam a hidrólise da proteína com ruptura das ligações peptídicas e, assim, conclui-se que a obesidade pode desencadear a sarcopenia.</w:t>
      </w:r>
      <w:r w:rsidR="00684F37">
        <w:rPr>
          <w:rFonts w:ascii="Times New Roman" w:hAnsi="Times New Roman" w:cs="Times New Roman"/>
          <w:sz w:val="24"/>
          <w:szCs w:val="24"/>
        </w:rPr>
        <w:t xml:space="preserve"> Nessa perspectiva</w:t>
      </w:r>
      <w:r w:rsidR="00684F37" w:rsidRPr="00684F37">
        <w:rPr>
          <w:rFonts w:ascii="Times New Roman" w:hAnsi="Times New Roman" w:cs="Times New Roman"/>
          <w:sz w:val="24"/>
          <w:szCs w:val="24"/>
        </w:rPr>
        <w:t>,</w:t>
      </w:r>
      <w:r w:rsidR="00684F37">
        <w:rPr>
          <w:rFonts w:ascii="Times New Roman" w:hAnsi="Times New Roman" w:cs="Times New Roman"/>
          <w:sz w:val="24"/>
          <w:szCs w:val="24"/>
        </w:rPr>
        <w:t xml:space="preserve"> atualmente, em relação ao tratamento da perda da musculatura, acredita-se que a suplementação hormonal, principalmente a reposição de testosterona, seja a melhor abordagem, tanto para prevenir quanto para tratar</w:t>
      </w:r>
      <w:r w:rsidR="002D3662">
        <w:rPr>
          <w:rFonts w:ascii="Times New Roman" w:hAnsi="Times New Roman" w:cs="Times New Roman"/>
          <w:sz w:val="24"/>
          <w:szCs w:val="24"/>
        </w:rPr>
        <w:t>, além de exercícios físicos resistidos para a manutenção da massa corporal</w:t>
      </w:r>
      <w:r w:rsidR="00684F37">
        <w:rPr>
          <w:rFonts w:ascii="Times New Roman" w:hAnsi="Times New Roman" w:cs="Times New Roman"/>
          <w:sz w:val="24"/>
          <w:szCs w:val="24"/>
        </w:rPr>
        <w:t xml:space="preserve">. </w:t>
      </w:r>
      <w:r w:rsidRPr="00BA1FE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BA1FEA">
        <w:rPr>
          <w:rFonts w:ascii="Times New Roman" w:hAnsi="Times New Roman" w:cs="Times New Roman"/>
          <w:sz w:val="24"/>
          <w:szCs w:val="24"/>
        </w:rPr>
        <w:t xml:space="preserve"> Por fim, conclui-se</w:t>
      </w:r>
      <w:r w:rsidR="00684F37">
        <w:rPr>
          <w:rFonts w:ascii="Times New Roman" w:hAnsi="Times New Roman" w:cs="Times New Roman"/>
          <w:sz w:val="24"/>
          <w:szCs w:val="24"/>
        </w:rPr>
        <w:t xml:space="preserve"> que </w:t>
      </w:r>
      <w:r w:rsidR="00FA4FCE">
        <w:rPr>
          <w:rFonts w:ascii="Times New Roman" w:hAnsi="Times New Roman" w:cs="Times New Roman"/>
          <w:sz w:val="24"/>
          <w:szCs w:val="24"/>
        </w:rPr>
        <w:t>alterações inflamatórias decorrentes</w:t>
      </w:r>
      <w:r w:rsidR="00B272D1">
        <w:rPr>
          <w:rFonts w:ascii="Times New Roman" w:hAnsi="Times New Roman" w:cs="Times New Roman"/>
          <w:sz w:val="24"/>
          <w:szCs w:val="24"/>
        </w:rPr>
        <w:t xml:space="preserve"> do processo de envelhecimento e de outros fatores associados, tais como obesidade, são responsáveis pela prevalência de sarcopenia</w:t>
      </w:r>
      <w:r w:rsidRPr="00BA1FEA">
        <w:rPr>
          <w:rFonts w:ascii="Times New Roman" w:hAnsi="Times New Roman" w:cs="Times New Roman"/>
          <w:sz w:val="24"/>
          <w:szCs w:val="24"/>
        </w:rPr>
        <w:t>. Ademais, estudos mais abrangentes, centrados</w:t>
      </w:r>
      <w:r w:rsidR="00B272D1">
        <w:rPr>
          <w:rFonts w:ascii="Times New Roman" w:hAnsi="Times New Roman" w:cs="Times New Roman"/>
          <w:sz w:val="24"/>
          <w:szCs w:val="24"/>
        </w:rPr>
        <w:t xml:space="preserve"> nas particularidades da perda muscular em portadores de doenças crônicas</w:t>
      </w:r>
      <w:r w:rsidRPr="00BA1FEA">
        <w:rPr>
          <w:rFonts w:ascii="Times New Roman" w:hAnsi="Times New Roman" w:cs="Times New Roman"/>
          <w:sz w:val="24"/>
          <w:szCs w:val="24"/>
        </w:rPr>
        <w:t>, são necessários para melhor inteirar a temática proposta e compreendê-la.</w:t>
      </w:r>
    </w:p>
    <w:p w14:paraId="71234292" w14:textId="173A2AA9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bCs/>
          <w:szCs w:val="24"/>
        </w:rPr>
        <w:t xml:space="preserve">Palavras-Chave: </w:t>
      </w:r>
      <w:r w:rsidR="00636F69">
        <w:rPr>
          <w:rFonts w:cs="Times New Roman"/>
          <w:bCs/>
          <w:szCs w:val="24"/>
        </w:rPr>
        <w:t>Sarcopenia</w:t>
      </w:r>
      <w:r w:rsidR="00BA1FEA">
        <w:rPr>
          <w:rFonts w:cs="Times New Roman"/>
          <w:bCs/>
          <w:szCs w:val="24"/>
        </w:rPr>
        <w:t>; Fator preditor; Sistema musculoesquelético.</w:t>
      </w:r>
    </w:p>
    <w:p w14:paraId="70BDDA57" w14:textId="54FFEA71" w:rsidR="002E6040" w:rsidRPr="00525DFF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525DFF">
        <w:rPr>
          <w:rFonts w:cs="Times New Roman"/>
          <w:b/>
          <w:szCs w:val="24"/>
        </w:rPr>
        <w:lastRenderedPageBreak/>
        <w:t xml:space="preserve">E-mail do autor principal: </w:t>
      </w:r>
      <w:r w:rsidR="00D57CF2" w:rsidRPr="00525DFF">
        <w:rPr>
          <w:rFonts w:cs="Times New Roman"/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31F5D06" w14:textId="6E0300BD" w:rsidR="003916D2" w:rsidRPr="00285B2D" w:rsidRDefault="002E6040" w:rsidP="00285B2D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153F5FA1" w14:textId="1DDABB0B" w:rsidR="0066214D" w:rsidRPr="0066214D" w:rsidRDefault="0066214D" w:rsidP="00FA4FCE">
      <w:pPr>
        <w:pStyle w:val="ABNT"/>
        <w:spacing w:line="240" w:lineRule="auto"/>
        <w:ind w:firstLine="0"/>
        <w:jc w:val="left"/>
      </w:pPr>
      <w:r w:rsidRPr="00FA4FCE">
        <w:t>ALEXANDRE, T. D. S. et al. Prevalence and associated factors of sarcopenia, dynapenia, and sarcodynapenia in community-dwelling elderly in São Paulo - SABE Study</w:t>
      </w:r>
      <w:r w:rsidRPr="00FA4FCE">
        <w:rPr>
          <w:b/>
          <w:bCs/>
        </w:rPr>
        <w:t>. Rev Bras Epidemiol</w:t>
      </w:r>
      <w:r w:rsidRPr="00FA4FCE">
        <w:t xml:space="preserve">, vol. 4, n. 21, p. 180009, 2019. Acessado em 14 de março de 2023. Disponível em: &lt; </w:t>
      </w:r>
      <w:hyperlink r:id="rId8" w:history="1">
        <w:r w:rsidRPr="00FA4FCE">
          <w:rPr>
            <w:rStyle w:val="Hyperlink"/>
            <w:color w:val="auto"/>
          </w:rPr>
          <w:t>https://doi.org/10.1590/1980-549720180009.supl.2</w:t>
        </w:r>
      </w:hyperlink>
      <w:r w:rsidRPr="00FA4FCE">
        <w:t>. &gt;.</w:t>
      </w:r>
    </w:p>
    <w:p w14:paraId="3B446547" w14:textId="77777777" w:rsidR="0066214D" w:rsidRPr="00FA4FCE" w:rsidRDefault="0066214D" w:rsidP="00FA4FCE">
      <w:pPr>
        <w:pStyle w:val="ABNT"/>
        <w:spacing w:line="240" w:lineRule="auto"/>
        <w:ind w:firstLine="0"/>
        <w:jc w:val="left"/>
        <w:rPr>
          <w:szCs w:val="24"/>
        </w:rPr>
      </w:pPr>
      <w:r w:rsidRPr="00FA4FCE">
        <w:rPr>
          <w:szCs w:val="24"/>
        </w:rPr>
        <w:t xml:space="preserve">COSTA, R. R. et al. Adaptações do músculo esquelético ao envelhecimento e ao treinamento: uma revisão narrativa sobre a sarcopenia e a dinapenia. </w:t>
      </w:r>
      <w:r w:rsidRPr="00FA4FCE">
        <w:rPr>
          <w:b/>
          <w:bCs/>
          <w:szCs w:val="24"/>
        </w:rPr>
        <w:t>Estudos Interdisciplinares Sobre O Envelhecimento</w:t>
      </w:r>
      <w:r w:rsidRPr="00FA4FCE">
        <w:rPr>
          <w:szCs w:val="24"/>
        </w:rPr>
        <w:t>, vol. 25, n. 2, 2020. Acessado em 15 de março de 2023. Disponível em: &lt; https://doi.org/10.22456/2316-2171.76610 &gt;.</w:t>
      </w:r>
    </w:p>
    <w:p w14:paraId="4E8330EC" w14:textId="77777777" w:rsidR="0066214D" w:rsidRPr="00FA4FCE" w:rsidRDefault="0066214D" w:rsidP="00FA4FCE">
      <w:pPr>
        <w:pStyle w:val="ABNT"/>
        <w:spacing w:line="240" w:lineRule="auto"/>
        <w:ind w:firstLine="0"/>
        <w:jc w:val="left"/>
        <w:rPr>
          <w:sz w:val="20"/>
          <w:szCs w:val="20"/>
        </w:rPr>
      </w:pPr>
      <w:r w:rsidRPr="00FA4FCE">
        <w:rPr>
          <w:szCs w:val="24"/>
        </w:rPr>
        <w:t xml:space="preserve">SOARES, A. V. et al. Relation between functional mobility and dynapenia in institutionalized frail elderly. </w:t>
      </w:r>
      <w:r w:rsidRPr="00FA4FCE">
        <w:rPr>
          <w:b/>
          <w:bCs/>
          <w:szCs w:val="24"/>
        </w:rPr>
        <w:t>Einstein (São Paulo)</w:t>
      </w:r>
      <w:r w:rsidRPr="00FA4FCE">
        <w:rPr>
          <w:szCs w:val="24"/>
        </w:rPr>
        <w:t xml:space="preserve">, vol. 15, n. 3, p. 278-82. Jul-Sep 2017. Acessado em 15 de março de 2023. Disponível em: &lt; </w:t>
      </w:r>
      <w:r w:rsidRPr="00636F69">
        <w:rPr>
          <w:szCs w:val="24"/>
        </w:rPr>
        <w:t>https://doi.org/10.1590/S1679-45082017AO3932</w:t>
      </w:r>
      <w:r w:rsidRPr="00FA4FCE">
        <w:rPr>
          <w:szCs w:val="24"/>
        </w:rPr>
        <w:t xml:space="preserve"> &gt;.</w:t>
      </w:r>
    </w:p>
    <w:p w14:paraId="19F8BD28" w14:textId="3FFE2277" w:rsidR="0066214D" w:rsidRDefault="0066214D" w:rsidP="00FA4FCE">
      <w:pPr>
        <w:pStyle w:val="ABNT"/>
        <w:spacing w:line="240" w:lineRule="auto"/>
        <w:ind w:firstLine="0"/>
        <w:jc w:val="left"/>
      </w:pPr>
      <w:r w:rsidRPr="00FA4FCE">
        <w:t xml:space="preserve">TOURNADRE, A. et al. Sarcopenia. </w:t>
      </w:r>
      <w:r w:rsidRPr="00FA4FCE">
        <w:rPr>
          <w:b/>
          <w:bCs/>
        </w:rPr>
        <w:t>Joint bone spine</w:t>
      </w:r>
      <w:r w:rsidRPr="00FA4FCE">
        <w:t xml:space="preserve">, v. 86, n. 3, p. 309-314, 2019. Acessado em 15 de março de 2023. Disponível em: &lt; </w:t>
      </w:r>
      <w:r w:rsidRPr="00636F69">
        <w:t>https://doi.org/10.1016/j.jbspin.2018.08.001</w:t>
      </w:r>
      <w:r w:rsidRPr="00FA4FCE">
        <w:t xml:space="preserve"> &gt;</w:t>
      </w:r>
    </w:p>
    <w:p w14:paraId="137CF9B6" w14:textId="77777777" w:rsidR="0066214D" w:rsidRDefault="0066214D" w:rsidP="00FA4FCE">
      <w:pPr>
        <w:pStyle w:val="ABNT"/>
        <w:spacing w:line="240" w:lineRule="auto"/>
        <w:ind w:firstLine="0"/>
        <w:jc w:val="left"/>
      </w:pPr>
    </w:p>
    <w:p w14:paraId="5584760B" w14:textId="77777777" w:rsidR="0066214D" w:rsidRDefault="0066214D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14467FEE" w14:textId="77777777" w:rsidR="0066214D" w:rsidRDefault="0066214D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61E10688" w14:textId="77777777" w:rsidR="0066214D" w:rsidRDefault="0066214D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A56E3F0" w14:textId="77777777" w:rsidR="0066214D" w:rsidRDefault="0066214D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2482F0A" w14:textId="3C8483B9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36417756" w14:textId="11369A5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088BFCE1" w14:textId="29B68A5F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A4FCE" w:rsidRPr="00FA4FCE">
        <w:rPr>
          <w:sz w:val="20"/>
          <w:szCs w:val="20"/>
        </w:rPr>
        <w:t>Fonoaudiologia</w:t>
      </w:r>
      <w:r w:rsidRPr="00E25E3F">
        <w:rPr>
          <w:sz w:val="20"/>
          <w:szCs w:val="20"/>
        </w:rPr>
        <w:t xml:space="preserve">, </w:t>
      </w:r>
      <w:r w:rsidR="00FA4FCE">
        <w:rPr>
          <w:sz w:val="20"/>
          <w:szCs w:val="20"/>
        </w:rPr>
        <w:t xml:space="preserve">Pontifícia Universidade </w:t>
      </w:r>
      <w:r w:rsidR="00FA4FCE" w:rsidRPr="00FA4FCE">
        <w:rPr>
          <w:sz w:val="20"/>
          <w:szCs w:val="20"/>
        </w:rPr>
        <w:t>Católica de São Paulo</w:t>
      </w:r>
      <w:r w:rsidR="00FA4FCE">
        <w:rPr>
          <w:sz w:val="20"/>
          <w:szCs w:val="20"/>
        </w:rPr>
        <w:t>, São Paulo</w:t>
      </w:r>
      <w:r w:rsidR="00D57CF2">
        <w:rPr>
          <w:sz w:val="20"/>
          <w:szCs w:val="20"/>
        </w:rPr>
        <w:t>-</w:t>
      </w:r>
      <w:r w:rsidR="00FA4FCE">
        <w:rPr>
          <w:sz w:val="20"/>
          <w:szCs w:val="20"/>
        </w:rPr>
        <w:t>São Paulo</w:t>
      </w:r>
      <w:r w:rsidR="00FA4FCE" w:rsidRPr="00D57CF2">
        <w:rPr>
          <w:sz w:val="20"/>
          <w:szCs w:val="20"/>
        </w:rPr>
        <w:t>,</w:t>
      </w:r>
      <w:r w:rsidR="00FA4FCE">
        <w:t xml:space="preserve"> </w:t>
      </w:r>
      <w:r w:rsidR="00FA4FCE" w:rsidRPr="00FA4FCE">
        <w:rPr>
          <w:sz w:val="20"/>
          <w:szCs w:val="20"/>
        </w:rPr>
        <w:t>alice.antunes@yahoo.com.br</w:t>
      </w:r>
    </w:p>
    <w:p w14:paraId="67B48CB5" w14:textId="38EA97B9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="00FA4FCE" w:rsidRPr="00FA4FCE">
        <w:rPr>
          <w:sz w:val="20"/>
          <w:szCs w:val="20"/>
        </w:rPr>
        <w:t>Fonoaudiologia</w:t>
      </w:r>
      <w:r w:rsidR="00FA4FCE" w:rsidRPr="00E25E3F">
        <w:rPr>
          <w:sz w:val="20"/>
          <w:szCs w:val="20"/>
        </w:rPr>
        <w:t xml:space="preserve">, </w:t>
      </w:r>
      <w:r w:rsidR="00FA4FCE">
        <w:rPr>
          <w:sz w:val="20"/>
          <w:szCs w:val="20"/>
        </w:rPr>
        <w:t xml:space="preserve">Pontifícia Universidade </w:t>
      </w:r>
      <w:r w:rsidR="00FA4FCE" w:rsidRPr="00FA4FCE">
        <w:rPr>
          <w:sz w:val="20"/>
          <w:szCs w:val="20"/>
        </w:rPr>
        <w:t>Católica de São Paulo</w:t>
      </w:r>
      <w:r w:rsidR="00FA4FCE">
        <w:rPr>
          <w:sz w:val="20"/>
          <w:szCs w:val="20"/>
        </w:rPr>
        <w:t>, São Paulo-São Paulo</w:t>
      </w:r>
      <w:r w:rsidR="00FA4FCE" w:rsidRPr="00D57CF2">
        <w:rPr>
          <w:sz w:val="20"/>
          <w:szCs w:val="20"/>
        </w:rPr>
        <w:t>,</w:t>
      </w:r>
      <w:r w:rsidR="00FA4FCE" w:rsidRPr="00FA4FCE">
        <w:t xml:space="preserve"> </w:t>
      </w:r>
      <w:r w:rsidR="00FA4FCE" w:rsidRPr="00FA4FCE">
        <w:rPr>
          <w:sz w:val="20"/>
          <w:szCs w:val="20"/>
        </w:rPr>
        <w:t>danispaca@gmail.com</w:t>
      </w:r>
      <w:r w:rsidR="006E3FAC">
        <w:rPr>
          <w:sz w:val="20"/>
          <w:szCs w:val="20"/>
        </w:rPr>
        <w:t>.</w:t>
      </w:r>
    </w:p>
    <w:p w14:paraId="1067C458" w14:textId="77777777" w:rsidR="006E3FAC" w:rsidRPr="003916D2" w:rsidRDefault="006E3FAC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17FF61C" w14:textId="77777777" w:rsidR="003916D2" w:rsidRDefault="003916D2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C992B1E" w14:textId="77777777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F1A9" w14:textId="77777777" w:rsidR="00271C76" w:rsidRDefault="00271C76">
      <w:pPr>
        <w:spacing w:after="0" w:line="240" w:lineRule="auto"/>
      </w:pPr>
      <w:r>
        <w:separator/>
      </w:r>
    </w:p>
  </w:endnote>
  <w:endnote w:type="continuationSeparator" w:id="0">
    <w:p w14:paraId="721A0860" w14:textId="77777777" w:rsidR="00271C76" w:rsidRDefault="0027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FBB0" w14:textId="77777777" w:rsidR="00271C76" w:rsidRDefault="00271C76">
      <w:pPr>
        <w:spacing w:after="0" w:line="240" w:lineRule="auto"/>
      </w:pPr>
      <w:r>
        <w:separator/>
      </w:r>
    </w:p>
  </w:footnote>
  <w:footnote w:type="continuationSeparator" w:id="0">
    <w:p w14:paraId="30A6C932" w14:textId="77777777" w:rsidR="00271C76" w:rsidRDefault="0027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271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271C7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02D"/>
    <w:rsid w:val="00021372"/>
    <w:rsid w:val="00053E94"/>
    <w:rsid w:val="0009241D"/>
    <w:rsid w:val="0009512C"/>
    <w:rsid w:val="000E0248"/>
    <w:rsid w:val="00175816"/>
    <w:rsid w:val="001B3DAE"/>
    <w:rsid w:val="001B5E9D"/>
    <w:rsid w:val="001B61CD"/>
    <w:rsid w:val="001D0113"/>
    <w:rsid w:val="002674D1"/>
    <w:rsid w:val="00271C76"/>
    <w:rsid w:val="00285B2D"/>
    <w:rsid w:val="002D3662"/>
    <w:rsid w:val="002E6040"/>
    <w:rsid w:val="003265EE"/>
    <w:rsid w:val="003370D4"/>
    <w:rsid w:val="0037285A"/>
    <w:rsid w:val="003916D2"/>
    <w:rsid w:val="003B6E84"/>
    <w:rsid w:val="004673B9"/>
    <w:rsid w:val="00482F97"/>
    <w:rsid w:val="004C1C89"/>
    <w:rsid w:val="004E5A97"/>
    <w:rsid w:val="00525DFF"/>
    <w:rsid w:val="005328C0"/>
    <w:rsid w:val="00597D09"/>
    <w:rsid w:val="005B153B"/>
    <w:rsid w:val="005B3E13"/>
    <w:rsid w:val="00636F69"/>
    <w:rsid w:val="0066214D"/>
    <w:rsid w:val="00680A08"/>
    <w:rsid w:val="00684F37"/>
    <w:rsid w:val="006C2AE8"/>
    <w:rsid w:val="006E0623"/>
    <w:rsid w:val="006E3FAC"/>
    <w:rsid w:val="007103DB"/>
    <w:rsid w:val="00721B3B"/>
    <w:rsid w:val="0072640D"/>
    <w:rsid w:val="007572B8"/>
    <w:rsid w:val="0080069A"/>
    <w:rsid w:val="00832049"/>
    <w:rsid w:val="00853C4B"/>
    <w:rsid w:val="008B4ABD"/>
    <w:rsid w:val="0091445F"/>
    <w:rsid w:val="009E5368"/>
    <w:rsid w:val="00A05851"/>
    <w:rsid w:val="00A17922"/>
    <w:rsid w:val="00A5298E"/>
    <w:rsid w:val="00AA333B"/>
    <w:rsid w:val="00AE1A61"/>
    <w:rsid w:val="00B22819"/>
    <w:rsid w:val="00B272D1"/>
    <w:rsid w:val="00BA1FEA"/>
    <w:rsid w:val="00BB19AC"/>
    <w:rsid w:val="00BE4A69"/>
    <w:rsid w:val="00C143F6"/>
    <w:rsid w:val="00C22757"/>
    <w:rsid w:val="00C54D28"/>
    <w:rsid w:val="00C876C4"/>
    <w:rsid w:val="00C973E9"/>
    <w:rsid w:val="00CA4B45"/>
    <w:rsid w:val="00CB545C"/>
    <w:rsid w:val="00CC65FC"/>
    <w:rsid w:val="00CE28F8"/>
    <w:rsid w:val="00CF4CD4"/>
    <w:rsid w:val="00D048FA"/>
    <w:rsid w:val="00D12C74"/>
    <w:rsid w:val="00D23D91"/>
    <w:rsid w:val="00D57CF2"/>
    <w:rsid w:val="00DB7084"/>
    <w:rsid w:val="00DE65AC"/>
    <w:rsid w:val="00DF5A0D"/>
    <w:rsid w:val="00E25E3F"/>
    <w:rsid w:val="00E364D7"/>
    <w:rsid w:val="00EA272C"/>
    <w:rsid w:val="00EB4EB0"/>
    <w:rsid w:val="00EC2B7C"/>
    <w:rsid w:val="00F13A35"/>
    <w:rsid w:val="00F2280C"/>
    <w:rsid w:val="00F9233F"/>
    <w:rsid w:val="00FA4FCE"/>
    <w:rsid w:val="00FD4465"/>
    <w:rsid w:val="00FD5028"/>
    <w:rsid w:val="00FD5F01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0-549720180009.supl.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0477-E40C-4CA1-9F95-EB1ED18D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5</cp:revision>
  <cp:lastPrinted>2022-08-12T03:27:00Z</cp:lastPrinted>
  <dcterms:created xsi:type="dcterms:W3CDTF">2023-03-16T00:57:00Z</dcterms:created>
  <dcterms:modified xsi:type="dcterms:W3CDTF">2023-03-21T19:45:00Z</dcterms:modified>
</cp:coreProperties>
</file>