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EFICÁCIA DOS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CANABIDIÓIDES</w:t>
      </w:r>
      <w:r w:rsidDel="00000000" w:rsidR="00000000" w:rsidRPr="00000000">
        <w:rPr>
          <w:b w:val="1"/>
          <w:sz w:val="24"/>
          <w:szCs w:val="24"/>
          <w:rtl w:val="0"/>
        </w:rPr>
        <w:t xml:space="preserve"> NO CONTROLE DOS SINTOMAS DO AUTISMO INFANTIL: UMA REVISÃO DE LITERATURA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Saráty Teixeira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Amanda Curione de Castro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Danilo Mendonça de Morais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 em medicina pela Universidade Católica de Brasília, Brasília - DF;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Graduanda em medicina pela Universidade Católica de Brasília, Brasília - DF;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Médico Pediatra,  Brasília, DF.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do autor principal: amandasaraty@gmail.com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O transtorno do espectro autista (TEA) é um dos transtornos infantis mais prevalentes e impactantes na sociedade, caracterizado por sintomas que variam desde diferentes níveis de deficiência intelectual até padrões de comportamento restritos e repetitivos, além de dificuldades na comunicação e interação social. O tratamento do TEA depende de medicamentos com eficácia limitada e que podem causar efeitos colaterais indesejáveis. No entanto, estão sendo investigadas terapias alternativas para gerenciar os sintomas. Assim, os </w:t>
      </w:r>
      <w:r w:rsidDel="00000000" w:rsidR="00000000" w:rsidRPr="00000000">
        <w:rPr>
          <w:sz w:val="24"/>
          <w:szCs w:val="24"/>
          <w:rtl w:val="0"/>
        </w:rPr>
        <w:t xml:space="preserve">canabidioides</w:t>
      </w:r>
      <w:r w:rsidDel="00000000" w:rsidR="00000000" w:rsidRPr="00000000">
        <w:rPr>
          <w:sz w:val="24"/>
          <w:szCs w:val="24"/>
          <w:rtl w:val="0"/>
        </w:rPr>
        <w:t xml:space="preserve"> emergem como uma estratégia promissora, especialmente devido aos resultados encorajadores em estudos relacionados a distúrbios no neurodesenvolvimento.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sz w:val="24"/>
          <w:szCs w:val="24"/>
          <w:rtl w:val="0"/>
        </w:rPr>
        <w:t xml:space="preserve">: Analisar, fundamentado em evidências científicas atuais, a eficácia do uso de </w:t>
      </w:r>
      <w:r w:rsidDel="00000000" w:rsidR="00000000" w:rsidRPr="00000000">
        <w:rPr>
          <w:sz w:val="24"/>
          <w:szCs w:val="24"/>
          <w:rtl w:val="0"/>
        </w:rPr>
        <w:t xml:space="preserve">canabidióides</w:t>
      </w:r>
      <w:r w:rsidDel="00000000" w:rsidR="00000000" w:rsidRPr="00000000">
        <w:rPr>
          <w:sz w:val="24"/>
          <w:szCs w:val="24"/>
          <w:rtl w:val="0"/>
        </w:rPr>
        <w:t xml:space="preserve"> no tratamento do transtorno do espectro autista.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Trata-se de uma revisão simples de literatura realizada nas bases de dados LILACS e MEDLINE. O filtro aplicado para a inclusão foi artigos publicados desde 2018, com os descritores “Autismo”, “Canabidiol”, “Criança”. Utilizou-se o seguinte critério de exclusão: artigos em que o título e o resumo não atendessem à temática planejada. Após análise dos artigos encontrados, 5 foram considerados pertinentes para elaboração deste trabalho.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</w:t>
      </w:r>
      <w:r w:rsidDel="00000000" w:rsidR="00000000" w:rsidRPr="00000000">
        <w:rPr>
          <w:sz w:val="24"/>
          <w:szCs w:val="24"/>
          <w:rtl w:val="0"/>
        </w:rPr>
        <w:t xml:space="preserve">: No TEA, as anormalidades clínicas foram vinculadas à desregulação do sistema endocanabinoide, evidenciando um interesse considerável em investigar profundamente esse sistema, já que ele regula a atividade de outros neurotransmissores e parece sofrer alterações em pacientes com TEA. O TEA tem como seus principais mecanismos celulares subjacentes a desregulação imunológica e a neuroinflamação. Nesse contexto, os canabinóides, devido aos seus efeitos antioxidantes, anti-inflamatórios e neuroprotetores, têm o potencial de trazer benefícios para pacientes com distúrbios do neurodesenvolvimento. Além disso, esses compostos apresentam propriedades ansiolíticas, o que pode ser benéfico para pacientes que sofrem de transtornos do neurodesenvolvimento, nos quais a ansiedade é um sintoma comum. Os dois principais canabinóides são o canabidiol (CBD) e o tetra-hidrocanabinol (THC), sendo que o CBD é o mais promissor para crianças e adolescentes devido ao seu perfil de segurança, limite de toxicidade relativamente elevado e ação de amplo espectro. Resultados de ensaios clínicos revelaram melhorias significativas nos sintomas do TEA, como redução da ansiedade, problemas de sono, hiperatividade, comportamentos agressivos e automutilação. Foi observado que o CBD também exibe propriedades antipsicóticas, sendo útil para crianças com TEA que sofrem de ansiedade, uma vez que ajuda a mitigar o risco de psicose. Foram identificados como desafios no uso dessa terapia o alto custo para a preparação dos medicamentos e a relutância dos médicos em prescrevê-los. Muitos médicos alegam não estar familiarizados com as evidências que apoiam os benefícios do tratamento e com a forma de prescrição.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As ações farmacológicas sobre o sistema endocanabinóide exercida pelo canabidiol o torna uma possível estratégia para o controle dos sintomas do autismo, porém são necessários mais estudos sobre os mecanismos de ação, dose mais benéfica e frequência de administração.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Autismo; Canabidiol; Criança.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EFRON, Daryl ; TAYLOR, Keith F. Medicinal Cannabis for Paediatric Developmental, Behavioural and Mental Health Disorders. International Journal of Environmental Research and Public Health, v. 20, n. 8, p. 5430–5430, 2023. Disponível em: &lt;https://www.mdpi.com/1660-4601/20/8/5430&gt;. Acesso em: 23 out. 2023.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FREITAS, Dias-de; PIMENTA, S; SOARES, S; et al. The role of cannabinoids in neurodevelopmental disorders of children and adolescents. Rev Neurol, p. 189–197, 2022. Disponível em: &lt;https://pesquisa.bvsalud.org/portal/resource/pt/mdl-36169325&gt;. Acesso em: 25 out. 2023.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PEDRAZZI, JOÃO F C; FERREIRA, Frederico R; SILVA-AMARAL, Danyelle; et al. Cannabidiol for the treatment of autism spectrum disorder: hope or hype? Psychopharmacology (Berl), p. 2713–2734, 2022. Disponível em: &lt;https://pesquisa.bvsalud.org/portal/resource/pt/mdl-35904579&gt;. Acesso em: 26 out. 2023.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PESÁNTEZ RÍOS, MÓNICA XIMENA; ANA, Miranda,; GABRIELA; et al. Utilización de Cannabidiol en un paciente pediátrico con tras-torno del espectro autista y epilepsia: informe de un caso. Rev. ecuat. pediatr, p. 1–8, 2021. Disponível em: &lt;https://pesquisa.bvsalud.org/portal/resource/pt/biblio-1284494&gt;. Acesso em: 25 out. 2023.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ARAN, Adi; CASSUTO, Hanoch; LUBOTZKY, Asael; et al. Brief Report: Cannabidiol-Rich Cannabis in Children with Autism Spectrum Disorder and Severe Behavioral Problems-A Retrospective Feasibility Study. J Autism Dev Disord, p. 1284–1288, 2019. Disponível em: &lt;https://pesquisa.bvsalud.org/portal/resource/pt/mdl-30382443&gt;. Acesso em: 26 out. 2023.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Cvgw39p2MHJVtwYj4aNeN+J1A==">CgMxLjA4AHIhMV9oUVp5WWNoZHAydWd4ZGF4X2lGNnM1NWg2NFZjczdi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