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014" w:rsidRDefault="00E64BAF"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DF4" w:rsidRDefault="002B5289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B528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 PAPEL DA BRINCADEIRA NA INCLUSÃO DE CRIANÇAS AUTISTAS NA EDUCAÇÃO INFANTIL: REVISÃO BIBLIOGRÁFICA DE PESQUISAS QUE UTILIZARAM A BRINCADEIRA COMO OBJETO EMPÍRICO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342DF4" w:rsidRDefault="002B528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Rogério Dutra Porto Alegre</w:t>
      </w:r>
    </w:p>
    <w:p w:rsidR="00342DF4" w:rsidRDefault="002B528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do Estado de Santa Catarina</w:t>
      </w:r>
    </w:p>
    <w:p w:rsidR="00342DF4" w:rsidRDefault="002B528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rogerio.edu.inf@gmail.com</w:t>
      </w:r>
    </w:p>
    <w:p w:rsidR="00342DF4" w:rsidRDefault="002B5289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Sulivan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Desirée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Fischer</w:t>
      </w:r>
    </w:p>
    <w:p w:rsidR="002B5289" w:rsidRDefault="002B5289" w:rsidP="002B52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do Estado de Santa Catarina</w:t>
      </w:r>
    </w:p>
    <w:p w:rsidR="00342DF4" w:rsidRPr="002B5289" w:rsidRDefault="00F404DC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sulivan.fischer@gmail</w:t>
      </w:r>
      <w:r w:rsidR="002B5289" w:rsidRPr="002B52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.br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A7199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gramStart"/>
      <w:r w:rsidR="00A7199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proofErr w:type="gramEnd"/>
      <w:r w:rsidR="00A7199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: Educação Inclusiva, Acessibilidade e Tecnologias </w:t>
      </w:r>
      <w:proofErr w:type="spellStart"/>
      <w:r w:rsidR="00A7199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Assi</w:t>
      </w:r>
      <w:r w:rsidR="00316D2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</w:t>
      </w:r>
      <w:r w:rsidR="00A7199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tivas</w:t>
      </w:r>
      <w:proofErr w:type="spellEnd"/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:</w:t>
      </w:r>
      <w:r w:rsidR="002B528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Brincadeira, Inclusão, Criança Autista</w:t>
      </w:r>
    </w:p>
    <w:p w:rsidR="00342DF4" w:rsidRDefault="00342DF4"/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3F436B" w:rsidRPr="003F436B" w:rsidRDefault="003F436B" w:rsidP="003F436B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F436B">
        <w:rPr>
          <w:rFonts w:ascii="Times New Roman" w:eastAsia="Times New Roman" w:hAnsi="Times New Roman" w:cs="Times New Roman"/>
          <w:sz w:val="24"/>
          <w:szCs w:val="24"/>
          <w:lang w:eastAsia="pt-BR"/>
        </w:rPr>
        <w:t>A inclusão de crianças autistas na Educação Infantil tem ganhado destaque no cenário educacional brasileiro, especialmente diante do aumento expressivo de matrículas de crianças autistas em instituições de ensino. Em Palhoça, o número de crianças autistas matriculadas na Rede Municipal de Ensino (RME) cresceu significativamente, passando de 241 em 2023 para 399 em 2024, conforme aponta Porto Alegre (2025). Essa tendência evidencia a necessidade urgente de práticas pedagógicas inclusivas e adaptadas às necessidades específicas dessas crianças.</w:t>
      </w:r>
    </w:p>
    <w:p w:rsidR="003F436B" w:rsidRPr="003F436B" w:rsidRDefault="003F436B" w:rsidP="003F436B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F43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Nesse contexto, a brincadeira emerge como uma estratégia pedagógica fundamental. Além de ser um direito da infância, conforme destacado pelo Plano Nacional para a Primeira Infância (Brasil, 2020) e pelo Comitê dos Direitos da Criança (ONU, 2013), a brincadeira possui um potencial significativo em promover o desenvolvimento social, emocional e cognitivo de crianças autistas. </w:t>
      </w:r>
      <w:proofErr w:type="spellStart"/>
      <w:r w:rsidRPr="003F436B">
        <w:rPr>
          <w:rFonts w:ascii="Times New Roman" w:eastAsia="Times New Roman" w:hAnsi="Times New Roman" w:cs="Times New Roman"/>
          <w:sz w:val="24"/>
          <w:szCs w:val="24"/>
          <w:lang w:eastAsia="pt-BR"/>
        </w:rPr>
        <w:t>Vygotsky</w:t>
      </w:r>
      <w:proofErr w:type="spellEnd"/>
      <w:r w:rsidRPr="003F43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(1979) e Rego (2001) defendem que, como atividade lúdica, a brincadeira permite à criança explorar emoções, construir relações sociais e desenvolver habilidades cognitivas.</w:t>
      </w:r>
    </w:p>
    <w:p w:rsidR="003F436B" w:rsidRPr="003F436B" w:rsidRDefault="003F436B" w:rsidP="003F436B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F436B">
        <w:rPr>
          <w:rFonts w:ascii="Times New Roman" w:eastAsia="Times New Roman" w:hAnsi="Times New Roman" w:cs="Times New Roman"/>
          <w:sz w:val="24"/>
          <w:szCs w:val="24"/>
          <w:lang w:eastAsia="pt-BR"/>
        </w:rPr>
        <w:t>No entanto, o modelo biomédico, que considera o autismo como um transtorno decorrente de disfunções neurológicas e genéticas (</w:t>
      </w:r>
      <w:proofErr w:type="spellStart"/>
      <w:r w:rsidRPr="003F436B">
        <w:rPr>
          <w:rFonts w:ascii="Times New Roman" w:eastAsia="Times New Roman" w:hAnsi="Times New Roman" w:cs="Times New Roman"/>
          <w:sz w:val="24"/>
          <w:szCs w:val="24"/>
          <w:lang w:eastAsia="pt-BR"/>
        </w:rPr>
        <w:t>Donovan</w:t>
      </w:r>
      <w:proofErr w:type="spellEnd"/>
      <w:r w:rsidRPr="003F43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proofErr w:type="spellStart"/>
      <w:r w:rsidRPr="003F436B">
        <w:rPr>
          <w:rFonts w:ascii="Times New Roman" w:eastAsia="Times New Roman" w:hAnsi="Times New Roman" w:cs="Times New Roman"/>
          <w:sz w:val="24"/>
          <w:szCs w:val="24"/>
          <w:lang w:eastAsia="pt-BR"/>
        </w:rPr>
        <w:t>Zucker</w:t>
      </w:r>
      <w:proofErr w:type="spellEnd"/>
      <w:r w:rsidRPr="003F436B">
        <w:rPr>
          <w:rFonts w:ascii="Times New Roman" w:eastAsia="Times New Roman" w:hAnsi="Times New Roman" w:cs="Times New Roman"/>
          <w:sz w:val="24"/>
          <w:szCs w:val="24"/>
          <w:lang w:eastAsia="pt-BR"/>
        </w:rPr>
        <w:t>, 2017), ainda influencia a atuação de muitos profissionais da educação. Essa perspectiva tende a limitar as práticas pedagógicas, reforçando uma abordagem centrada na deficiência e negligenciando o potencial das crianças autistas. Diante desse cenário, surge a seguinte questão: Como a brincadeira pode ser utilizada como estratégia pedagógica para promover a inclusão de crianças autistas na Educação Infantil?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:rsidR="006B7121" w:rsidRDefault="006B7121" w:rsidP="006B7121">
      <w:pPr>
        <w:pStyle w:val="NormalWeb"/>
        <w:spacing w:before="0" w:beforeAutospacing="0" w:after="160" w:afterAutospacing="0"/>
        <w:jc w:val="both"/>
        <w:rPr>
          <w:color w:val="000000"/>
        </w:rPr>
      </w:pPr>
      <w:r>
        <w:rPr>
          <w:color w:val="000000"/>
        </w:rPr>
        <w:lastRenderedPageBreak/>
        <w:t>A brincadeira</w:t>
      </w:r>
      <w:proofErr w:type="gramStart"/>
      <w:r>
        <w:rPr>
          <w:color w:val="000000"/>
        </w:rPr>
        <w:t>, é</w:t>
      </w:r>
      <w:proofErr w:type="gramEnd"/>
      <w:r>
        <w:rPr>
          <w:color w:val="000000"/>
        </w:rPr>
        <w:t xml:space="preserve"> compreendida segundo </w:t>
      </w:r>
      <w:proofErr w:type="spellStart"/>
      <w:r>
        <w:rPr>
          <w:color w:val="000000"/>
        </w:rPr>
        <w:t>Vygotsky</w:t>
      </w:r>
      <w:proofErr w:type="spellEnd"/>
      <w:r>
        <w:rPr>
          <w:color w:val="000000"/>
        </w:rPr>
        <w:t xml:space="preserve"> (1979) e Rego (2001), como  uma atividade humana criadora que permite às crianças explorar e reorganizar emoções e conhecimentos. Silva e Silva (2019) defendem que a brincadeira favorece a </w:t>
      </w:r>
      <w:proofErr w:type="spellStart"/>
      <w:r>
        <w:rPr>
          <w:color w:val="000000"/>
        </w:rPr>
        <w:t>internalização</w:t>
      </w:r>
      <w:proofErr w:type="spellEnd"/>
      <w:r>
        <w:rPr>
          <w:color w:val="000000"/>
        </w:rPr>
        <w:t xml:space="preserve"> de funções sociais, padrões de comportamento, comunicação e a interação social.</w:t>
      </w:r>
    </w:p>
    <w:p w:rsidR="00F67319" w:rsidRDefault="00F67319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6731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mediação pedagógica, compreendida como um processo de interação entre o adulto e a criança, desempenha um papel essencial no desenvolvimento infantil, especialmente na inclusão de crianças autistas. </w:t>
      </w:r>
      <w:proofErr w:type="spellStart"/>
      <w:r w:rsidRPr="00F67319">
        <w:rPr>
          <w:rFonts w:ascii="Times New Roman" w:eastAsia="Times New Roman" w:hAnsi="Times New Roman" w:cs="Times New Roman"/>
          <w:sz w:val="24"/>
          <w:szCs w:val="24"/>
          <w:lang w:eastAsia="pt-BR"/>
        </w:rPr>
        <w:t>Vygotsky</w:t>
      </w:r>
      <w:proofErr w:type="spellEnd"/>
      <w:r w:rsidRPr="00F6731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(1979, 1991) destaca o brincar como uma atividade humana criadora, permitindo à criança explorar emoções e construir conhecimentos. Silva e Silva (2019) acrescentam que o brincar facilita a comunicação e promove o desenvolvimento integral, sendo uma ferramenta fundamental para a inclusão de crianças autistas. Rego (2001) complementa que, por meio do brincar, as crianças experimentam papéis e transformam conceitos em conhecimentos aplicáveis, beneficiando seu desenvolvimento social e cognitivo. Além disso, Faria e Camargo (2018) ressaltam que o brincar é um direito da criança autista e uma estratégia pedagógica que favorece a interação social e o desenvolvimento cognitivo. Costa (2015) e </w:t>
      </w:r>
      <w:proofErr w:type="spellStart"/>
      <w:r w:rsidRPr="00F67319">
        <w:rPr>
          <w:rFonts w:ascii="Times New Roman" w:eastAsia="Times New Roman" w:hAnsi="Times New Roman" w:cs="Times New Roman"/>
          <w:sz w:val="24"/>
          <w:szCs w:val="24"/>
          <w:lang w:eastAsia="pt-BR"/>
        </w:rPr>
        <w:t>Fiorini</w:t>
      </w:r>
      <w:proofErr w:type="spellEnd"/>
      <w:r w:rsidRPr="00F6731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(2017) destacam que estratégias pedagógicas bem planejadas podem reduzir a imprevisibilidade e promover a participação ativa das crianças autistas. Assim, a mediação pedagógica, aliada ao brincar adaptado, constitui uma estratégia poderosa para promover interação social, criatividade e expressão, contribuindo para a construção de um ambiente inclusivo.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:rsidR="006B7121" w:rsidRPr="006B7121" w:rsidRDefault="006B7121" w:rsidP="006B712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71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 pesquisa adotou uma abordagem qualitativa, combinando revisão bibliográfica, com o objetivo de investigar o papel da brincadeira como estratégia pedagógica para a inclusão de crianças autistas na Educação Infantil. A revisão bibliográfica foi realizada em bases acadêmicas como Periódicos da CAPES, Catálogo de Teses e Dissertações da CAPES, </w:t>
      </w:r>
      <w:proofErr w:type="spellStart"/>
      <w:proofErr w:type="gramStart"/>
      <w:r w:rsidRPr="006B7121">
        <w:rPr>
          <w:rFonts w:ascii="Times New Roman" w:eastAsia="Times New Roman" w:hAnsi="Times New Roman" w:cs="Times New Roman"/>
          <w:sz w:val="24"/>
          <w:szCs w:val="24"/>
          <w:lang w:eastAsia="pt-BR"/>
        </w:rPr>
        <w:t>OasisBR</w:t>
      </w:r>
      <w:proofErr w:type="spellEnd"/>
      <w:proofErr w:type="gramEnd"/>
      <w:r w:rsidRPr="006B71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BDTD, utilizando os descritores "brincar" AND "autismo" OR "TEA" OR "Transtorno do Espectro Autista", com recorte temporal de 2015 a 2024. Foram selecionados quatro estudos relevantes, que utilizaram o brincar como objeto empírico.</w:t>
      </w:r>
    </w:p>
    <w:p w:rsidR="006B7121" w:rsidRPr="006B7121" w:rsidRDefault="006B7121" w:rsidP="006B7121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71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Para a análise dos dados, foi utilizada a técnica de análise de conteúdo de </w:t>
      </w:r>
      <w:proofErr w:type="spellStart"/>
      <w:r w:rsidRPr="006B7121">
        <w:rPr>
          <w:rFonts w:ascii="Times New Roman" w:eastAsia="Times New Roman" w:hAnsi="Times New Roman" w:cs="Times New Roman"/>
          <w:sz w:val="24"/>
          <w:szCs w:val="24"/>
          <w:lang w:eastAsia="pt-BR"/>
        </w:rPr>
        <w:t>Bardin</w:t>
      </w:r>
      <w:proofErr w:type="spellEnd"/>
      <w:r w:rsidRPr="006B71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(2009), que permitiu identificar  categorias temáticas como interação, criatividade, tomada de decisão e expressão. Essa abordagem  permitiu uma compreensão aprofundada das práticas pedagógicas inclusivas e suas implicações no desenvolvimento infantil. 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:rsidR="006B7121" w:rsidRDefault="006B7121" w:rsidP="006B7121">
      <w:pPr>
        <w:pStyle w:val="NormalWeb"/>
        <w:spacing w:before="0" w:beforeAutospacing="0" w:after="160" w:afterAutospacing="0"/>
        <w:jc w:val="both"/>
      </w:pPr>
      <w:r>
        <w:rPr>
          <w:color w:val="000000"/>
        </w:rPr>
        <w:t>Os estudos analisados indicam que o brincar é uma ferramenta fundamental para o desenvolvimento social, emocional e cognitivo de crianças autistas. As categorias de análise revelaram as seguintes dimensões:</w:t>
      </w:r>
    </w:p>
    <w:p w:rsidR="006B7121" w:rsidRDefault="006B7121" w:rsidP="006B7121">
      <w:pPr>
        <w:pStyle w:val="NormalWeb"/>
        <w:numPr>
          <w:ilvl w:val="0"/>
          <w:numId w:val="2"/>
        </w:numPr>
        <w:spacing w:before="0" w:beforeAutospacing="0" w:after="160" w:afterAutospacing="0"/>
        <w:jc w:val="both"/>
        <w:textAlignment w:val="baseline"/>
        <w:rPr>
          <w:color w:val="000000"/>
        </w:rPr>
      </w:pPr>
      <w:r>
        <w:rPr>
          <w:b/>
          <w:bCs/>
          <w:color w:val="000000"/>
        </w:rPr>
        <w:t xml:space="preserve">Interação: </w:t>
      </w:r>
      <w:r>
        <w:rPr>
          <w:color w:val="000000"/>
        </w:rPr>
        <w:t xml:space="preserve">Crianças autistas enfrentam desafios nas interações sociais, mas o brincar mediado amplia suas possibilidades de participação. A mediação docente e a interação com pares </w:t>
      </w:r>
      <w:proofErr w:type="spellStart"/>
      <w:r>
        <w:rPr>
          <w:color w:val="000000"/>
        </w:rPr>
        <w:t>neurotípicos</w:t>
      </w:r>
      <w:proofErr w:type="spellEnd"/>
      <w:r>
        <w:rPr>
          <w:color w:val="000000"/>
        </w:rPr>
        <w:t xml:space="preserve"> são estratégias eficazes para promover a socialização. Costa (2015) e </w:t>
      </w:r>
      <w:proofErr w:type="spellStart"/>
      <w:r>
        <w:rPr>
          <w:color w:val="000000"/>
        </w:rPr>
        <w:t>Fiorini</w:t>
      </w:r>
      <w:proofErr w:type="spellEnd"/>
      <w:r>
        <w:rPr>
          <w:color w:val="000000"/>
        </w:rPr>
        <w:t xml:space="preserve"> (2017)</w:t>
      </w:r>
      <w:proofErr w:type="gramStart"/>
      <w:r>
        <w:rPr>
          <w:color w:val="000000"/>
        </w:rPr>
        <w:t>, apontam</w:t>
      </w:r>
      <w:proofErr w:type="gramEnd"/>
      <w:r>
        <w:rPr>
          <w:color w:val="000000"/>
        </w:rPr>
        <w:t xml:space="preserve"> que brincadeiras </w:t>
      </w:r>
      <w:r>
        <w:rPr>
          <w:color w:val="000000"/>
        </w:rPr>
        <w:lastRenderedPageBreak/>
        <w:t>estruturadas, com regras claras, podem reduzir a ansiedade e facilitar o envolvimento das crianças autistas.</w:t>
      </w:r>
    </w:p>
    <w:p w:rsidR="006B7121" w:rsidRDefault="006B7121" w:rsidP="006B7121">
      <w:pPr>
        <w:pStyle w:val="NormalWeb"/>
        <w:numPr>
          <w:ilvl w:val="0"/>
          <w:numId w:val="2"/>
        </w:numPr>
        <w:spacing w:before="0" w:beforeAutospacing="0" w:after="160" w:afterAutospacing="0"/>
        <w:jc w:val="both"/>
        <w:textAlignment w:val="baseline"/>
        <w:rPr>
          <w:color w:val="000000"/>
        </w:rPr>
      </w:pPr>
      <w:r>
        <w:rPr>
          <w:b/>
          <w:bCs/>
          <w:color w:val="000000"/>
        </w:rPr>
        <w:t>Criatividade</w:t>
      </w:r>
      <w:r>
        <w:rPr>
          <w:color w:val="000000"/>
        </w:rPr>
        <w:t xml:space="preserve">: A criatividade pode se manifestar de formas não convencionais, como o </w:t>
      </w:r>
      <w:proofErr w:type="spellStart"/>
      <w:r>
        <w:rPr>
          <w:color w:val="000000"/>
        </w:rPr>
        <w:t>hiperfoco</w:t>
      </w:r>
      <w:proofErr w:type="spellEnd"/>
      <w:r>
        <w:rPr>
          <w:color w:val="000000"/>
        </w:rPr>
        <w:t xml:space="preserve"> em temas ou a exploração sensorial intensiva. Silva (2021) e Mattos e </w:t>
      </w:r>
      <w:proofErr w:type="spellStart"/>
      <w:r>
        <w:rPr>
          <w:color w:val="000000"/>
        </w:rPr>
        <w:t>Lione</w:t>
      </w:r>
      <w:proofErr w:type="spellEnd"/>
      <w:r>
        <w:rPr>
          <w:color w:val="000000"/>
        </w:rPr>
        <w:t xml:space="preserve"> (2023), apontam que a flexibilidade nas brincadeiras é essencial para permitir que as crianças autistas explorem materiais e contextos de forma significativa.</w:t>
      </w:r>
    </w:p>
    <w:p w:rsidR="006B7121" w:rsidRDefault="006B7121" w:rsidP="006B7121">
      <w:pPr>
        <w:pStyle w:val="NormalWeb"/>
        <w:numPr>
          <w:ilvl w:val="0"/>
          <w:numId w:val="2"/>
        </w:numPr>
        <w:spacing w:before="0" w:beforeAutospacing="0" w:after="160" w:afterAutospacing="0"/>
        <w:jc w:val="both"/>
        <w:textAlignment w:val="baseline"/>
        <w:rPr>
          <w:color w:val="000000"/>
        </w:rPr>
      </w:pPr>
      <w:r>
        <w:rPr>
          <w:b/>
          <w:bCs/>
          <w:color w:val="000000"/>
        </w:rPr>
        <w:t>Tomada de Decisão</w:t>
      </w:r>
      <w:r>
        <w:rPr>
          <w:color w:val="000000"/>
        </w:rPr>
        <w:t xml:space="preserve">: Crianças autistas podem apresentar dificuldades em realizar escolhas espontâneas diante do brincar, necessitando de estruturas pré-definidas para se sentirem seguras.  A autonomia deve ser incentivada progressivamente, garantindo equilíbrio entre previsibilidade e </w:t>
      </w:r>
      <w:proofErr w:type="gramStart"/>
      <w:r>
        <w:rPr>
          <w:color w:val="000000"/>
        </w:rPr>
        <w:t>flexibilidade(</w:t>
      </w:r>
      <w:proofErr w:type="gramEnd"/>
      <w:r>
        <w:rPr>
          <w:color w:val="000000"/>
        </w:rPr>
        <w:t xml:space="preserve">Silva, 2021; Mattos e </w:t>
      </w:r>
      <w:proofErr w:type="spellStart"/>
      <w:r>
        <w:rPr>
          <w:color w:val="000000"/>
        </w:rPr>
        <w:t>Lione</w:t>
      </w:r>
      <w:proofErr w:type="spellEnd"/>
      <w:r>
        <w:rPr>
          <w:color w:val="000000"/>
        </w:rPr>
        <w:t>, 2023).</w:t>
      </w:r>
    </w:p>
    <w:p w:rsidR="006B7121" w:rsidRDefault="006B7121" w:rsidP="006B7121">
      <w:pPr>
        <w:pStyle w:val="NormalWeb"/>
        <w:numPr>
          <w:ilvl w:val="0"/>
          <w:numId w:val="2"/>
        </w:numPr>
        <w:spacing w:before="0" w:beforeAutospacing="0" w:after="160" w:afterAutospacing="0"/>
        <w:jc w:val="both"/>
        <w:textAlignment w:val="baseline"/>
        <w:rPr>
          <w:color w:val="000000"/>
        </w:rPr>
      </w:pPr>
      <w:r>
        <w:rPr>
          <w:b/>
          <w:bCs/>
          <w:color w:val="000000"/>
        </w:rPr>
        <w:t>Expressão</w:t>
      </w:r>
      <w:r>
        <w:rPr>
          <w:color w:val="000000"/>
        </w:rPr>
        <w:t xml:space="preserve">: A expressão emocional e comunicativa no brincar é favorecida pelo uso de materiais diversos e estímulos táteis que promovem a construção de significados individuais no brincar (Mattos e </w:t>
      </w:r>
      <w:proofErr w:type="spellStart"/>
      <w:r>
        <w:rPr>
          <w:color w:val="000000"/>
        </w:rPr>
        <w:t>Lione</w:t>
      </w:r>
      <w:proofErr w:type="spellEnd"/>
      <w:r>
        <w:rPr>
          <w:color w:val="000000"/>
        </w:rPr>
        <w:t>, 2023).</w:t>
      </w:r>
    </w:p>
    <w:p w:rsidR="006B7121" w:rsidRDefault="006B7121" w:rsidP="006B7121">
      <w:pPr>
        <w:pStyle w:val="NormalWeb"/>
        <w:spacing w:before="0" w:beforeAutospacing="0" w:after="160" w:afterAutospacing="0"/>
        <w:jc w:val="both"/>
      </w:pPr>
      <w:r>
        <w:rPr>
          <w:color w:val="000000"/>
        </w:rPr>
        <w:t xml:space="preserve">O Quadro </w:t>
      </w:r>
      <w:proofErr w:type="gramStart"/>
      <w:r>
        <w:rPr>
          <w:color w:val="000000"/>
        </w:rPr>
        <w:t>1</w:t>
      </w:r>
      <w:proofErr w:type="gramEnd"/>
      <w:r>
        <w:rPr>
          <w:color w:val="000000"/>
        </w:rPr>
        <w:t>, apresenta as categorias com os autores citados e sintetiza as brincadeiras utilizadas no estudo empírico desta pesquisa, selecionadas a partir dos estudos analisados.</w:t>
      </w:r>
    </w:p>
    <w:p w:rsidR="00E77E7D" w:rsidRPr="00E77E7D" w:rsidRDefault="00E77E7D" w:rsidP="0052724E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77E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Quadro </w:t>
      </w:r>
      <w:proofErr w:type="gramStart"/>
      <w:r w:rsidRPr="00E77E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</w:t>
      </w:r>
      <w:proofErr w:type="gramEnd"/>
      <w:r w:rsidRPr="00E77E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: Brincadeiras Utilizadas como Objeto de Pesquisa Empírica</w:t>
      </w:r>
    </w:p>
    <w:tbl>
      <w:tblPr>
        <w:tblStyle w:val="Tabelacomgrade"/>
        <w:tblW w:w="0" w:type="auto"/>
        <w:tblLook w:val="04A0"/>
      </w:tblPr>
      <w:tblGrid>
        <w:gridCol w:w="2881"/>
        <w:gridCol w:w="2881"/>
        <w:gridCol w:w="2882"/>
      </w:tblGrid>
      <w:tr w:rsidR="00E77E7D" w:rsidRPr="00E77E7D" w:rsidTr="00E77E7D">
        <w:tc>
          <w:tcPr>
            <w:tcW w:w="2881" w:type="dxa"/>
            <w:shd w:val="clear" w:color="auto" w:fill="BFBFBF" w:themeFill="background1" w:themeFillShade="BF"/>
          </w:tcPr>
          <w:p w:rsidR="00E77E7D" w:rsidRPr="00E77E7D" w:rsidRDefault="00E77E7D" w:rsidP="00E77E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E7D">
              <w:rPr>
                <w:rFonts w:ascii="Times New Roman" w:hAnsi="Times New Roman" w:cs="Times New Roman"/>
                <w:b/>
                <w:sz w:val="24"/>
                <w:szCs w:val="24"/>
              </w:rPr>
              <w:t>Categoria de Análise</w:t>
            </w:r>
          </w:p>
        </w:tc>
        <w:tc>
          <w:tcPr>
            <w:tcW w:w="2881" w:type="dxa"/>
            <w:shd w:val="clear" w:color="auto" w:fill="BFBFBF" w:themeFill="background1" w:themeFillShade="BF"/>
          </w:tcPr>
          <w:p w:rsidR="00E77E7D" w:rsidRPr="00E77E7D" w:rsidRDefault="00E77E7D" w:rsidP="00E77E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E7D">
              <w:rPr>
                <w:rFonts w:ascii="Times New Roman" w:hAnsi="Times New Roman" w:cs="Times New Roman"/>
                <w:b/>
                <w:sz w:val="24"/>
                <w:szCs w:val="24"/>
              </w:rPr>
              <w:t>Autores Citados</w:t>
            </w:r>
          </w:p>
        </w:tc>
        <w:tc>
          <w:tcPr>
            <w:tcW w:w="2882" w:type="dxa"/>
            <w:shd w:val="clear" w:color="auto" w:fill="BFBFBF" w:themeFill="background1" w:themeFillShade="BF"/>
          </w:tcPr>
          <w:p w:rsidR="00E77E7D" w:rsidRPr="00E77E7D" w:rsidRDefault="00E77E7D" w:rsidP="00E77E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E7D">
              <w:rPr>
                <w:rFonts w:ascii="Times New Roman" w:hAnsi="Times New Roman" w:cs="Times New Roman"/>
                <w:b/>
                <w:sz w:val="24"/>
                <w:szCs w:val="24"/>
              </w:rPr>
              <w:t>Brincadeiras Utilizadas como Objeto de Pesquisa</w:t>
            </w:r>
          </w:p>
        </w:tc>
      </w:tr>
      <w:tr w:rsidR="00E77E7D" w:rsidRPr="00E77E7D" w:rsidTr="00E77E7D">
        <w:tc>
          <w:tcPr>
            <w:tcW w:w="2881" w:type="dxa"/>
          </w:tcPr>
          <w:p w:rsidR="00E77E7D" w:rsidRPr="00E77E7D" w:rsidRDefault="00E77E7D" w:rsidP="00342DF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E77E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Interação</w:t>
            </w:r>
          </w:p>
        </w:tc>
        <w:tc>
          <w:tcPr>
            <w:tcW w:w="2881" w:type="dxa"/>
          </w:tcPr>
          <w:p w:rsidR="00E77E7D" w:rsidRPr="00E77E7D" w:rsidRDefault="00E77E7D" w:rsidP="00342DF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proofErr w:type="spellStart"/>
            <w:r w:rsidRPr="00E77E7D">
              <w:rPr>
                <w:rFonts w:ascii="Times New Roman" w:hAnsi="Times New Roman" w:cs="Times New Roman"/>
                <w:sz w:val="24"/>
                <w:szCs w:val="24"/>
              </w:rPr>
              <w:t>Fiorini</w:t>
            </w:r>
            <w:proofErr w:type="spellEnd"/>
            <w:r w:rsidRPr="00E77E7D">
              <w:rPr>
                <w:rFonts w:ascii="Times New Roman" w:hAnsi="Times New Roman" w:cs="Times New Roman"/>
                <w:sz w:val="24"/>
                <w:szCs w:val="24"/>
              </w:rPr>
              <w:t xml:space="preserve"> (2017), Silva (2021), Mattos e </w:t>
            </w:r>
            <w:proofErr w:type="spellStart"/>
            <w:r w:rsidRPr="00E77E7D">
              <w:rPr>
                <w:rFonts w:ascii="Times New Roman" w:hAnsi="Times New Roman" w:cs="Times New Roman"/>
                <w:sz w:val="24"/>
                <w:szCs w:val="24"/>
              </w:rPr>
              <w:t>Lione</w:t>
            </w:r>
            <w:proofErr w:type="spellEnd"/>
            <w:r w:rsidRPr="00E77E7D">
              <w:rPr>
                <w:rFonts w:ascii="Times New Roman" w:hAnsi="Times New Roman" w:cs="Times New Roman"/>
                <w:sz w:val="24"/>
                <w:szCs w:val="24"/>
              </w:rPr>
              <w:t xml:space="preserve"> (2023)</w:t>
            </w:r>
          </w:p>
        </w:tc>
        <w:tc>
          <w:tcPr>
            <w:tcW w:w="2882" w:type="dxa"/>
          </w:tcPr>
          <w:p w:rsidR="00E77E7D" w:rsidRPr="00E77E7D" w:rsidRDefault="00E77E7D" w:rsidP="00342DF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E77E7D">
              <w:rPr>
                <w:rFonts w:ascii="Times New Roman" w:hAnsi="Times New Roman" w:cs="Times New Roman"/>
                <w:sz w:val="24"/>
                <w:szCs w:val="24"/>
              </w:rPr>
              <w:t>Brincadeiras de imitação (gestos, teatro de fantoches, jogos de imitação), movimento e coordenação motora (correr, pular, jogar bolas).</w:t>
            </w:r>
          </w:p>
        </w:tc>
      </w:tr>
      <w:tr w:rsidR="00E77E7D" w:rsidRPr="00E77E7D" w:rsidTr="00E77E7D">
        <w:tc>
          <w:tcPr>
            <w:tcW w:w="2881" w:type="dxa"/>
          </w:tcPr>
          <w:p w:rsidR="00E77E7D" w:rsidRPr="00E77E7D" w:rsidRDefault="00E77E7D" w:rsidP="00342DF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E77E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Criatividade</w:t>
            </w:r>
          </w:p>
        </w:tc>
        <w:tc>
          <w:tcPr>
            <w:tcW w:w="2881" w:type="dxa"/>
          </w:tcPr>
          <w:p w:rsidR="00E77E7D" w:rsidRPr="00E77E7D" w:rsidRDefault="00E77E7D" w:rsidP="00342DF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E77E7D">
              <w:rPr>
                <w:rFonts w:ascii="Times New Roman" w:hAnsi="Times New Roman" w:cs="Times New Roman"/>
                <w:sz w:val="24"/>
                <w:szCs w:val="24"/>
              </w:rPr>
              <w:t xml:space="preserve">Costa (2015), </w:t>
            </w:r>
            <w:proofErr w:type="spellStart"/>
            <w:r w:rsidRPr="00E77E7D">
              <w:rPr>
                <w:rFonts w:ascii="Times New Roman" w:hAnsi="Times New Roman" w:cs="Times New Roman"/>
                <w:sz w:val="24"/>
                <w:szCs w:val="24"/>
              </w:rPr>
              <w:t>Fiorini</w:t>
            </w:r>
            <w:proofErr w:type="spellEnd"/>
            <w:r w:rsidRPr="00E77E7D">
              <w:rPr>
                <w:rFonts w:ascii="Times New Roman" w:hAnsi="Times New Roman" w:cs="Times New Roman"/>
                <w:sz w:val="24"/>
                <w:szCs w:val="24"/>
              </w:rPr>
              <w:t xml:space="preserve"> (2017), Silva (2021), Mattos e </w:t>
            </w:r>
            <w:proofErr w:type="spellStart"/>
            <w:r w:rsidRPr="00E77E7D">
              <w:rPr>
                <w:rFonts w:ascii="Times New Roman" w:hAnsi="Times New Roman" w:cs="Times New Roman"/>
                <w:sz w:val="24"/>
                <w:szCs w:val="24"/>
              </w:rPr>
              <w:t>Lione</w:t>
            </w:r>
            <w:proofErr w:type="spellEnd"/>
            <w:r w:rsidRPr="00E77E7D">
              <w:rPr>
                <w:rFonts w:ascii="Times New Roman" w:hAnsi="Times New Roman" w:cs="Times New Roman"/>
                <w:sz w:val="24"/>
                <w:szCs w:val="24"/>
              </w:rPr>
              <w:t xml:space="preserve"> (2023)</w:t>
            </w:r>
          </w:p>
        </w:tc>
        <w:tc>
          <w:tcPr>
            <w:tcW w:w="2882" w:type="dxa"/>
          </w:tcPr>
          <w:p w:rsidR="00E77E7D" w:rsidRPr="00E77E7D" w:rsidRDefault="00E77E7D" w:rsidP="00342DF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E77E7D">
              <w:rPr>
                <w:rFonts w:ascii="Times New Roman" w:hAnsi="Times New Roman" w:cs="Times New Roman"/>
                <w:sz w:val="24"/>
                <w:szCs w:val="24"/>
              </w:rPr>
              <w:t>Brincadeiras de faz-de-conta (bonecas, brincar de cozinha), modelagem (areia, massinha), brincadeiras simbólicas, esconder e aparecer</w:t>
            </w:r>
          </w:p>
        </w:tc>
      </w:tr>
      <w:tr w:rsidR="00E77E7D" w:rsidRPr="00E77E7D" w:rsidTr="00E77E7D">
        <w:tc>
          <w:tcPr>
            <w:tcW w:w="2881" w:type="dxa"/>
          </w:tcPr>
          <w:p w:rsidR="00E77E7D" w:rsidRPr="00E77E7D" w:rsidRDefault="00E77E7D" w:rsidP="00E77E7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E77E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Tomada de Decisão</w:t>
            </w:r>
          </w:p>
        </w:tc>
        <w:tc>
          <w:tcPr>
            <w:tcW w:w="2881" w:type="dxa"/>
          </w:tcPr>
          <w:p w:rsidR="00E77E7D" w:rsidRPr="00E77E7D" w:rsidRDefault="00E77E7D" w:rsidP="00342DF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E77E7D">
              <w:rPr>
                <w:rFonts w:ascii="Times New Roman" w:hAnsi="Times New Roman" w:cs="Times New Roman"/>
                <w:sz w:val="24"/>
                <w:szCs w:val="24"/>
              </w:rPr>
              <w:t xml:space="preserve">Costa (2015), Silva (2021), Mattos e </w:t>
            </w:r>
            <w:proofErr w:type="spellStart"/>
            <w:r w:rsidRPr="00E77E7D">
              <w:rPr>
                <w:rFonts w:ascii="Times New Roman" w:hAnsi="Times New Roman" w:cs="Times New Roman"/>
                <w:sz w:val="24"/>
                <w:szCs w:val="24"/>
              </w:rPr>
              <w:t>Lione</w:t>
            </w:r>
            <w:proofErr w:type="spellEnd"/>
            <w:r w:rsidRPr="00E77E7D">
              <w:rPr>
                <w:rFonts w:ascii="Times New Roman" w:hAnsi="Times New Roman" w:cs="Times New Roman"/>
                <w:sz w:val="24"/>
                <w:szCs w:val="24"/>
              </w:rPr>
              <w:t xml:space="preserve"> (2023)</w:t>
            </w:r>
          </w:p>
        </w:tc>
        <w:tc>
          <w:tcPr>
            <w:tcW w:w="2882" w:type="dxa"/>
          </w:tcPr>
          <w:p w:rsidR="00E77E7D" w:rsidRPr="00E77E7D" w:rsidRDefault="00E77E7D" w:rsidP="00342DF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E77E7D">
              <w:rPr>
                <w:rFonts w:ascii="Times New Roman" w:hAnsi="Times New Roman" w:cs="Times New Roman"/>
                <w:sz w:val="24"/>
                <w:szCs w:val="24"/>
              </w:rPr>
              <w:t>Jogos estruturados com escolhas (apontamentos, jogos de encaixe), Teia da aranha, brincadeiras de construção (blocos, peças de encaixe).</w:t>
            </w:r>
          </w:p>
        </w:tc>
      </w:tr>
      <w:tr w:rsidR="00E77E7D" w:rsidRPr="00E77E7D" w:rsidTr="00E77E7D">
        <w:tc>
          <w:tcPr>
            <w:tcW w:w="2881" w:type="dxa"/>
          </w:tcPr>
          <w:p w:rsidR="00E77E7D" w:rsidRPr="00E77E7D" w:rsidRDefault="00E77E7D" w:rsidP="00342DF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E77E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Expressão</w:t>
            </w:r>
          </w:p>
        </w:tc>
        <w:tc>
          <w:tcPr>
            <w:tcW w:w="2881" w:type="dxa"/>
          </w:tcPr>
          <w:p w:rsidR="00E77E7D" w:rsidRPr="00E77E7D" w:rsidRDefault="00E77E7D" w:rsidP="00342DF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E77E7D">
              <w:rPr>
                <w:rFonts w:ascii="Times New Roman" w:hAnsi="Times New Roman" w:cs="Times New Roman"/>
                <w:sz w:val="24"/>
                <w:szCs w:val="24"/>
              </w:rPr>
              <w:t xml:space="preserve">Costa (2015), </w:t>
            </w:r>
            <w:proofErr w:type="spellStart"/>
            <w:r w:rsidRPr="00E77E7D">
              <w:rPr>
                <w:rFonts w:ascii="Times New Roman" w:hAnsi="Times New Roman" w:cs="Times New Roman"/>
                <w:sz w:val="24"/>
                <w:szCs w:val="24"/>
              </w:rPr>
              <w:t>Fiorini</w:t>
            </w:r>
            <w:proofErr w:type="spellEnd"/>
            <w:r w:rsidRPr="00E77E7D">
              <w:rPr>
                <w:rFonts w:ascii="Times New Roman" w:hAnsi="Times New Roman" w:cs="Times New Roman"/>
                <w:sz w:val="24"/>
                <w:szCs w:val="24"/>
              </w:rPr>
              <w:t xml:space="preserve"> (2017), Silva (2021), Mattos e </w:t>
            </w:r>
            <w:proofErr w:type="spellStart"/>
            <w:r w:rsidRPr="00E77E7D">
              <w:rPr>
                <w:rFonts w:ascii="Times New Roman" w:hAnsi="Times New Roman" w:cs="Times New Roman"/>
                <w:sz w:val="24"/>
                <w:szCs w:val="24"/>
              </w:rPr>
              <w:t>Lione</w:t>
            </w:r>
            <w:proofErr w:type="spellEnd"/>
            <w:r w:rsidRPr="00E77E7D">
              <w:rPr>
                <w:rFonts w:ascii="Times New Roman" w:hAnsi="Times New Roman" w:cs="Times New Roman"/>
                <w:sz w:val="24"/>
                <w:szCs w:val="24"/>
              </w:rPr>
              <w:t xml:space="preserve"> (2023)</w:t>
            </w:r>
          </w:p>
        </w:tc>
        <w:tc>
          <w:tcPr>
            <w:tcW w:w="2882" w:type="dxa"/>
          </w:tcPr>
          <w:p w:rsidR="00E77E7D" w:rsidRPr="00E77E7D" w:rsidRDefault="00E77E7D" w:rsidP="00342DF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E77E7D">
              <w:rPr>
                <w:rFonts w:ascii="Times New Roman" w:hAnsi="Times New Roman" w:cs="Times New Roman"/>
                <w:sz w:val="24"/>
                <w:szCs w:val="24"/>
              </w:rPr>
              <w:t>Brincadeiras com instrumentos musicais, cantigas com gestos, brincadeiras sensoriais (texturas, água, areia), jogos com bolas.</w:t>
            </w:r>
          </w:p>
        </w:tc>
      </w:tr>
    </w:tbl>
    <w:p w:rsidR="0019345A" w:rsidRPr="00E77E7D" w:rsidRDefault="00E77E7D" w:rsidP="00E77E7D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7E7D">
        <w:rPr>
          <w:rFonts w:ascii="Times New Roman" w:eastAsia="Times New Roman" w:hAnsi="Times New Roman" w:cs="Times New Roman"/>
          <w:sz w:val="24"/>
          <w:szCs w:val="24"/>
          <w:lang w:eastAsia="pt-BR"/>
        </w:rPr>
        <w:t>Fonte: Porto Alegre, 2025</w:t>
      </w:r>
    </w:p>
    <w:p w:rsidR="00C71FC7" w:rsidRDefault="00C71FC7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71FC7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As categorias de análise (Interação, Criatividade, Tomada de Decisão e Expressão) foram identificadas a partir das contribuições de autores como Costa (2015), </w:t>
      </w:r>
      <w:proofErr w:type="spellStart"/>
      <w:r w:rsidRPr="00C71FC7">
        <w:rPr>
          <w:rFonts w:ascii="Times New Roman" w:eastAsia="Times New Roman" w:hAnsi="Times New Roman" w:cs="Times New Roman"/>
          <w:sz w:val="24"/>
          <w:szCs w:val="24"/>
          <w:lang w:eastAsia="pt-BR"/>
        </w:rPr>
        <w:t>Fiorini</w:t>
      </w:r>
      <w:proofErr w:type="spellEnd"/>
      <w:r w:rsidRPr="00C71F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(2017), Silva (2021) e Mattos e </w:t>
      </w:r>
      <w:proofErr w:type="spellStart"/>
      <w:r w:rsidRPr="00C71FC7">
        <w:rPr>
          <w:rFonts w:ascii="Times New Roman" w:eastAsia="Times New Roman" w:hAnsi="Times New Roman" w:cs="Times New Roman"/>
          <w:sz w:val="24"/>
          <w:szCs w:val="24"/>
          <w:lang w:eastAsia="pt-BR"/>
        </w:rPr>
        <w:t>Lione</w:t>
      </w:r>
      <w:proofErr w:type="spellEnd"/>
      <w:r w:rsidRPr="00C71F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(2023), que exploraram diferentes tipos de brincadeiras adaptadas às necessidades específicas das crianças autistas. O Quadro </w:t>
      </w:r>
      <w:proofErr w:type="gramStart"/>
      <w:r w:rsidRPr="00C71FC7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proofErr w:type="gramEnd"/>
      <w:r w:rsidRPr="00C71F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detalha as brincadeiras utilizadas em cada categoria, destacando estratégias como brincadeiras de imitação, atividades sensoriais, jogos de encaixe e brincadeiras musicais, entre outras. Essa organização permite uma visão das práticas pedagógicas inclusivas que utilizam o brincar como ferramenta para promover o desenvolvimento integral de crianças autistas.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:rsidR="00F67319" w:rsidRPr="00F67319" w:rsidRDefault="00F67319" w:rsidP="00F67319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6731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 pesquisas sobre o brincar como </w:t>
      </w:r>
      <w:proofErr w:type="gramStart"/>
      <w:r w:rsidRPr="00F67319">
        <w:rPr>
          <w:rFonts w:ascii="Times New Roman" w:eastAsia="Times New Roman" w:hAnsi="Times New Roman" w:cs="Times New Roman"/>
          <w:sz w:val="24"/>
          <w:szCs w:val="24"/>
          <w:lang w:eastAsia="pt-BR"/>
        </w:rPr>
        <w:t>estratégia pedagógica para a inclusão de crianças autistas na Educação Infantil destacam</w:t>
      </w:r>
      <w:proofErr w:type="gramEnd"/>
      <w:r w:rsidRPr="00F6731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seu papel fundamental no desenvolvimento integral dessas crianças. O brincar, quando mediado e adaptado às necessidades específicas da criança autista, promove sua participação ativa no ambiente escolar, favorecendo aspectos emocionais, sociais e cognitivos.</w:t>
      </w:r>
    </w:p>
    <w:p w:rsidR="00F67319" w:rsidRPr="00F67319" w:rsidRDefault="00F67319" w:rsidP="00F67319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67319">
        <w:rPr>
          <w:rFonts w:ascii="Times New Roman" w:eastAsia="Times New Roman" w:hAnsi="Times New Roman" w:cs="Times New Roman"/>
          <w:sz w:val="24"/>
          <w:szCs w:val="24"/>
          <w:lang w:eastAsia="pt-BR"/>
        </w:rPr>
        <w:t>No entanto, a literatura sobre o tema ainda apresenta limitações, com poucos estudos abordando o brincar de forma sistemática, o que evidencia uma lacuna importante na produção acadêmica. Isso reforça a necessidade de ampliar as pesquisas em diferentes contextos educacionais.</w:t>
      </w:r>
    </w:p>
    <w:p w:rsidR="00F67319" w:rsidRPr="00F67319" w:rsidRDefault="00F67319" w:rsidP="00F67319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67319">
        <w:rPr>
          <w:rFonts w:ascii="Times New Roman" w:eastAsia="Times New Roman" w:hAnsi="Times New Roman" w:cs="Times New Roman"/>
          <w:sz w:val="24"/>
          <w:szCs w:val="24"/>
          <w:lang w:eastAsia="pt-BR"/>
        </w:rPr>
        <w:t>As implicações práticas apontam para a necessidade de formação continuada dos educadores e adaptação de ambientes educacionais, permitindo que crianças autistas explorem e expressem suas potencialidades. A combinação entre mediação pedagógica e formação docente é fundamental para garantir que o brincar seja uma experiência inclusiva e enriquecedora.</w:t>
      </w:r>
    </w:p>
    <w:p w:rsidR="00342DF4" w:rsidRPr="0052724E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52724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52724E" w:rsidRPr="0052724E" w:rsidRDefault="0052724E" w:rsidP="0052724E">
      <w:pPr>
        <w:rPr>
          <w:rFonts w:ascii="Times New Roman" w:hAnsi="Times New Roman" w:cs="Times New Roman"/>
          <w:sz w:val="24"/>
          <w:szCs w:val="24"/>
        </w:rPr>
      </w:pPr>
      <w:r w:rsidRPr="0052724E">
        <w:rPr>
          <w:rFonts w:ascii="Times New Roman" w:hAnsi="Times New Roman" w:cs="Times New Roman"/>
          <w:sz w:val="24"/>
          <w:szCs w:val="24"/>
        </w:rPr>
        <w:t>BARDIN, L. Análise de conteúdo. Tradução de L. de A. Rego e A. Pinheiro. São Paulo: Edições 70, 2009.</w:t>
      </w:r>
    </w:p>
    <w:p w:rsidR="0052724E" w:rsidRPr="0052724E" w:rsidRDefault="0052724E" w:rsidP="0052724E">
      <w:pPr>
        <w:rPr>
          <w:rFonts w:ascii="Times New Roman" w:hAnsi="Times New Roman" w:cs="Times New Roman"/>
          <w:sz w:val="24"/>
          <w:szCs w:val="24"/>
        </w:rPr>
      </w:pPr>
      <w:r w:rsidRPr="0052724E">
        <w:rPr>
          <w:rFonts w:ascii="Times New Roman" w:hAnsi="Times New Roman" w:cs="Times New Roman"/>
          <w:sz w:val="24"/>
          <w:szCs w:val="24"/>
        </w:rPr>
        <w:t>BRASIL. Plano Nacional de Educação. Lei nº 13.005, de 25 de junho de 2014. Brasília: Presidência da República, 2014-2024.</w:t>
      </w:r>
    </w:p>
    <w:p w:rsidR="0052724E" w:rsidRPr="0052724E" w:rsidRDefault="0052724E" w:rsidP="0052724E">
      <w:pPr>
        <w:rPr>
          <w:rFonts w:ascii="Times New Roman" w:hAnsi="Times New Roman" w:cs="Times New Roman"/>
          <w:sz w:val="24"/>
          <w:szCs w:val="24"/>
        </w:rPr>
      </w:pPr>
      <w:r w:rsidRPr="0052724E">
        <w:rPr>
          <w:rFonts w:ascii="Times New Roman" w:hAnsi="Times New Roman" w:cs="Times New Roman"/>
          <w:sz w:val="24"/>
          <w:szCs w:val="24"/>
        </w:rPr>
        <w:t>BRASIL. Plano Nacional para Primeira Infância- PNPI: 2010 - 2022 / 2020 – 2030. 2ª ed. Brasília: RNPI/ANDI, 2020.</w:t>
      </w:r>
    </w:p>
    <w:p w:rsidR="0052724E" w:rsidRPr="0052724E" w:rsidRDefault="0052724E" w:rsidP="0052724E">
      <w:pPr>
        <w:rPr>
          <w:rFonts w:ascii="Times New Roman" w:hAnsi="Times New Roman" w:cs="Times New Roman"/>
          <w:sz w:val="24"/>
          <w:szCs w:val="24"/>
        </w:rPr>
      </w:pPr>
      <w:r w:rsidRPr="0052724E">
        <w:rPr>
          <w:rFonts w:ascii="Times New Roman" w:hAnsi="Times New Roman" w:cs="Times New Roman"/>
          <w:sz w:val="24"/>
          <w:szCs w:val="24"/>
        </w:rPr>
        <w:t xml:space="preserve">BROUGÉRE, G. Brinquedo e cultura. 2. </w:t>
      </w:r>
      <w:proofErr w:type="gramStart"/>
      <w:r w:rsidRPr="0052724E">
        <w:rPr>
          <w:rFonts w:ascii="Times New Roman" w:hAnsi="Times New Roman" w:cs="Times New Roman"/>
          <w:sz w:val="24"/>
          <w:szCs w:val="24"/>
        </w:rPr>
        <w:t>ed.</w:t>
      </w:r>
      <w:proofErr w:type="gramEnd"/>
      <w:r w:rsidRPr="0052724E">
        <w:rPr>
          <w:rFonts w:ascii="Times New Roman" w:hAnsi="Times New Roman" w:cs="Times New Roman"/>
          <w:sz w:val="24"/>
          <w:szCs w:val="24"/>
        </w:rPr>
        <w:t xml:space="preserve"> São Paulo: Cortez, 1997.</w:t>
      </w:r>
    </w:p>
    <w:p w:rsidR="0052724E" w:rsidRPr="0052724E" w:rsidRDefault="0052724E" w:rsidP="0052724E">
      <w:pPr>
        <w:rPr>
          <w:rFonts w:ascii="Times New Roman" w:hAnsi="Times New Roman" w:cs="Times New Roman"/>
          <w:sz w:val="24"/>
          <w:szCs w:val="24"/>
        </w:rPr>
      </w:pPr>
      <w:r w:rsidRPr="0052724E">
        <w:rPr>
          <w:rFonts w:ascii="Times New Roman" w:hAnsi="Times New Roman" w:cs="Times New Roman"/>
          <w:sz w:val="24"/>
          <w:szCs w:val="24"/>
        </w:rPr>
        <w:t>COMITÊ DOS DIREITOS DA CRIANÇA (ONU). Convenção sobre os Direitos da Criança. Nações Unidas, 2013.</w:t>
      </w:r>
    </w:p>
    <w:p w:rsidR="0052724E" w:rsidRPr="0052724E" w:rsidRDefault="0052724E" w:rsidP="0052724E">
      <w:pPr>
        <w:rPr>
          <w:rFonts w:ascii="Times New Roman" w:hAnsi="Times New Roman" w:cs="Times New Roman"/>
          <w:sz w:val="24"/>
          <w:szCs w:val="24"/>
        </w:rPr>
      </w:pPr>
      <w:r w:rsidRPr="0052724E">
        <w:rPr>
          <w:rFonts w:ascii="Times New Roman" w:hAnsi="Times New Roman" w:cs="Times New Roman"/>
          <w:sz w:val="24"/>
          <w:szCs w:val="24"/>
        </w:rPr>
        <w:t>COSTA, Fernanda Aparecida de Souza Corrêa. O papel do brincar na inclusão de crianças autistas na Educação Infantil. Dissertação de mestrado, Universidade Estadual de Campinas, Campinas, 2015.</w:t>
      </w:r>
    </w:p>
    <w:p w:rsidR="0052724E" w:rsidRPr="0052724E" w:rsidRDefault="0052724E" w:rsidP="0052724E">
      <w:pPr>
        <w:rPr>
          <w:rFonts w:ascii="Times New Roman" w:hAnsi="Times New Roman" w:cs="Times New Roman"/>
          <w:sz w:val="24"/>
          <w:szCs w:val="24"/>
        </w:rPr>
      </w:pPr>
      <w:r w:rsidRPr="0052724E">
        <w:rPr>
          <w:rFonts w:ascii="Times New Roman" w:hAnsi="Times New Roman" w:cs="Times New Roman"/>
          <w:sz w:val="24"/>
          <w:szCs w:val="24"/>
        </w:rPr>
        <w:t>DONOVAN, J</w:t>
      </w:r>
      <w:proofErr w:type="gramStart"/>
      <w:r w:rsidRPr="0052724E">
        <w:rPr>
          <w:rFonts w:ascii="Times New Roman" w:hAnsi="Times New Roman" w:cs="Times New Roman"/>
          <w:sz w:val="24"/>
          <w:szCs w:val="24"/>
        </w:rPr>
        <w:t>.;</w:t>
      </w:r>
      <w:proofErr w:type="gramEnd"/>
      <w:r w:rsidRPr="0052724E">
        <w:rPr>
          <w:rFonts w:ascii="Times New Roman" w:hAnsi="Times New Roman" w:cs="Times New Roman"/>
          <w:sz w:val="24"/>
          <w:szCs w:val="24"/>
        </w:rPr>
        <w:t xml:space="preserve"> ZUCKER, C. Outra sintonia: a história do autismo. 1. </w:t>
      </w:r>
      <w:proofErr w:type="gramStart"/>
      <w:r w:rsidRPr="0052724E">
        <w:rPr>
          <w:rFonts w:ascii="Times New Roman" w:hAnsi="Times New Roman" w:cs="Times New Roman"/>
          <w:sz w:val="24"/>
          <w:szCs w:val="24"/>
        </w:rPr>
        <w:t>ed.</w:t>
      </w:r>
      <w:proofErr w:type="gramEnd"/>
      <w:r w:rsidRPr="0052724E">
        <w:rPr>
          <w:rFonts w:ascii="Times New Roman" w:hAnsi="Times New Roman" w:cs="Times New Roman"/>
          <w:sz w:val="24"/>
          <w:szCs w:val="24"/>
        </w:rPr>
        <w:t xml:space="preserve"> São Paulo: Companhia das Letras, 2017.</w:t>
      </w:r>
    </w:p>
    <w:p w:rsidR="0052724E" w:rsidRPr="0052724E" w:rsidRDefault="0052724E" w:rsidP="0052724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2724E">
        <w:rPr>
          <w:rFonts w:ascii="Times New Roman" w:hAnsi="Times New Roman" w:cs="Times New Roman"/>
          <w:sz w:val="24"/>
          <w:szCs w:val="24"/>
        </w:rPr>
        <w:lastRenderedPageBreak/>
        <w:t>FARIA,</w:t>
      </w:r>
      <w:proofErr w:type="gramEnd"/>
      <w:r w:rsidRPr="0052724E">
        <w:rPr>
          <w:rFonts w:ascii="Times New Roman" w:hAnsi="Times New Roman" w:cs="Times New Roman"/>
          <w:sz w:val="24"/>
          <w:szCs w:val="24"/>
        </w:rPr>
        <w:t xml:space="preserve"> Ana </w:t>
      </w:r>
      <w:proofErr w:type="spellStart"/>
      <w:r w:rsidRPr="0052724E">
        <w:rPr>
          <w:rFonts w:ascii="Times New Roman" w:hAnsi="Times New Roman" w:cs="Times New Roman"/>
          <w:sz w:val="24"/>
          <w:szCs w:val="24"/>
        </w:rPr>
        <w:t>Gisélia</w:t>
      </w:r>
      <w:proofErr w:type="spellEnd"/>
      <w:r w:rsidRPr="0052724E">
        <w:rPr>
          <w:rFonts w:ascii="Times New Roman" w:hAnsi="Times New Roman" w:cs="Times New Roman"/>
          <w:sz w:val="24"/>
          <w:szCs w:val="24"/>
        </w:rPr>
        <w:t>; CAMARGO, Eliane Aparecida. Brincar: Um direito da criança autista. São Paulo: Paulinas, 2018.</w:t>
      </w:r>
    </w:p>
    <w:p w:rsidR="0052724E" w:rsidRPr="0052724E" w:rsidRDefault="0052724E" w:rsidP="0052724E">
      <w:pPr>
        <w:rPr>
          <w:rFonts w:ascii="Times New Roman" w:hAnsi="Times New Roman" w:cs="Times New Roman"/>
          <w:sz w:val="24"/>
          <w:szCs w:val="24"/>
        </w:rPr>
      </w:pPr>
      <w:r w:rsidRPr="0052724E">
        <w:rPr>
          <w:rFonts w:ascii="Times New Roman" w:hAnsi="Times New Roman" w:cs="Times New Roman"/>
          <w:sz w:val="24"/>
          <w:szCs w:val="24"/>
        </w:rPr>
        <w:t>FIORINI, Bianca Sampaio. Brincadeiras e inclusão: Estratégias pedagógicas para crianças autistas. Tese de doutorado, Universidade de São Paulo, São Paulo, 2017.</w:t>
      </w:r>
    </w:p>
    <w:p w:rsidR="0052724E" w:rsidRPr="0052724E" w:rsidRDefault="0052724E" w:rsidP="0052724E">
      <w:pPr>
        <w:rPr>
          <w:rFonts w:ascii="Times New Roman" w:hAnsi="Times New Roman" w:cs="Times New Roman"/>
          <w:sz w:val="24"/>
          <w:szCs w:val="24"/>
        </w:rPr>
      </w:pPr>
      <w:r w:rsidRPr="0052724E">
        <w:rPr>
          <w:rFonts w:ascii="Times New Roman" w:hAnsi="Times New Roman" w:cs="Times New Roman"/>
          <w:sz w:val="24"/>
          <w:szCs w:val="24"/>
        </w:rPr>
        <w:t xml:space="preserve">FRIEDMANN, A. O direito de brincar: a </w:t>
      </w:r>
      <w:proofErr w:type="spellStart"/>
      <w:r w:rsidRPr="0052724E">
        <w:rPr>
          <w:rFonts w:ascii="Times New Roman" w:hAnsi="Times New Roman" w:cs="Times New Roman"/>
          <w:sz w:val="24"/>
          <w:szCs w:val="24"/>
        </w:rPr>
        <w:t>brinquedoteca</w:t>
      </w:r>
      <w:proofErr w:type="spellEnd"/>
      <w:r w:rsidRPr="0052724E">
        <w:rPr>
          <w:rFonts w:ascii="Times New Roman" w:hAnsi="Times New Roman" w:cs="Times New Roman"/>
          <w:sz w:val="24"/>
          <w:szCs w:val="24"/>
        </w:rPr>
        <w:t xml:space="preserve">. 4. </w:t>
      </w:r>
      <w:proofErr w:type="gramStart"/>
      <w:r w:rsidRPr="0052724E">
        <w:rPr>
          <w:rFonts w:ascii="Times New Roman" w:hAnsi="Times New Roman" w:cs="Times New Roman"/>
          <w:sz w:val="24"/>
          <w:szCs w:val="24"/>
        </w:rPr>
        <w:t>ed.</w:t>
      </w:r>
      <w:proofErr w:type="gramEnd"/>
      <w:r w:rsidRPr="0052724E">
        <w:rPr>
          <w:rFonts w:ascii="Times New Roman" w:hAnsi="Times New Roman" w:cs="Times New Roman"/>
          <w:sz w:val="24"/>
          <w:szCs w:val="24"/>
        </w:rPr>
        <w:t xml:space="preserve"> São Paulo: </w:t>
      </w:r>
      <w:proofErr w:type="spellStart"/>
      <w:r w:rsidRPr="0052724E">
        <w:rPr>
          <w:rFonts w:ascii="Times New Roman" w:hAnsi="Times New Roman" w:cs="Times New Roman"/>
          <w:sz w:val="24"/>
          <w:szCs w:val="24"/>
        </w:rPr>
        <w:t>Abrinq</w:t>
      </w:r>
      <w:proofErr w:type="spellEnd"/>
      <w:r w:rsidRPr="0052724E">
        <w:rPr>
          <w:rFonts w:ascii="Times New Roman" w:hAnsi="Times New Roman" w:cs="Times New Roman"/>
          <w:sz w:val="24"/>
          <w:szCs w:val="24"/>
        </w:rPr>
        <w:t>, 1996.</w:t>
      </w:r>
    </w:p>
    <w:p w:rsidR="0052724E" w:rsidRPr="0052724E" w:rsidRDefault="0052724E" w:rsidP="0052724E">
      <w:pPr>
        <w:rPr>
          <w:rFonts w:ascii="Times New Roman" w:hAnsi="Times New Roman" w:cs="Times New Roman"/>
          <w:sz w:val="24"/>
          <w:szCs w:val="24"/>
        </w:rPr>
      </w:pPr>
      <w:r w:rsidRPr="0052724E">
        <w:rPr>
          <w:rFonts w:ascii="Times New Roman" w:hAnsi="Times New Roman" w:cs="Times New Roman"/>
          <w:sz w:val="24"/>
          <w:szCs w:val="24"/>
        </w:rPr>
        <w:t xml:space="preserve">KISHIMOTO, T. M. Brinquedos e brincadeiras na educação infantil. 4. </w:t>
      </w:r>
      <w:proofErr w:type="gramStart"/>
      <w:r w:rsidRPr="0052724E">
        <w:rPr>
          <w:rFonts w:ascii="Times New Roman" w:hAnsi="Times New Roman" w:cs="Times New Roman"/>
          <w:sz w:val="24"/>
          <w:szCs w:val="24"/>
        </w:rPr>
        <w:t>ed.</w:t>
      </w:r>
      <w:proofErr w:type="gramEnd"/>
      <w:r w:rsidRPr="0052724E">
        <w:rPr>
          <w:rFonts w:ascii="Times New Roman" w:hAnsi="Times New Roman" w:cs="Times New Roman"/>
          <w:sz w:val="24"/>
          <w:szCs w:val="24"/>
        </w:rPr>
        <w:t xml:space="preserve"> São Paulo: Cortez, 2016.</w:t>
      </w:r>
    </w:p>
    <w:p w:rsidR="0052724E" w:rsidRPr="0052724E" w:rsidRDefault="0052724E" w:rsidP="0052724E">
      <w:pPr>
        <w:rPr>
          <w:rFonts w:ascii="Times New Roman" w:hAnsi="Times New Roman" w:cs="Times New Roman"/>
          <w:sz w:val="24"/>
          <w:szCs w:val="24"/>
        </w:rPr>
      </w:pPr>
      <w:r w:rsidRPr="0052724E">
        <w:rPr>
          <w:rFonts w:ascii="Times New Roman" w:hAnsi="Times New Roman" w:cs="Times New Roman"/>
          <w:sz w:val="24"/>
          <w:szCs w:val="24"/>
        </w:rPr>
        <w:t xml:space="preserve">MATTOS, Michele </w:t>
      </w:r>
      <w:proofErr w:type="spellStart"/>
      <w:r w:rsidRPr="0052724E">
        <w:rPr>
          <w:rFonts w:ascii="Times New Roman" w:hAnsi="Times New Roman" w:cs="Times New Roman"/>
          <w:sz w:val="24"/>
          <w:szCs w:val="24"/>
        </w:rPr>
        <w:t>Morgane</w:t>
      </w:r>
      <w:proofErr w:type="spellEnd"/>
      <w:r w:rsidRPr="0052724E">
        <w:rPr>
          <w:rFonts w:ascii="Times New Roman" w:hAnsi="Times New Roman" w:cs="Times New Roman"/>
          <w:sz w:val="24"/>
          <w:szCs w:val="24"/>
        </w:rPr>
        <w:t xml:space="preserve"> de Melo; LIONE, Viviane de Oliveira Freitas. Brincar e inclusão: Estratégias para crianças autistas na Educação Infantil. Revista de Educação Inclusiva, v. 15, n. 2, p. 45-60, 2023.</w:t>
      </w:r>
    </w:p>
    <w:p w:rsidR="0052724E" w:rsidRPr="0052724E" w:rsidRDefault="0052724E" w:rsidP="0052724E">
      <w:pPr>
        <w:rPr>
          <w:rFonts w:ascii="Times New Roman" w:hAnsi="Times New Roman" w:cs="Times New Roman"/>
          <w:sz w:val="24"/>
          <w:szCs w:val="24"/>
        </w:rPr>
      </w:pPr>
      <w:r w:rsidRPr="0052724E">
        <w:rPr>
          <w:rFonts w:ascii="Times New Roman" w:hAnsi="Times New Roman" w:cs="Times New Roman"/>
          <w:sz w:val="24"/>
          <w:szCs w:val="24"/>
        </w:rPr>
        <w:t xml:space="preserve">PLETSCH, Marlene </w:t>
      </w:r>
      <w:proofErr w:type="spellStart"/>
      <w:r w:rsidRPr="0052724E">
        <w:rPr>
          <w:rFonts w:ascii="Times New Roman" w:hAnsi="Times New Roman" w:cs="Times New Roman"/>
          <w:sz w:val="24"/>
          <w:szCs w:val="24"/>
        </w:rPr>
        <w:t>Dambros</w:t>
      </w:r>
      <w:proofErr w:type="spellEnd"/>
      <w:r w:rsidRPr="0052724E">
        <w:rPr>
          <w:rFonts w:ascii="Times New Roman" w:hAnsi="Times New Roman" w:cs="Times New Roman"/>
          <w:sz w:val="24"/>
          <w:szCs w:val="24"/>
        </w:rPr>
        <w:t>. Educação Inclusiva: Um guia para educadores. Porto Alegre: Sulina, 2009.</w:t>
      </w:r>
    </w:p>
    <w:p w:rsidR="0052724E" w:rsidRPr="0052724E" w:rsidRDefault="0052724E" w:rsidP="0052724E">
      <w:pPr>
        <w:rPr>
          <w:rFonts w:ascii="Times New Roman" w:hAnsi="Times New Roman" w:cs="Times New Roman"/>
          <w:sz w:val="24"/>
          <w:szCs w:val="24"/>
        </w:rPr>
      </w:pPr>
      <w:r w:rsidRPr="0052724E">
        <w:rPr>
          <w:rFonts w:ascii="Times New Roman" w:hAnsi="Times New Roman" w:cs="Times New Roman"/>
          <w:sz w:val="24"/>
          <w:szCs w:val="24"/>
        </w:rPr>
        <w:t xml:space="preserve">REGO, Teresa Cristina. </w:t>
      </w:r>
      <w:proofErr w:type="spellStart"/>
      <w:r w:rsidRPr="0052724E">
        <w:rPr>
          <w:rFonts w:ascii="Times New Roman" w:hAnsi="Times New Roman" w:cs="Times New Roman"/>
          <w:sz w:val="24"/>
          <w:szCs w:val="24"/>
        </w:rPr>
        <w:t>Vygotsky</w:t>
      </w:r>
      <w:proofErr w:type="spellEnd"/>
      <w:r w:rsidRPr="0052724E">
        <w:rPr>
          <w:rFonts w:ascii="Times New Roman" w:hAnsi="Times New Roman" w:cs="Times New Roman"/>
          <w:sz w:val="24"/>
          <w:szCs w:val="24"/>
        </w:rPr>
        <w:t xml:space="preserve">: Uma perspectiva histórico-cultural da educação. São Paulo: </w:t>
      </w:r>
      <w:proofErr w:type="spellStart"/>
      <w:r w:rsidRPr="0052724E">
        <w:rPr>
          <w:rFonts w:ascii="Times New Roman" w:hAnsi="Times New Roman" w:cs="Times New Roman"/>
          <w:sz w:val="24"/>
          <w:szCs w:val="24"/>
        </w:rPr>
        <w:t>Scipione</w:t>
      </w:r>
      <w:proofErr w:type="spellEnd"/>
      <w:r w:rsidRPr="0052724E">
        <w:rPr>
          <w:rFonts w:ascii="Times New Roman" w:hAnsi="Times New Roman" w:cs="Times New Roman"/>
          <w:sz w:val="24"/>
          <w:szCs w:val="24"/>
        </w:rPr>
        <w:t>, 2001.</w:t>
      </w:r>
    </w:p>
    <w:p w:rsidR="0052724E" w:rsidRPr="0052724E" w:rsidRDefault="0052724E" w:rsidP="0052724E">
      <w:pPr>
        <w:rPr>
          <w:rFonts w:ascii="Times New Roman" w:hAnsi="Times New Roman" w:cs="Times New Roman"/>
          <w:sz w:val="24"/>
          <w:szCs w:val="24"/>
        </w:rPr>
      </w:pPr>
      <w:r w:rsidRPr="0052724E">
        <w:rPr>
          <w:rFonts w:ascii="Times New Roman" w:hAnsi="Times New Roman" w:cs="Times New Roman"/>
          <w:sz w:val="24"/>
          <w:szCs w:val="24"/>
        </w:rPr>
        <w:t xml:space="preserve">SILVA, </w:t>
      </w:r>
      <w:proofErr w:type="spellStart"/>
      <w:r w:rsidRPr="0052724E">
        <w:rPr>
          <w:rFonts w:ascii="Times New Roman" w:hAnsi="Times New Roman" w:cs="Times New Roman"/>
          <w:sz w:val="24"/>
          <w:szCs w:val="24"/>
        </w:rPr>
        <w:t>Naísa</w:t>
      </w:r>
      <w:proofErr w:type="spellEnd"/>
      <w:r w:rsidRPr="0052724E">
        <w:rPr>
          <w:rFonts w:ascii="Times New Roman" w:hAnsi="Times New Roman" w:cs="Times New Roman"/>
          <w:sz w:val="24"/>
          <w:szCs w:val="24"/>
        </w:rPr>
        <w:t xml:space="preserve"> Afonso </w:t>
      </w:r>
      <w:proofErr w:type="spellStart"/>
      <w:proofErr w:type="gramStart"/>
      <w:r w:rsidRPr="0052724E">
        <w:rPr>
          <w:rFonts w:ascii="Times New Roman" w:hAnsi="Times New Roman" w:cs="Times New Roman"/>
          <w:sz w:val="24"/>
          <w:szCs w:val="24"/>
        </w:rPr>
        <w:t>da.</w:t>
      </w:r>
      <w:proofErr w:type="spellEnd"/>
      <w:proofErr w:type="gramEnd"/>
      <w:r w:rsidRPr="0052724E">
        <w:rPr>
          <w:rFonts w:ascii="Times New Roman" w:hAnsi="Times New Roman" w:cs="Times New Roman"/>
          <w:sz w:val="24"/>
          <w:szCs w:val="24"/>
        </w:rPr>
        <w:t xml:space="preserve"> O brincar como estratégia pedagógica na inclusão de crianças autistas. Dissertação de mestrado, Universidade Federal do Rio de Janeiro, Rio de Janeiro, 2021.</w:t>
      </w:r>
    </w:p>
    <w:p w:rsidR="0052724E" w:rsidRPr="0052724E" w:rsidRDefault="0052724E" w:rsidP="0052724E">
      <w:pPr>
        <w:rPr>
          <w:rFonts w:ascii="Times New Roman" w:hAnsi="Times New Roman" w:cs="Times New Roman"/>
          <w:sz w:val="24"/>
          <w:szCs w:val="24"/>
        </w:rPr>
      </w:pPr>
      <w:r w:rsidRPr="0052724E">
        <w:rPr>
          <w:rFonts w:ascii="Times New Roman" w:hAnsi="Times New Roman" w:cs="Times New Roman"/>
          <w:sz w:val="24"/>
          <w:szCs w:val="24"/>
        </w:rPr>
        <w:t xml:space="preserve">SILVA, Tânia Maria; SILVA, Ana Paula. Brincadeira e desenvolvimento infantil. São Paulo: </w:t>
      </w:r>
      <w:proofErr w:type="spellStart"/>
      <w:r w:rsidRPr="0052724E">
        <w:rPr>
          <w:rFonts w:ascii="Times New Roman" w:hAnsi="Times New Roman" w:cs="Times New Roman"/>
          <w:sz w:val="24"/>
          <w:szCs w:val="24"/>
        </w:rPr>
        <w:t>Cengage</w:t>
      </w:r>
      <w:proofErr w:type="spellEnd"/>
      <w:r w:rsidRPr="00527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24E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52724E">
        <w:rPr>
          <w:rFonts w:ascii="Times New Roman" w:hAnsi="Times New Roman" w:cs="Times New Roman"/>
          <w:sz w:val="24"/>
          <w:szCs w:val="24"/>
        </w:rPr>
        <w:t>, 2019.</w:t>
      </w:r>
    </w:p>
    <w:p w:rsidR="0052724E" w:rsidRPr="0052724E" w:rsidRDefault="0052724E" w:rsidP="0052724E">
      <w:pPr>
        <w:rPr>
          <w:rFonts w:ascii="Times New Roman" w:hAnsi="Times New Roman" w:cs="Times New Roman"/>
          <w:sz w:val="24"/>
          <w:szCs w:val="24"/>
        </w:rPr>
      </w:pPr>
      <w:r w:rsidRPr="0052724E">
        <w:rPr>
          <w:rFonts w:ascii="Times New Roman" w:hAnsi="Times New Roman" w:cs="Times New Roman"/>
          <w:sz w:val="24"/>
          <w:szCs w:val="24"/>
        </w:rPr>
        <w:t>TIRIBA, Luciana. O brincar na natureza: Um estudo sobre a criatividade infantil. Curitiba: UFPR, 2010.</w:t>
      </w:r>
    </w:p>
    <w:p w:rsidR="0052724E" w:rsidRPr="0052724E" w:rsidRDefault="0052724E" w:rsidP="0052724E">
      <w:pPr>
        <w:rPr>
          <w:rFonts w:ascii="Times New Roman" w:hAnsi="Times New Roman" w:cs="Times New Roman"/>
          <w:sz w:val="24"/>
          <w:szCs w:val="24"/>
        </w:rPr>
      </w:pPr>
      <w:r w:rsidRPr="0052724E">
        <w:rPr>
          <w:rFonts w:ascii="Times New Roman" w:hAnsi="Times New Roman" w:cs="Times New Roman"/>
          <w:sz w:val="24"/>
          <w:szCs w:val="24"/>
        </w:rPr>
        <w:t xml:space="preserve">VYGOTSKY, </w:t>
      </w:r>
      <w:proofErr w:type="spellStart"/>
      <w:r w:rsidRPr="0052724E">
        <w:rPr>
          <w:rFonts w:ascii="Times New Roman" w:hAnsi="Times New Roman" w:cs="Times New Roman"/>
          <w:sz w:val="24"/>
          <w:szCs w:val="24"/>
        </w:rPr>
        <w:t>Lev</w:t>
      </w:r>
      <w:proofErr w:type="spellEnd"/>
      <w:r w:rsidRPr="00527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24E">
        <w:rPr>
          <w:rFonts w:ascii="Times New Roman" w:hAnsi="Times New Roman" w:cs="Times New Roman"/>
          <w:sz w:val="24"/>
          <w:szCs w:val="24"/>
        </w:rPr>
        <w:t>Semenovich</w:t>
      </w:r>
      <w:proofErr w:type="spellEnd"/>
      <w:r w:rsidRPr="0052724E">
        <w:rPr>
          <w:rFonts w:ascii="Times New Roman" w:hAnsi="Times New Roman" w:cs="Times New Roman"/>
          <w:sz w:val="24"/>
          <w:szCs w:val="24"/>
        </w:rPr>
        <w:t>. A formação social da mente. São Paulo: Martins Fontes, 1979.</w:t>
      </w:r>
    </w:p>
    <w:p w:rsidR="00342DF4" w:rsidRPr="0052724E" w:rsidRDefault="0052724E">
      <w:pPr>
        <w:rPr>
          <w:rFonts w:ascii="Times New Roman" w:hAnsi="Times New Roman" w:cs="Times New Roman"/>
          <w:sz w:val="24"/>
          <w:szCs w:val="24"/>
        </w:rPr>
      </w:pPr>
      <w:r w:rsidRPr="0052724E">
        <w:rPr>
          <w:rFonts w:ascii="Times New Roman" w:hAnsi="Times New Roman" w:cs="Times New Roman"/>
          <w:sz w:val="24"/>
          <w:szCs w:val="24"/>
        </w:rPr>
        <w:t xml:space="preserve">VYGOTSKY, </w:t>
      </w:r>
      <w:proofErr w:type="spellStart"/>
      <w:r w:rsidRPr="0052724E">
        <w:rPr>
          <w:rFonts w:ascii="Times New Roman" w:hAnsi="Times New Roman" w:cs="Times New Roman"/>
          <w:sz w:val="24"/>
          <w:szCs w:val="24"/>
        </w:rPr>
        <w:t>Lev</w:t>
      </w:r>
      <w:proofErr w:type="spellEnd"/>
      <w:r w:rsidRPr="005272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724E">
        <w:rPr>
          <w:rFonts w:ascii="Times New Roman" w:hAnsi="Times New Roman" w:cs="Times New Roman"/>
          <w:sz w:val="24"/>
          <w:szCs w:val="24"/>
        </w:rPr>
        <w:t>Semenovich</w:t>
      </w:r>
      <w:proofErr w:type="spellEnd"/>
      <w:r w:rsidRPr="0052724E">
        <w:rPr>
          <w:rFonts w:ascii="Times New Roman" w:hAnsi="Times New Roman" w:cs="Times New Roman"/>
          <w:sz w:val="24"/>
          <w:szCs w:val="24"/>
        </w:rPr>
        <w:t xml:space="preserve">. O desenvolvimento cognitivo da criança. Rio de Janeiro: </w:t>
      </w:r>
      <w:proofErr w:type="spellStart"/>
      <w:r w:rsidRPr="0052724E">
        <w:rPr>
          <w:rFonts w:ascii="Times New Roman" w:hAnsi="Times New Roman" w:cs="Times New Roman"/>
          <w:sz w:val="24"/>
          <w:szCs w:val="24"/>
        </w:rPr>
        <w:t>Revan</w:t>
      </w:r>
      <w:proofErr w:type="spellEnd"/>
      <w:r w:rsidRPr="0052724E">
        <w:rPr>
          <w:rFonts w:ascii="Times New Roman" w:hAnsi="Times New Roman" w:cs="Times New Roman"/>
          <w:sz w:val="24"/>
          <w:szCs w:val="24"/>
        </w:rPr>
        <w:t>, 1991.</w:t>
      </w:r>
    </w:p>
    <w:sectPr w:rsidR="00342DF4" w:rsidRPr="0052724E" w:rsidSect="008D70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8C450E"/>
    <w:multiLevelType w:val="multilevel"/>
    <w:tmpl w:val="D4D6C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C33EDB"/>
    <w:multiLevelType w:val="multilevel"/>
    <w:tmpl w:val="0CD6C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64BAF"/>
    <w:rsid w:val="0016164D"/>
    <w:rsid w:val="0019345A"/>
    <w:rsid w:val="002473AB"/>
    <w:rsid w:val="002674C2"/>
    <w:rsid w:val="00290337"/>
    <w:rsid w:val="002B5289"/>
    <w:rsid w:val="002D0AAE"/>
    <w:rsid w:val="00316D2C"/>
    <w:rsid w:val="00342DF4"/>
    <w:rsid w:val="003B3E13"/>
    <w:rsid w:val="003F436B"/>
    <w:rsid w:val="004C5CEC"/>
    <w:rsid w:val="0052724E"/>
    <w:rsid w:val="00601AAE"/>
    <w:rsid w:val="00660186"/>
    <w:rsid w:val="006B7121"/>
    <w:rsid w:val="00773D54"/>
    <w:rsid w:val="007932BE"/>
    <w:rsid w:val="008D701E"/>
    <w:rsid w:val="00941F25"/>
    <w:rsid w:val="009B4014"/>
    <w:rsid w:val="00A53229"/>
    <w:rsid w:val="00A7199F"/>
    <w:rsid w:val="00B66A8F"/>
    <w:rsid w:val="00C533F4"/>
    <w:rsid w:val="00C71FC7"/>
    <w:rsid w:val="00DC79A8"/>
    <w:rsid w:val="00E64BAF"/>
    <w:rsid w:val="00E77E7D"/>
    <w:rsid w:val="00F404DC"/>
    <w:rsid w:val="00F67319"/>
    <w:rsid w:val="00F955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01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5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5289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E77E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B7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7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676793">
          <w:marLeft w:val="0"/>
          <w:marRight w:val="0"/>
          <w:marTop w:val="0"/>
          <w:marBottom w:val="0"/>
          <w:divBdr>
            <w:top w:val="single" w:sz="4" w:space="0" w:color="E6E8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33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81607">
          <w:marLeft w:val="0"/>
          <w:marRight w:val="0"/>
          <w:marTop w:val="0"/>
          <w:marBottom w:val="0"/>
          <w:divBdr>
            <w:top w:val="single" w:sz="4" w:space="0" w:color="E6E8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1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C2C22-F580-4FCC-86E8-7C013DC9A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1777</Words>
  <Characters>9602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Professor</cp:lastModifiedBy>
  <cp:revision>15</cp:revision>
  <dcterms:created xsi:type="dcterms:W3CDTF">2025-07-07T16:04:00Z</dcterms:created>
  <dcterms:modified xsi:type="dcterms:W3CDTF">2025-09-05T15:00:00Z</dcterms:modified>
</cp:coreProperties>
</file>