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s/font29.odttf" ContentType="application/vnd.openxmlformats-officedocument.obfuscatedFont"/>
  <Override PartName="/word/fonts/font30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60" w:after="60"/>
        <w:ind w:hanging="2" w:left="0"/>
        <w:rPr>
          <w:rFonts w:ascii="Open Sans" w:hAnsi="Open Sans" w:eastAsia="Open Sans" w:cs="Open Sans"/>
          <w:b/>
          <w:lang w:val="pt-BR"/>
        </w:rPr>
      </w:pPr>
      <w:r>
        <w:rPr>
          <w:rFonts w:eastAsia="Open Sans" w:cs="Open Sans" w:ascii="Open Sans" w:hAnsi="Open Sans"/>
          <w:b/>
          <w:lang w:val="pt-BR"/>
        </w:rPr>
      </w:r>
      <w:bookmarkStart w:id="0" w:name="_GoBack"/>
      <w:bookmarkStart w:id="1" w:name="_GoBack"/>
      <w:bookmarkEnd w:id="1"/>
    </w:p>
    <w:p>
      <w:pPr>
        <w:pStyle w:val="Normal"/>
        <w:outlineLvl w:val="9"/>
        <w:rPr/>
      </w:pPr>
      <w:r>
        <w:rPr>
          <w:rStyle w:val="Strong"/>
          <w:rFonts w:eastAsia="Open Sans" w:cs="Open Sans" w:ascii="Open Sans" w:hAnsi="Open Sans"/>
          <w:sz w:val="24"/>
          <w:szCs w:val="24"/>
          <w:lang w:val="pt-BR"/>
        </w:rPr>
        <w:t>VAMOS FALAR DO OUTUBRO ROSA?</w:t>
      </w:r>
      <w:r>
        <w:rPr>
          <w:rStyle w:val="Strong"/>
          <w:rFonts w:eastAsia="Open Sans" w:cs="Open Sans" w:ascii="Open Sans" w:hAnsi="Open Sans"/>
          <w:sz w:val="24"/>
          <w:szCs w:val="24"/>
          <w:lang w:val="pt-BR"/>
        </w:rPr>
        <w:t xml:space="preserve"> Estudantes de Medicina dialogam com a EJA e a Pedagogia</w:t>
      </w:r>
    </w:p>
    <w:p>
      <w:pPr>
        <w:pStyle w:val="Normal"/>
        <w:spacing w:lineRule="auto" w:line="276"/>
        <w:ind w:hanging="2" w:left="0"/>
        <w:rPr>
          <w:rFonts w:ascii="Open Sans" w:hAnsi="Open Sans" w:eastAsia="Open Sans" w:cs="Open Sans"/>
          <w:sz w:val="28"/>
          <w:szCs w:val="28"/>
          <w:lang w:val="pt-BR"/>
        </w:rPr>
      </w:pPr>
      <w:r>
        <w:rPr>
          <w:rFonts w:eastAsia="Open Sans" w:cs="Open Sans" w:ascii="Open Sans" w:hAnsi="Open Sans"/>
          <w:sz w:val="28"/>
          <w:szCs w:val="28"/>
          <w:lang w:val="pt-BR"/>
        </w:rPr>
      </w:r>
    </w:p>
    <w:p>
      <w:pPr>
        <w:pStyle w:val="Normal"/>
        <w:jc w:val="right"/>
        <w:outlineLvl w:val="9"/>
        <w:rPr>
          <w:b/>
          <w:lang w:val="pt-BR"/>
        </w:rPr>
      </w:pPr>
      <w:r>
        <w:rPr>
          <w:b/>
          <w:lang w:val="pt-BR"/>
        </w:rPr>
        <w:t>Claudenice Cardoso Brito, UFNT, claudenice.brito@ufnt.edu.br</w:t>
      </w:r>
    </w:p>
    <w:p>
      <w:pPr>
        <w:pStyle w:val="Normal"/>
        <w:jc w:val="right"/>
        <w:outlineLvl w:val="9"/>
        <w:rPr>
          <w:b/>
          <w:lang w:val="pt-BR"/>
        </w:rPr>
      </w:pPr>
      <w:r>
        <w:rPr>
          <w:b/>
          <w:lang w:val="pt-BR"/>
        </w:rPr>
        <w:t>Giuliana Caldas de Luna, UFNT, giuliana.luna@ufnt.edu.br</w:t>
      </w:r>
    </w:p>
    <w:p>
      <w:pPr>
        <w:pStyle w:val="Normal"/>
        <w:jc w:val="right"/>
        <w:outlineLvl w:val="9"/>
        <w:rPr>
          <w:b/>
          <w:lang w:val="pt-BR"/>
        </w:rPr>
      </w:pPr>
      <w:r>
        <w:rPr>
          <w:b/>
          <w:lang w:val="pt-BR"/>
        </w:rPr>
        <w:t>Philipe Ferreira Barros, UFNT, philipe.barros@ufnt.edu.br</w:t>
      </w:r>
    </w:p>
    <w:p>
      <w:pPr>
        <w:pStyle w:val="Normal"/>
        <w:jc w:val="right"/>
        <w:outlineLvl w:val="9"/>
        <w:rPr>
          <w:b/>
          <w:sz w:val="20"/>
          <w:szCs w:val="20"/>
          <w:lang w:val="pt-BR"/>
        </w:rPr>
      </w:pPr>
      <w:r>
        <w:rPr>
          <w:rFonts w:eastAsia="Open Sans" w:cs="Open Sans" w:ascii="Open Sans" w:hAnsi="Open Sans"/>
          <w:b/>
          <w:sz w:val="20"/>
          <w:szCs w:val="20"/>
          <w:lang w:val="pt-BR"/>
        </w:rPr>
        <w:t>Sophia Quintanilha Penna de Medeiros, UFNT, sophia.medeiros@ufnt.edu.br</w:t>
      </w:r>
    </w:p>
    <w:p>
      <w:pPr>
        <w:pStyle w:val="Normal"/>
        <w:spacing w:lineRule="auto" w:line="276" w:before="60" w:after="0"/>
        <w:ind w:hanging="2" w:left="0"/>
        <w:rPr>
          <w:rFonts w:ascii="Open Sans" w:hAnsi="Open Sans" w:eastAsia="Open Sans" w:cs="Open Sans"/>
          <w:sz w:val="24"/>
          <w:szCs w:val="24"/>
          <w:lang w:val="pt-BR"/>
        </w:rPr>
      </w:pPr>
      <w:r>
        <w:rPr>
          <w:rFonts w:eastAsia="Open Sans" w:cs="Open Sans" w:ascii="Open Sans" w:hAnsi="Open Sans"/>
          <w:sz w:val="24"/>
          <w:szCs w:val="24"/>
          <w:lang w:val="pt-BR"/>
        </w:rPr>
      </w:r>
    </w:p>
    <w:p>
      <w:pPr>
        <w:pStyle w:val="Normal"/>
        <w:spacing w:lineRule="auto" w:line="360" w:before="0" w:after="0"/>
        <w:ind w:hanging="2" w:left="0"/>
        <w:rPr>
          <w:rFonts w:ascii="Open Sans" w:hAnsi="Open Sans" w:eastAsia="Open Sans" w:cs="Open Sans"/>
          <w:lang w:val="pt-BR"/>
        </w:rPr>
      </w:pPr>
      <w:r>
        <w:rPr/>
      </w:r>
    </w:p>
    <w:p>
      <w:pPr>
        <w:pStyle w:val="Normal"/>
        <w:spacing w:lineRule="auto" w:line="360" w:before="0" w:after="0"/>
        <w:ind w:hanging="2" w:left="0"/>
        <w:rPr>
          <w:rFonts w:ascii="Open Sans" w:hAnsi="Open Sans" w:eastAsia="Open Sans" w:cs="Open Sans"/>
          <w:lang w:val="pt-BR"/>
        </w:rPr>
      </w:pPr>
      <w:r>
        <w:rPr>
          <w:rFonts w:eastAsia="Open Sans" w:cs="Open Sans" w:ascii="Open Sans" w:hAnsi="Open Sans"/>
          <w:lang w:val="pt-BR"/>
        </w:rPr>
      </w:r>
    </w:p>
    <w:p>
      <w:pPr>
        <w:pStyle w:val="Normal"/>
        <w:numPr>
          <w:ilvl w:val="0"/>
          <w:numId w:val="1"/>
        </w:numPr>
        <w:spacing w:lineRule="auto" w:line="240" w:before="0" w:after="80"/>
        <w:ind w:hanging="3" w:left="1"/>
        <w:rPr>
          <w:rFonts w:ascii="Open Sans" w:hAnsi="Open Sans" w:eastAsia="Open Sans" w:cs="Open Sans"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  <w:t>Resumo</w:t>
      </w:r>
    </w:p>
    <w:p>
      <w:pPr>
        <w:pStyle w:val="Normal"/>
        <w:spacing w:lineRule="auto" w:line="360" w:before="60" w:after="0"/>
        <w:ind w:hanging="2" w:left="0"/>
        <w:rPr>
          <w:rFonts w:ascii="Open Sans" w:hAnsi="Open Sans" w:eastAsia="Open Sans" w:cs="Open Sans"/>
          <w:sz w:val="24"/>
          <w:szCs w:val="24"/>
        </w:rPr>
      </w:pPr>
      <w:r>
        <w:rPr>
          <w:rFonts w:eastAsia="Open Sans" w:cs="Open Sans" w:ascii="Open Sans" w:hAnsi="Open Sans"/>
          <w:sz w:val="24"/>
          <w:szCs w:val="24"/>
        </w:rPr>
      </w:r>
    </w:p>
    <w:p>
      <w:pPr>
        <w:pStyle w:val="BodyText"/>
        <w:tabs>
          <w:tab w:val="clear" w:pos="720"/>
        </w:tabs>
        <w:spacing w:lineRule="auto" w:line="240" w:before="0" w:after="0"/>
        <w:ind w:hanging="0" w:left="0"/>
        <w:outlineLvl w:val="9"/>
        <w:rPr/>
      </w:pPr>
      <w:r>
        <w:rPr>
          <w:rStyle w:val="Fontepargpadro"/>
          <w:rFonts w:eastAsia="Open Sans" w:cs="Open Sans" w:ascii="Open Sans" w:hAnsi="Open Sans"/>
          <w:sz w:val="20"/>
          <w:lang w:val="pt-BR"/>
        </w:rPr>
        <w:t xml:space="preserve">Este relato de experiência apresenta uma ação educativa realizada por um grupo de estudantes de Medicina da UFNT, que ministraram uma palestra para alunos da Educação de Jovens e Adultos (EJA) e do curso de Pedagogia do Centro de Ciências Integradas em alusão ao Outubro Rosa. A atividade teve como objetivo promover o conhecimento sobre a importância dos exames preventivos, abordando temas como autoexame, Papanicolau, fatores de risco e acesso ao atendimento na rede pública de saúde. A ação evidenciou a relevância da atuação intersetorial entre saúde e educação, promovendo a conscientização e o empoderamento dos participantes para o cuidado com o próprio corpo. </w:t>
      </w:r>
    </w:p>
    <w:p>
      <w:pPr>
        <w:pStyle w:val="BodyText"/>
        <w:tabs>
          <w:tab w:val="clear" w:pos="720"/>
        </w:tabs>
        <w:spacing w:lineRule="auto" w:line="240" w:before="0" w:after="0"/>
        <w:ind w:hanging="2" w:left="0"/>
        <w:outlineLvl w:val="9"/>
        <w:rPr>
          <w:rFonts w:ascii="Open Sans" w:hAnsi="Open Sans" w:eastAsia="Open Sans" w:cs="Open Sans"/>
          <w:lang w:val="pt-BR"/>
        </w:rPr>
      </w:pPr>
      <w:r>
        <w:rPr>
          <w:rFonts w:eastAsia="Open Sans" w:cs="Open Sans" w:ascii="Open Sans" w:hAnsi="Open Sans"/>
          <w:sz w:val="20"/>
          <w:lang w:val="pt-BR"/>
        </w:rPr>
      </w:r>
    </w:p>
    <w:p>
      <w:pPr>
        <w:sectPr>
          <w:headerReference w:type="even" r:id="rId2"/>
          <w:headerReference w:type="default" r:id="rId3"/>
          <w:headerReference w:type="first" r:id="rId4"/>
          <w:footerReference w:type="even" r:id="rId5"/>
          <w:footerReference w:type="default" r:id="rId6"/>
          <w:footerReference w:type="first" r:id="rId7"/>
          <w:type w:val="nextPage"/>
          <w:pgSz w:w="11906" w:h="16838"/>
          <w:pgMar w:left="1800" w:right="1800" w:gutter="0" w:header="720" w:top="1440" w:footer="720" w:bottom="1440"/>
          <w:pgNumType w:start="1" w:fmt="decimal"/>
          <w:formProt w:val="false"/>
          <w:textDirection w:val="lrTb"/>
          <w:docGrid w:type="default" w:linePitch="272" w:charSpace="8192"/>
        </w:sectPr>
        <w:pStyle w:val="Normal"/>
        <w:spacing w:lineRule="auto" w:line="360" w:before="0" w:after="0"/>
        <w:ind w:hanging="2" w:left="0"/>
        <w:rPr>
          <w:rFonts w:ascii="Open Sans" w:hAnsi="Open Sans" w:eastAsia="Open Sans" w:cs="Open Sans"/>
          <w:lang w:val="pt-BR"/>
        </w:rPr>
      </w:pPr>
      <w:r>
        <w:rPr>
          <w:rFonts w:eastAsia="Open Sans" w:cs="Open Sans" w:ascii="Open Sans" w:hAnsi="Open Sans"/>
          <w:b/>
          <w:bCs/>
          <w:lang w:val="pt-BR"/>
        </w:rPr>
        <w:t>Palavras-chave:</w:t>
      </w:r>
      <w:r>
        <w:rPr>
          <w:rFonts w:eastAsia="Open Sans" w:cs="Open Sans" w:ascii="Open Sans" w:hAnsi="Open Sans"/>
          <w:lang w:val="pt-BR"/>
        </w:rPr>
        <w:t xml:space="preserve"> </w:t>
      </w:r>
      <w:r>
        <w:rPr>
          <w:rFonts w:eastAsia="Open Sans" w:cs="Open Sans" w:ascii="Open Sans" w:hAnsi="Open Sans"/>
          <w:lang w:val="pt-BR"/>
        </w:rPr>
        <w:t>educação em saúde, formação cidadã, saúde e educação,</w:t>
      </w:r>
    </w:p>
    <w:p>
      <w:pPr>
        <w:pStyle w:val="Normal"/>
        <w:numPr>
          <w:ilvl w:val="0"/>
          <w:numId w:val="1"/>
        </w:numPr>
        <w:spacing w:lineRule="auto" w:line="240" w:before="0" w:after="80"/>
        <w:ind w:hanging="3" w:left="1"/>
        <w:rPr>
          <w:rFonts w:ascii="Open Sans" w:hAnsi="Open Sans" w:eastAsia="Open Sans" w:cs="Open Sans"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  <w:t>Introdução</w:t>
      </w:r>
    </w:p>
    <w:p>
      <w:pPr>
        <w:pStyle w:val="Normal"/>
        <w:spacing w:lineRule="auto" w:line="240" w:before="0" w:after="0"/>
        <w:ind w:hanging="0" w:left="0"/>
        <w:outlineLvl w:val="9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"/>
        <w:rPr/>
      </w:pPr>
      <w:r>
        <w:rPr>
          <w:rStyle w:val="Fontepargpadro"/>
          <w:rFonts w:eastAsia="Open Sans" w:cs="Open Sans" w:ascii="OpenSymbol" w:hAnsi="OpenSymbol"/>
          <w:sz w:val="20"/>
          <w:lang w:val="pt-BR"/>
        </w:rPr>
        <w:tab/>
        <w:tab/>
        <w:tab/>
        <w:t xml:space="preserve">O presente relato de experiência descreve uma ação educativa desenvolvida por estudantes do curso de Medicina da UFNT, que realizaram uma palestra para alunos da Educação de Jovens e Adultos (EJA) e do curso de Pedagogia, com o objetivo de compartilhar informações relevantes sobre a prevenção do câncer de mama e do colo uterino. A ação teve diversas etapas, nas quais os estudantes, além de manterem contato inicialmente com o público-alvo para assim organizar a ação de culminância – palestra,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eles também tiveram momentos formativos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. A atividade buscou estimular o autocuidado, fortalecer o conhecimento sobre os direitos à saúde e criar um espaço de escuta e troca de saberes entre os participantes: estudantes de medicina, da EJA da Escola Municipal Dr Simão Lutz Kossobutizk e d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o curso de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Pedagogi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a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do Centro de Ciências Integradas da UFNT. Os estudantes de Medicina estão matriculados entre o segundo e o quinto período do curso. O grupo é composto por 19 mulheres e 10 homens, com idade entre 18 e 40 anos, oriundos de diferentes estados do país, e apenas três são oriundos de Araguaína/TO.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Este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projeto de extensão: Saúde da Mulher em foco: Prevenção de doenças e conscientização em alusão ao Outubro Rosa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está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vinculado à disciplina de Direitos Humanos e as relações étnico-raciais na saúde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ministrada pela Profa.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Dra.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Claudenice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C.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Brito, coordenadora do projeto de extensão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. A proposta do projeto surgiu a partir das discussões sobre os direitos humanos, as pol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í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ticas públicas da saúde voltadas para os diferentes grupos socia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i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s. </w:t>
      </w:r>
    </w:p>
    <w:p>
      <w:pPr>
        <w:pStyle w:val="Normal"/>
        <w:rPr/>
      </w:pPr>
      <w:r>
        <w:rPr>
          <w:rStyle w:val="Fontepargpadro"/>
          <w:rFonts w:eastAsia="Open Sans" w:cs="Open Sans" w:ascii="OpenSymbol" w:hAnsi="OpenSymbol"/>
          <w:sz w:val="20"/>
          <w:lang w:val="pt-BR"/>
        </w:rPr>
        <w:tab/>
        <w:tab/>
        <w:tab/>
        <w:t xml:space="preserve">Neste sentido, o projeto de extensão buscou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desenvolver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um trabalho de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conscientiza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ção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d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os estudantes da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modalidade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EJA e os estudantes do curso de Pedagogia. Nesta perspectiva, decidiu-se por um projeto que focasse a saúde da mulher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e em alusão ao Outubro Rosa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.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Adotamos o Outubro Rosa por ser o mês de outubro um período de campanha que foca na saúde da mulher e na prevenção do câncer de colo de útero e de mama.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Neste aspecto,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a Política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N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acional de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A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tenção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I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ntegral à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S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aúde da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M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ulher: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P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rincípios e diretrizes (2004)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destaca que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:</w:t>
      </w:r>
    </w:p>
    <w:p>
      <w:pPr>
        <w:pStyle w:val="BodyText"/>
        <w:tabs>
          <w:tab w:val="clear" w:pos="720"/>
        </w:tabs>
        <w:spacing w:lineRule="auto" w:line="240" w:before="0" w:after="0"/>
        <w:ind w:hanging="0" w:left="0"/>
        <w:outlineLvl w:val="9"/>
        <w:rPr>
          <w:rStyle w:val="Fontepargpadro"/>
          <w:rFonts w:ascii="OpenSymbol" w:hAnsi="OpenSymbol" w:eastAsia="Open Sans" w:cs="Open Sans"/>
          <w:sz w:val="20"/>
          <w:lang w:val="pt-BR"/>
        </w:rPr>
      </w:pPr>
      <w:r>
        <w:rPr/>
      </w:r>
    </w:p>
    <w:p>
      <w:pPr>
        <w:pStyle w:val="BodyText"/>
        <w:tabs>
          <w:tab w:val="clear" w:pos="720"/>
        </w:tabs>
        <w:spacing w:lineRule="auto" w:line="240" w:before="0" w:after="0"/>
        <w:ind w:hanging="0" w:left="720"/>
        <w:outlineLvl w:val="9"/>
        <w:rPr/>
      </w:pP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No Brasil, as principais causas de morte da população feminina são as doenças cardiovasculares, destacando-se o infarto agudo do miocárdio e o acidente vascular cerebral; </w:t>
      </w:r>
      <w:r>
        <w:rPr>
          <w:rStyle w:val="Fontepargpadro"/>
          <w:rFonts w:eastAsia="Open Sans" w:cs="Open Sans" w:ascii="OpenSymbol" w:hAnsi="OpenSymbol"/>
          <w:b/>
          <w:bCs/>
          <w:sz w:val="20"/>
          <w:lang w:val="pt-BR"/>
        </w:rPr>
        <w:t>as neoplasias, principalmente o câncer de mama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, de pulmão e o </w:t>
      </w:r>
      <w:r>
        <w:rPr>
          <w:rStyle w:val="Fontepargpadro"/>
          <w:rFonts w:eastAsia="Open Sans" w:cs="Open Sans" w:ascii="OpenSymbol" w:hAnsi="OpenSymbol"/>
          <w:b/>
          <w:bCs/>
          <w:sz w:val="20"/>
          <w:lang w:val="pt-BR"/>
        </w:rPr>
        <w:t>de colo do útero;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as doenças do aparelho respiratório, marcadamente as pneumonias Neste sentido, a promoção da saúde e a prevenção de doenças são pilares fundamentais para a melhoria da qualidade de vida da população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(grifo dos autores).</w:t>
      </w:r>
    </w:p>
    <w:p>
      <w:pPr>
        <w:pStyle w:val="BodyText"/>
        <w:tabs>
          <w:tab w:val="clear" w:pos="720"/>
        </w:tabs>
        <w:spacing w:lineRule="auto" w:line="240" w:before="0" w:after="0"/>
        <w:ind w:hanging="0" w:left="0"/>
        <w:outlineLvl w:val="9"/>
        <w:rPr/>
      </w:pPr>
      <w:r>
        <w:rPr>
          <w:rStyle w:val="Fontepargpadro"/>
          <w:rFonts w:eastAsia="Open Sans" w:cs="Open Sans" w:ascii="OpenSymbol" w:hAnsi="OpenSymbol"/>
          <w:sz w:val="20"/>
          <w:lang w:val="pt-BR"/>
        </w:rPr>
        <w:tab/>
      </w:r>
    </w:p>
    <w:p>
      <w:pPr>
        <w:pStyle w:val="BodyText"/>
        <w:tabs>
          <w:tab w:val="clear" w:pos="720"/>
        </w:tabs>
        <w:spacing w:lineRule="auto" w:line="240" w:before="0" w:after="0"/>
        <w:ind w:hanging="0" w:left="0"/>
        <w:outlineLvl w:val="9"/>
        <w:rPr/>
      </w:pPr>
      <w:r>
        <w:rPr>
          <w:rStyle w:val="Fontepargpadro"/>
          <w:rFonts w:eastAsia="Open Sans" w:cs="Open Sans" w:ascii="OpenSymbol" w:hAnsi="OpenSymbol"/>
          <w:sz w:val="20"/>
          <w:lang w:val="pt-BR"/>
        </w:rPr>
        <w:tab/>
        <w:t>H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aja vista que a saúde da mulher é uma área prioritária nas políticas públicas de saúde e na agenda de promoção da saúde.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Uma vez que o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câncer de mama e o câncer do colo do útero são duas das principais doenças que acometem a população feminina e, embora sejam passíveis de detecção precoce e tratamento eficaz, muitos casos ainda evoluem de forma grave por falta de informação, acesso ou cuidado preventivo. Ne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s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te contexto, o câncer de mama e o câncer do colo do útero figuram entre as principais causas de morte entre mulheres no Brasil, sendo muitas vezes associados à falta de informação, à negligência com o autocuidado e às barreiras no acesso aos serviços de saúde. No que concerne ao câncer de colo de útero, conforme as Diretrizes Brasileiras para o Rastreamento do Câncer de Colo do Útero (2025), apenas em 2023, ocorreram 7.209 óbitos por câncer de colo do útero no Brasil, representando uma taxa de mortalidade de 4,79/100 mil mulheres. Entretanto, há diferenças regionais marcantes, principalmente na Região Norte, onde a taxa foi de 9,47/100 mil mulheres, ou seja, quase o dobro da taxa nacional. Diante disso, torna-se urgente investir em estratégias de conscientização que incentivem a realização periódica de exames preventivos, como o autoexame das mamas e o exame de Papanicolau. </w:t>
      </w:r>
    </w:p>
    <w:p>
      <w:pPr>
        <w:pStyle w:val="BodyText"/>
        <w:tabs>
          <w:tab w:val="clear" w:pos="720"/>
        </w:tabs>
        <w:spacing w:lineRule="auto" w:line="240" w:before="0" w:after="0"/>
        <w:ind w:hanging="0" w:left="0"/>
        <w:outlineLvl w:val="9"/>
        <w:rPr/>
      </w:pPr>
      <w:r>
        <w:rPr>
          <w:rStyle w:val="Fontepargpadro"/>
          <w:rFonts w:eastAsia="Open Sans" w:cs="Open Sans" w:ascii="OpenSymbol" w:hAnsi="OpenSymbol"/>
          <w:sz w:val="20"/>
          <w:lang w:val="pt-BR"/>
        </w:rPr>
        <w:tab/>
        <w:t xml:space="preserve">A considerar a importância de uma educação em saúde, as campanhas educativas desempenham um papel essencial na sensibilização da população, especialmente em ambientes escolares e universitários, onde a formação cidadã pode ser ampliada por meio do diálogo entre diferentes áreas do conhecimento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e de diferentes públicos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. Nesse sentido, ações interdisciplinares que envolv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a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m a área da saúde e da educação contribuem significativamente para a construção de uma cultura do cuidado e da prevenção.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No âmbito da educação básica e superior, as campanhas de conscientização, informação e formação cidadã contribuem para uma conscientização da população.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Tendo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por objetivo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contribuir para o desenvolvimento da cultura do autocuidado, ou seja, uma formação cidadã,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constituindo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um espaço de se pensar na importância de conscientizar as mulheres sobre os cuidados com a saúde. E assim, promove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r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a integração entre o conhecimento médico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e os saberes populares (constituído no senso comum)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e a aproximação com a comunidade em específico o público feminino, que precisa de esclarecimentos sobre os cuidados com a saúde. </w:t>
      </w:r>
    </w:p>
    <w:p>
      <w:pPr>
        <w:pStyle w:val="BodyText"/>
        <w:tabs>
          <w:tab w:val="clear" w:pos="720"/>
        </w:tabs>
        <w:spacing w:lineRule="auto" w:line="240" w:before="0" w:after="0"/>
        <w:ind w:hanging="0" w:left="0"/>
        <w:outlineLvl w:val="9"/>
        <w:rPr/>
      </w:pPr>
      <w:r>
        <w:rPr>
          <w:rStyle w:val="Fontepargpadro"/>
          <w:rFonts w:eastAsia="Open Sans" w:cs="Open Sans" w:ascii="OpenSymbol" w:hAnsi="OpenSymbol"/>
          <w:sz w:val="20"/>
          <w:lang w:val="pt-BR"/>
        </w:rPr>
        <w:tab/>
        <w:t xml:space="preserve">Para além disso, buscou-se na execução do projeto, também proporcionar aos estudantes do segundo, terceiro e quinto períodos do curso de Medicina, oportunidades de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eles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poderem não apenas contribuir para o esclarecimento acerca dos temas abordados na palestra, mas também uma aproximação com a comunidade escolar e com estudantes do curso de Pedagogia da UFNT. Uma vez que eles tiveram que contar com a co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laboração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do professor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da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e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scola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m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unicipal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vinculado ao projeto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de extensão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,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para manterem contato com os estudantes da EJA,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e assim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organizar a palestra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voltada principalmente para este público.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Uma vez que a maior preocupação era adequar a linguagem para os estudantes da EJA.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No que concerne aos estudantes de Pedagogia, a articulação foi feita com a colaboração da professora Claudenice, coordenadora do projeto de extensão e coordenadora do curso de Pedagogia.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A culminância do projeto foi um momento de aproximação entre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os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diferentes públicos,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que proporcionou: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troca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de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experiências,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>um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 momento formativo para os futuros médicos, que puderam interagir com dois públicos diferentes, </w:t>
      </w:r>
      <w:r>
        <w:rPr>
          <w:rStyle w:val="Fontepargpadro"/>
          <w:rFonts w:eastAsia="Open Sans" w:cs="Open Sans" w:ascii="OpenSymbol" w:hAnsi="OpenSymbol"/>
          <w:sz w:val="20"/>
          <w:lang w:val="pt-BR"/>
        </w:rPr>
        <w:t xml:space="preserve">e apropriação de conhecimentos por partes dos estudantes da EJA e da Pedagogia. </w:t>
      </w:r>
    </w:p>
    <w:p>
      <w:pPr>
        <w:pStyle w:val="Normal"/>
        <w:spacing w:lineRule="auto" w:line="240" w:before="0" w:after="0"/>
        <w:ind w:hanging="0" w:left="0"/>
        <w:outlineLvl w:val="9"/>
        <w:rPr>
          <w:rFonts w:ascii="Open Sans" w:hAnsi="Open Sans" w:eastAsia="Open Sans" w:cs="Open Sans"/>
          <w:lang w:val="pt-BR"/>
        </w:rPr>
      </w:pPr>
      <w:r>
        <w:rPr>
          <w:rFonts w:eastAsia="Open Sans" w:cs="Open Sans" w:ascii="Open Sans" w:hAnsi="Open Sans"/>
          <w:lang w:val="pt-BR"/>
        </w:rPr>
      </w:r>
      <w:bookmarkStart w:id="2" w:name="_heading=h.3znysh7"/>
      <w:bookmarkStart w:id="3" w:name="_heading=h.3znysh7"/>
      <w:bookmarkEnd w:id="3"/>
    </w:p>
    <w:p>
      <w:pPr>
        <w:pStyle w:val="Normal"/>
        <w:numPr>
          <w:ilvl w:val="0"/>
          <w:numId w:val="1"/>
        </w:numPr>
        <w:spacing w:lineRule="auto" w:line="240" w:before="0" w:after="80"/>
        <w:ind w:hanging="3" w:left="1"/>
        <w:rPr>
          <w:rFonts w:ascii="Open Sans" w:hAnsi="Open Sans" w:eastAsia="Open Sans" w:cs="Open Sans"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  <w:t>Objetivos</w:t>
      </w:r>
    </w:p>
    <w:p>
      <w:pPr>
        <w:pStyle w:val="Normal"/>
        <w:spacing w:lineRule="auto" w:line="240" w:before="0" w:after="0"/>
        <w:ind w:hanging="0" w:left="0"/>
        <w:outlineLvl w:val="9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  <w:bookmarkStart w:id="4" w:name="bookmark=id.2et92p0"/>
      <w:bookmarkStart w:id="5" w:name="bookmark=id.2et92p0"/>
      <w:bookmarkEnd w:id="5"/>
    </w:p>
    <w:p>
      <w:pPr>
        <w:pStyle w:val="Normal"/>
        <w:spacing w:lineRule="auto" w:line="240" w:before="0" w:after="0"/>
        <w:outlineLvl w:val="9"/>
        <w:rPr/>
      </w:pPr>
      <w:r>
        <w:rPr>
          <w:rStyle w:val="Fontepargpadro"/>
          <w:rFonts w:eastAsia="Open Sans" w:cs="Open Sans" w:ascii="OpenSymbol" w:hAnsi="OpenSymbol"/>
          <w:b/>
          <w:bCs/>
          <w:lang w:val="pt-BR"/>
        </w:rPr>
        <w:t>i)</w:t>
      </w:r>
      <w:r>
        <w:rPr>
          <w:rStyle w:val="Fontepargpadro"/>
          <w:rFonts w:eastAsia="Open Sans" w:cs="Open Sans" w:ascii="OpenSymbol" w:hAnsi="OpenSymbol"/>
          <w:lang w:val="pt-BR"/>
        </w:rPr>
        <w:t xml:space="preserve"> Promover a educação em saúde e o fortalecimento da cidadania por meio de ações de prevenção e conscientização sobre o câncer de mama e o câncer do colo do útero, no contexto do Outubro Rosa, e contribuindo para a formação humanista e socialmente comprometida dos estudantes de Medicina da Universidade Federal do Norte do Tocantins (UFNT); </w:t>
      </w:r>
      <w:r>
        <w:rPr>
          <w:rStyle w:val="Fontepargpadro"/>
          <w:rFonts w:eastAsia="Open Sans" w:cs="Open Sans" w:ascii="OpenSymbol" w:hAnsi="OpenSymbol"/>
          <w:b/>
          <w:bCs/>
          <w:lang w:val="pt-BR"/>
        </w:rPr>
        <w:t>ii)</w:t>
      </w:r>
      <w:r>
        <w:rPr>
          <w:rStyle w:val="Fontepargpadro"/>
          <w:rFonts w:eastAsia="Open Sans" w:cs="Open Sans" w:ascii="OpenSymbol" w:hAnsi="OpenSymbol"/>
          <w:lang w:val="pt-BR"/>
        </w:rPr>
        <w:t xml:space="preserve"> Estabelecer o contato entre os estudantes de Medicina e a comunidade da </w:t>
      </w:r>
      <w:r>
        <w:rPr>
          <w:rStyle w:val="Fontepargpadro"/>
          <w:rFonts w:eastAsia="Open Sans" w:cs="Open Sans" w:ascii="OpenSymbol" w:hAnsi="OpenSymbol"/>
          <w:lang w:val="pt-BR"/>
        </w:rPr>
        <w:t xml:space="preserve">modalidade </w:t>
      </w:r>
      <w:r>
        <w:rPr>
          <w:rStyle w:val="Fontepargpadro"/>
          <w:rFonts w:eastAsia="Open Sans" w:cs="Open Sans" w:ascii="OpenSymbol" w:hAnsi="OpenSymbol"/>
          <w:lang w:val="pt-BR"/>
        </w:rPr>
        <w:t xml:space="preserve">Educação de Jovens e Adultos (EJA) e estudantes de Pedagogia, favorecendo a compreensão das condições sociais, econômicas e culturais que influenciam o cuidado com a saúde da mulher; </w:t>
      </w:r>
      <w:r>
        <w:rPr>
          <w:rStyle w:val="Fontepargpadro"/>
          <w:rFonts w:eastAsia="Open Sans" w:cs="Open Sans" w:ascii="OpenSymbol" w:hAnsi="OpenSymbol"/>
          <w:b/>
          <w:bCs/>
          <w:lang w:val="pt-BR"/>
        </w:rPr>
        <w:t>iii)</w:t>
      </w:r>
      <w:r>
        <w:rPr>
          <w:rStyle w:val="Fontepargpadro"/>
          <w:rFonts w:eastAsia="Open Sans" w:cs="Open Sans" w:ascii="OpenSymbol" w:hAnsi="OpenSymbol"/>
          <w:lang w:val="pt-BR"/>
        </w:rPr>
        <w:t xml:space="preserve"> Desenvolver atividades de educação em saúde com base nos princípios da educação popular, priorizando a linguagem acessível, o diálogo e o respeito aos saberes e experiências das participantes, </w:t>
      </w:r>
      <w:r>
        <w:rPr>
          <w:rStyle w:val="Fontepargpadro"/>
          <w:rFonts w:eastAsia="Open Sans" w:cs="Open Sans" w:ascii="OpenSymbol" w:hAnsi="OpenSymbol"/>
          <w:b/>
          <w:bCs/>
          <w:lang w:val="pt-BR"/>
        </w:rPr>
        <w:t xml:space="preserve">iv) </w:t>
      </w:r>
      <w:r>
        <w:rPr>
          <w:rStyle w:val="Fontepargpadro"/>
          <w:rFonts w:eastAsia="Open Sans" w:cs="Open Sans" w:ascii="OpenSymbol" w:hAnsi="OpenSymbol"/>
          <w:lang w:val="pt-BR"/>
        </w:rPr>
        <w:t>Articular as práticas extensionistas com as Diretrizes Curriculares Nacionais da Medicina, promovendo o desenvolvimento de competências voltadas à atenção primária, à saúde da família, à comunicação empática e à responsabilidade social.</w:t>
      </w:r>
    </w:p>
    <w:p>
      <w:pPr>
        <w:pStyle w:val="Normal"/>
        <w:spacing w:lineRule="auto" w:line="240" w:before="0" w:after="0"/>
        <w:ind w:hanging="0" w:left="0"/>
        <w:outlineLvl w:val="9"/>
        <w:rPr>
          <w:rFonts w:ascii="Open Sans" w:hAnsi="Open Sans" w:eastAsia="Open Sans" w:cs="Open Sans"/>
          <w:lang w:val="pt-BR"/>
        </w:rPr>
      </w:pPr>
      <w:r>
        <w:rPr>
          <w:rFonts w:eastAsia="Open Sans" w:cs="Open Sans" w:ascii="Open Sans" w:hAnsi="Open Sans"/>
          <w:lang w:val="pt-BR"/>
        </w:rPr>
      </w:r>
    </w:p>
    <w:p>
      <w:pPr>
        <w:pStyle w:val="Normal"/>
        <w:numPr>
          <w:ilvl w:val="0"/>
          <w:numId w:val="1"/>
        </w:numPr>
        <w:spacing w:lineRule="auto" w:line="240" w:before="0" w:after="80"/>
        <w:ind w:hanging="3" w:left="1"/>
        <w:rPr>
          <w:rFonts w:ascii="Open Sans" w:hAnsi="Open Sans" w:eastAsia="Open Sans" w:cs="Open Sans"/>
          <w:b/>
          <w:color w:val="000000"/>
          <w:sz w:val="28"/>
          <w:szCs w:val="28"/>
        </w:rPr>
      </w:pPr>
      <w:r>
        <w:rPr>
          <w:rFonts w:eastAsia="Open Sans" w:cs="Open Sans" w:ascii="OpenSymbol" w:hAnsi="OpenSymbol"/>
          <w:b/>
          <w:color w:val="000000"/>
          <w:sz w:val="28"/>
          <w:szCs w:val="28"/>
        </w:rPr>
        <w:t>Educação em Saúde: A aproximação entre os estudantes do curso de Medicina, os estudantes da EJA  e da Pedagogia</w:t>
      </w:r>
      <w:r>
        <w:rPr>
          <w:rFonts w:eastAsia="Open Sans" w:cs="Open Sans" w:ascii="Open Sans" w:hAnsi="Open Sans"/>
          <w:b/>
          <w:color w:val="000000"/>
          <w:sz w:val="28"/>
          <w:szCs w:val="28"/>
        </w:rPr>
        <w:t xml:space="preserve"> </w:t>
      </w:r>
    </w:p>
    <w:p>
      <w:pPr>
        <w:pStyle w:val="Normal"/>
        <w:rPr/>
      </w:pPr>
      <w:r>
        <w:rPr>
          <w:rStyle w:val="Fontepargpadro"/>
          <w:rFonts w:eastAsia="Open Sans" w:cs="Open Sans" w:ascii="OpenSymbol" w:hAnsi="OpenSymbol"/>
          <w:lang w:val="pt-BR"/>
        </w:rPr>
        <w:tab/>
        <w:tab/>
        <w:tab/>
        <w:t>Conforme Brasil (2006c), a</w:t>
      </w:r>
      <w:r>
        <w:rPr>
          <w:rFonts w:ascii="OpenSymbol" w:hAnsi="OpenSymbol"/>
        </w:rPr>
        <w:t xml:space="preserve"> educação em saúde é um processo educativo que envolve relações entre profissionais e a população que necessita construir seus conhecimentos e aumentar a sua autonomia nos cuidados individual e coletivamente. visa o desenvolvimento crítico e reflexivo do indivíduo sobre sua saúde, capacitando-o para opinar nas decisões de sua saúde. Tal perspectiva também se articula com as DCN para a formação de médicos, bem como outros documentos </w:t>
      </w:r>
      <w:r>
        <w:rPr>
          <w:rFonts w:ascii="OpenSymbol" w:hAnsi="OpenSymbol"/>
        </w:rPr>
        <w:t>da área de saúde</w:t>
      </w:r>
      <w:r>
        <w:rPr>
          <w:rFonts w:ascii="OpenSymbol" w:hAnsi="OpenSymbol"/>
        </w:rPr>
        <w:t>. Notadamente, o princ</w:t>
      </w:r>
      <w:r>
        <w:rPr>
          <w:rFonts w:ascii="OpenSymbol" w:hAnsi="OpenSymbol"/>
        </w:rPr>
        <w:t>í</w:t>
      </w:r>
      <w:r>
        <w:rPr>
          <w:rFonts w:ascii="OpenSymbol" w:hAnsi="OpenSymbol"/>
        </w:rPr>
        <w:t xml:space="preserve">pio da educação em saúde tem em sua essência a divulgação cientiífica sobre os cuidados e prevenção de doenças, e principalmente do diálogo entre médicos (no caso aqui relatado – </w:t>
      </w:r>
      <w:r>
        <w:rPr>
          <w:rFonts w:ascii="OpenSymbol" w:hAnsi="OpenSymbol"/>
        </w:rPr>
        <w:t>acadêmicos de Medicina</w:t>
      </w:r>
      <w:r>
        <w:rPr>
          <w:rFonts w:ascii="OpenSymbol" w:hAnsi="OpenSymbol"/>
        </w:rPr>
        <w:t xml:space="preserve">) e os estudantes da </w:t>
      </w:r>
      <w:r>
        <w:rPr>
          <w:rFonts w:ascii="OpenSymbol" w:hAnsi="OpenSymbol"/>
        </w:rPr>
        <w:t>EJA</w:t>
      </w:r>
      <w:r>
        <w:rPr>
          <w:rFonts w:ascii="OpenSymbol" w:hAnsi="OpenSymbol"/>
        </w:rPr>
        <w:t xml:space="preserve"> e os estudantes do curso de Pedagogia – CCI/UFNT.</w:t>
      </w:r>
      <w:r>
        <w:rPr>
          <w:rStyle w:val="Fontepargpadro"/>
          <w:rFonts w:eastAsia="Open Sans" w:cs="Open Sans" w:ascii="OpenSymbol" w:hAnsi="OpenSymbol"/>
          <w:lang w:val="pt-BR"/>
        </w:rPr>
        <w:tab/>
      </w:r>
    </w:p>
    <w:p>
      <w:pPr>
        <w:pStyle w:val="Normal"/>
        <w:spacing w:lineRule="auto" w:line="240" w:before="0" w:after="0"/>
        <w:outlineLvl w:val="9"/>
        <w:rPr/>
      </w:pPr>
      <w:r>
        <w:rPr>
          <w:rStyle w:val="Fontepargpadro"/>
          <w:rFonts w:ascii="OpenSymbol" w:hAnsi="OpenSymbol"/>
          <w:lang w:val="pt-BR"/>
        </w:rPr>
        <w:tab/>
        <w:tab/>
        <w:tab/>
        <w:t xml:space="preserve">O primeiro momento da ação consistiu no contato inicial dos estudantes de Medicina com o público da EJA, na Escola Municipal Dr Simão Lutz Kossobutizk. </w:t>
      </w:r>
      <w:r>
        <w:rPr>
          <w:rStyle w:val="Fontepargpadro"/>
          <w:rFonts w:ascii="OpenSymbol" w:hAnsi="OpenSymbol"/>
          <w:lang w:val="pt-BR"/>
        </w:rPr>
        <w:t>O</w:t>
      </w:r>
      <w:r>
        <w:rPr>
          <w:rStyle w:val="Fontepargpadro"/>
          <w:rFonts w:ascii="OpenSymbol" w:hAnsi="OpenSymbol"/>
          <w:lang w:val="pt-BR"/>
        </w:rPr>
        <w:t xml:space="preserve"> encontro foi mediado pelo professor colaborador do projeto de extensão, com quem os acadêmicos dialogaram previamente para compreender a dinâmica da escola, o perfil do grupo e a melhor forma de abordagem dos temas. </w:t>
      </w:r>
      <w:r>
        <w:rPr>
          <w:rStyle w:val="Fontepargpadro"/>
          <w:rFonts w:ascii="OpenSymbol" w:hAnsi="OpenSymbol"/>
          <w:lang w:val="pt-BR"/>
        </w:rPr>
        <w:t>As orientações do professor seguiram após o primeiro encontro, inclusive ele e os estudantes de Medicina elaboraram as perguntas dos questionários</w:t>
      </w:r>
      <w:r>
        <w:rPr>
          <w:rStyle w:val="Fontepargpadro"/>
          <w:rFonts w:ascii="OpenSymbol" w:hAnsi="OpenSymbol"/>
          <w:lang w:val="pt-BR"/>
        </w:rPr>
        <w:t>. Na sequência, os estudantes também tiveram a oportunidade de dialogar com os outros professores da escola e, posteriormente, com os próprios alunos da EJA, um grupo de 40 estudantes distribuídos em duas turmas. N</w:t>
      </w:r>
      <w:r>
        <w:rPr>
          <w:rStyle w:val="Fontepargpadro"/>
          <w:rFonts w:ascii="OpenSymbol" w:hAnsi="OpenSymbol"/>
          <w:lang w:val="pt-BR"/>
        </w:rPr>
        <w:t>o</w:t>
      </w:r>
      <w:r>
        <w:rPr>
          <w:rStyle w:val="Fontepargpadro"/>
          <w:rFonts w:ascii="OpenSymbol" w:hAnsi="OpenSymbol"/>
          <w:lang w:val="pt-BR"/>
        </w:rPr>
        <w:t xml:space="preserve"> primeiro contato, foi possível identificar o perfil sociocultural do grupo: pessoas com idades entre 25 e 60 anos, em sua maioria mulheres. Em relação ao grupo feminino: todas elas são mães e/ou avós, atuantes como trabalhadoras do comércio, empregadas domésticas, ou trabalham informalmente, ou são donas de casa. O grupo masculino composto por 15 pessoas, na sua maioria trabalha na construção civil, ou são autônomos, </w:t>
      </w:r>
      <w:r>
        <w:rPr>
          <w:rStyle w:val="Fontepargpadro"/>
          <w:rFonts w:ascii="OpenSymbol" w:hAnsi="OpenSymbol"/>
          <w:lang w:val="pt-BR"/>
        </w:rPr>
        <w:t>apenas um trabalha na área de saúde</w:t>
      </w:r>
      <w:r>
        <w:rPr>
          <w:rStyle w:val="Fontepargpadro"/>
          <w:rFonts w:ascii="OpenSymbol" w:hAnsi="OpenSymbol"/>
          <w:lang w:val="pt-BR"/>
        </w:rPr>
        <w:t xml:space="preserve">. Todos eles são casados e com filhos pequenos ou em fase de adolescência. </w:t>
      </w:r>
      <w:r>
        <w:rPr>
          <w:rStyle w:val="Fontepargpadro"/>
          <w:rFonts w:ascii="OpenSymbol" w:hAnsi="OpenSymbol"/>
          <w:lang w:val="pt-BR"/>
        </w:rPr>
        <w:t>O</w:t>
      </w:r>
      <w:r>
        <w:rPr>
          <w:rStyle w:val="Fontepargpadro"/>
          <w:rFonts w:ascii="OpenSymbol" w:hAnsi="OpenSymbol"/>
          <w:lang w:val="pt-BR"/>
        </w:rPr>
        <w:t xml:space="preserve"> diagnóstico inicial permitiu reconhecer as condições de vida, trabalho e acesso aos serviços de saúde que atravessam o cotidiano dessas mulheres e homens. </w:t>
      </w:r>
      <w:r>
        <w:rPr>
          <w:rStyle w:val="Fontepargpadro"/>
          <w:rFonts w:ascii="OpenSymbol" w:hAnsi="OpenSymbol"/>
          <w:lang w:val="pt-BR"/>
        </w:rPr>
        <w:t xml:space="preserve">Após as reuniões com os professores da escola, foi decidido que o questionário pré-palestra seria aplicado na escola, antes de eles irem para a palestra, o objetivo era incentivar a participação dos estudantes durante o evento. </w:t>
      </w:r>
      <w:r>
        <w:rPr>
          <w:rStyle w:val="Fontepargpadro"/>
          <w:rFonts w:ascii="OpenSymbol" w:hAnsi="OpenSymbol"/>
          <w:lang w:val="pt-BR"/>
        </w:rPr>
        <w:t xml:space="preserve">É importante destacar as dificuldades dos estudantes de Medicina do segundo período, que ainda não tinha tido essa experiência de manter contato direto com estudantes da educação básica </w:t>
      </w:r>
      <w:r>
        <w:rPr>
          <w:rStyle w:val="Fontepargpadro"/>
          <w:rFonts w:ascii="OpenSymbol" w:hAnsi="OpenSymbol"/>
          <w:lang w:val="pt-BR"/>
        </w:rPr>
        <w:t>para executarem uma ação tão próxima</w:t>
      </w:r>
      <w:r>
        <w:rPr>
          <w:rStyle w:val="Fontepargpadro"/>
          <w:rFonts w:ascii="OpenSymbol" w:hAnsi="OpenSymbol"/>
          <w:lang w:val="pt-BR"/>
        </w:rPr>
        <w:t xml:space="preserve">. Para eles, tal experiência foi um desafio: ingressantes recentes e ainda se apropriando da cultura acadêmica. </w:t>
      </w:r>
    </w:p>
    <w:p>
      <w:pPr>
        <w:pStyle w:val="Normal"/>
        <w:spacing w:lineRule="auto" w:line="240" w:before="0" w:after="0"/>
        <w:outlineLvl w:val="9"/>
        <w:rPr>
          <w:rFonts w:ascii="OpenSymbol" w:hAnsi="OpenSymbol"/>
          <w:lang w:val="pt-BR"/>
        </w:rPr>
      </w:pPr>
      <w:r>
        <w:rPr>
          <w:rFonts w:ascii="OpenSymbol" w:hAnsi="OpenSymbol"/>
          <w:lang w:val="pt-BR"/>
        </w:rPr>
        <w:tab/>
        <w:tab/>
        <w:tab/>
        <w:t>A experiência dialoga diretamente com as Diretrizes Curriculares Nacionais do Curso de Medicina (DCN, 2025), que orientam a formação de profissionais comprometidos com o Sistema Único de Saúde (SUS), com foco na atenção integral, promoção da saúde e valorização da dimensão humana e social do cuidado. Ao vivenciarem esse contato direto com a comunidade, os estudantes exercitaram competências relacionadas à escuta ativa, à comunicação empática e à compreensão das determinantes sociais da saúde, aspectos centrais para a formação do médico generalista, humanista e socialmente responsável. Além disso, a atividade promoveu a reflexão sobre a saúde como direito humano fundamental, reforçando o compromisso ético e social dos futuros médicos com a equidade e justiça social. Nesse sentido, o encontro com o público da EJA possibilitou que a ação fosse não apenas uma intervenção pontual, mas também uma experiência formativa alinhada aos princípios da educação em saúde e da formação cidadã, em consonância com o papel da universidade pública de integrar ensino, pesquisa e extensão a serviço da comunidade.</w:t>
      </w:r>
    </w:p>
    <w:p>
      <w:pPr>
        <w:pStyle w:val="Normal"/>
        <w:spacing w:lineRule="auto" w:line="240" w:before="0" w:after="0"/>
        <w:outlineLvl w:val="9"/>
        <w:rPr/>
      </w:pPr>
      <w:r>
        <w:rPr>
          <w:rStyle w:val="Fontepargpadro"/>
          <w:rFonts w:ascii="OpenSymbol" w:hAnsi="OpenSymbol"/>
          <w:lang w:val="pt-BR"/>
        </w:rPr>
        <w:tab/>
        <w:tab/>
        <w:tab/>
        <w:t xml:space="preserve">No que concerne aos estudantes de Pedagogia, o contato mais próximo se deu durante a palestra, momento de encontro entre todos os grupos envolvidos. </w:t>
      </w:r>
      <w:r>
        <w:rPr>
          <w:rStyle w:val="Fontepargpadro"/>
          <w:rFonts w:ascii="OpenSymbol" w:hAnsi="OpenSymbol"/>
          <w:lang w:val="pt-BR"/>
        </w:rPr>
        <w:t xml:space="preserve">Os encontros com os estudantes de Pedagogia deu-se a partir da articulação com a coordenadora do curso e do projeto de extensão. </w:t>
      </w:r>
      <w:r>
        <w:rPr>
          <w:rStyle w:val="Fontepargpadro"/>
          <w:rFonts w:ascii="OpenSymbol" w:hAnsi="OpenSymbol"/>
          <w:lang w:val="pt-BR"/>
        </w:rPr>
        <w:t xml:space="preserve">Houve um momento anterior de aproximação ao grupo de estudantes de Pedagogia e abordagem do nível de conhecimento sobre o tema </w:t>
      </w:r>
      <w:r>
        <w:rPr>
          <w:rStyle w:val="Fontepargpadro"/>
          <w:rFonts w:ascii="OpenSymbol" w:hAnsi="OpenSymbol"/>
          <w:lang w:val="pt-BR"/>
        </w:rPr>
        <w:t>e que nível de linguagem a ser adotado. Salientamos que a preocupação de adequar a linguagem estava voltada para o público da EJA.</w:t>
      </w:r>
      <w:r>
        <w:rPr>
          <w:rStyle w:val="Fontepargpadro"/>
          <w:rFonts w:ascii="OpenSymbol" w:hAnsi="OpenSymbol"/>
          <w:lang w:val="pt-BR"/>
        </w:rPr>
        <w:t xml:space="preserve">. O grupo de estudantes de Pedagogia é composto por 28 pessoas, com idade média entre 20 e 44 anos. Desse grupo, 24 são mulheres e quatro homens. Apenas 10 mulheres do grupo têm filhos em idade entre 3 meses e sete anos de idade. Grande parte do grupo trabalha durante o dia, e estuda no período noturno. </w:t>
      </w:r>
      <w:r>
        <w:rPr>
          <w:rStyle w:val="Fontepargpadro"/>
          <w:rFonts w:ascii="OpenSymbol" w:hAnsi="OpenSymbol"/>
          <w:lang w:val="pt-BR"/>
        </w:rPr>
        <w:t>Os</w:t>
      </w:r>
      <w:r>
        <w:rPr>
          <w:rStyle w:val="Fontepargpadro"/>
          <w:rFonts w:ascii="OpenSymbol" w:hAnsi="OpenSymbol"/>
          <w:lang w:val="pt-BR"/>
        </w:rPr>
        <w:t xml:space="preserve"> termos técnicos da área de saúde foram adequados para que tanto o público de estudantes da EJA quanto da Pedagogia pudessem compreender os temas abordados. Neste aspecto, Brasil (2024a) destaca que o graduando em Medicina deverá ser formado </w:t>
      </w:r>
      <w:r>
        <w:rPr>
          <w:rStyle w:val="Fontepargpadro"/>
          <w:rFonts w:ascii="OpenSymbol" w:hAnsi="OpenSymbol"/>
          <w:lang w:val="pt-BR"/>
        </w:rPr>
        <w:t>con</w:t>
      </w:r>
      <w:r>
        <w:rPr>
          <w:rStyle w:val="Fontepargpadro"/>
          <w:rFonts w:ascii="OpenSymbol" w:hAnsi="OpenSymbol"/>
          <w:lang w:val="pt-BR"/>
        </w:rPr>
        <w:t xml:space="preserve">siderando a articulação entre conhecimentos, habilidades e atitudes requeridas para o futuro exercício profissional do médico e reconhecendo a indissociabilidade entre os saberes, a formação do graduado em Medicina promoverá o desenvolvimento das competências em: Atenção à Saúde; Gestão em Saúde; e Educação na Saúde. Nomeadamente, ao considerar o eixo Atenção à saúde conforme parágrafo único de Brasil (2024a, p. 21), que destaca o seguinte: </w:t>
      </w:r>
    </w:p>
    <w:p>
      <w:pPr>
        <w:pStyle w:val="Normal"/>
        <w:spacing w:lineRule="auto" w:line="240" w:before="0" w:after="0"/>
        <w:outlineLvl w:val="9"/>
        <w:rPr>
          <w:rStyle w:val="Fontepargpadro"/>
          <w:rFonts w:ascii="OpenSymbol" w:hAnsi="OpenSymbol"/>
          <w:lang w:val="pt-BR"/>
        </w:rPr>
      </w:pPr>
      <w:r>
        <w:rPr/>
      </w:r>
    </w:p>
    <w:p>
      <w:pPr>
        <w:pStyle w:val="Normal"/>
        <w:widowControl/>
        <w:suppressAutoHyphens w:val="true"/>
        <w:spacing w:lineRule="auto" w:line="240" w:before="0" w:after="0"/>
        <w:ind w:hanging="0" w:left="850" w:right="0"/>
        <w:jc w:val="both"/>
        <w:textAlignment w:val="top"/>
        <w:outlineLvl w:val="9"/>
        <w:rPr>
          <w:rFonts w:ascii="OpenSymbol" w:hAnsi="OpenSymbol"/>
          <w:lang w:val="pt-BR"/>
        </w:rPr>
      </w:pPr>
      <w:r>
        <w:rPr>
          <w:rFonts w:ascii="OpenSymbol" w:hAnsi="OpenSymbol"/>
          <w:lang w:val="pt-BR"/>
        </w:rPr>
        <w:t>Na Atenção à Saúde, o graduando será formado para sempre considerar e respeitar as dimensões biológica, subjetiva, étnico-racial, de sexo, gênero, orientação sexual, socioeconômica, política, ambiental, cultural, religiosa, espiritual, ética e dos direitos humanos, além de outras que compõem a diversidade humana e singularizam cada pessoa ou cada grupo social. Esse fator se articula com os princípios da educação e direitos humanos.</w:t>
      </w:r>
    </w:p>
    <w:p>
      <w:pPr>
        <w:pStyle w:val="Normal"/>
        <w:widowControl/>
        <w:suppressAutoHyphens w:val="true"/>
        <w:spacing w:lineRule="auto" w:line="240" w:before="0" w:after="0"/>
        <w:ind w:firstLine="907" w:left="850" w:right="0"/>
        <w:jc w:val="both"/>
        <w:textAlignment w:val="top"/>
        <w:outlineLvl w:val="9"/>
        <w:rPr>
          <w:rFonts w:ascii="OpenSymbol" w:hAnsi="OpenSymbol"/>
          <w:lang w:val="pt-BR"/>
        </w:rPr>
      </w:pPr>
      <w:r>
        <w:rPr>
          <w:rFonts w:ascii="OpenSymbol" w:hAnsi="OpenSymbol"/>
          <w:lang w:val="pt-BR"/>
        </w:rPr>
      </w:r>
    </w:p>
    <w:p>
      <w:pPr>
        <w:pStyle w:val="Normal"/>
        <w:spacing w:lineRule="auto" w:line="240" w:before="0" w:after="0"/>
        <w:outlineLvl w:val="9"/>
        <w:rPr>
          <w:rFonts w:ascii="OpenSymbol" w:hAnsi="OpenSymbol" w:eastAsia="Open Sans" w:cs="Open Sans"/>
          <w:lang w:val="pt-BR"/>
        </w:rPr>
      </w:pPr>
      <w:bookmarkStart w:id="6" w:name="_heading=h.tyjcwt_Copia_1"/>
      <w:bookmarkEnd w:id="6"/>
      <w:r>
        <w:rPr>
          <w:rFonts w:eastAsia="Open Sans" w:cs="Open Sans" w:ascii="OpenSymbol" w:hAnsi="OpenSymbol"/>
          <w:lang w:val="pt-BR"/>
        </w:rPr>
        <w:tab/>
        <w:tab/>
        <w:tab/>
        <w:t xml:space="preserve">A considerar o contato dos estudantes de Medicina, com os diferentes públicos num ambiente educativo; corrobora para uma formação inicial baseada nos princípios dos direitos humanos aplicados à saúde </w:t>
      </w:r>
      <w:r>
        <w:rPr>
          <w:rFonts w:eastAsia="Open Sans" w:cs="Open Sans" w:ascii="OpenSymbol" w:hAnsi="OpenSymbol"/>
          <w:lang w:val="pt-BR"/>
        </w:rPr>
        <w:t>e à dignidade humana</w:t>
      </w:r>
      <w:r>
        <w:rPr>
          <w:rFonts w:eastAsia="Open Sans" w:cs="Open Sans" w:ascii="OpenSymbol" w:hAnsi="OpenSymbol"/>
          <w:lang w:val="pt-BR"/>
        </w:rPr>
        <w:t>. Tendo como foco a disseminação de informações, que contribuam para que o público-alvo da ação de extensão compreend</w:t>
      </w:r>
      <w:r>
        <w:rPr>
          <w:rFonts w:eastAsia="Open Sans" w:cs="Open Sans" w:ascii="OpenSymbol" w:hAnsi="OpenSymbol"/>
          <w:lang w:val="pt-BR"/>
        </w:rPr>
        <w:t>a</w:t>
      </w:r>
      <w:r>
        <w:rPr>
          <w:rFonts w:eastAsia="Open Sans" w:cs="Open Sans" w:ascii="OpenSymbol" w:hAnsi="OpenSymbol"/>
          <w:lang w:val="pt-BR"/>
        </w:rPr>
        <w:t xml:space="preserve"> a importância de autocuidado, exames preventivos, e principalmente o conhecimento do funcionamento do próprio corpo. Nesta perspectiva, a divulgação de informações sobre os temas abordados </w:t>
      </w:r>
      <w:r>
        <w:rPr>
          <w:rFonts w:eastAsia="Open Sans" w:cs="Open Sans" w:ascii="OpenSymbol" w:hAnsi="OpenSymbol"/>
          <w:lang w:val="pt-BR"/>
        </w:rPr>
        <w:t>se articula</w:t>
      </w:r>
      <w:r>
        <w:rPr>
          <w:rFonts w:eastAsia="Open Sans" w:cs="Open Sans" w:ascii="OpenSymbol" w:hAnsi="OpenSymbol"/>
          <w:lang w:val="pt-BR"/>
        </w:rPr>
        <w:t xml:space="preserve"> com o conceito de educação em saúde, entendido </w:t>
      </w:r>
      <w:r>
        <w:rPr>
          <w:rFonts w:eastAsia="Open Sans" w:cs="Open Sans" w:ascii="OpenSymbol" w:hAnsi="OpenSymbol"/>
          <w:lang w:val="pt-BR"/>
        </w:rPr>
        <w:t>por nós—</w:t>
      </w:r>
      <w:r>
        <w:rPr>
          <w:rFonts w:eastAsia="Open Sans" w:cs="Open Sans" w:ascii="OpenSymbol" w:hAnsi="OpenSymbol"/>
          <w:lang w:val="pt-BR"/>
        </w:rPr>
        <w:t xml:space="preserve">como </w:t>
      </w:r>
      <w:r>
        <w:rPr>
          <w:rFonts w:eastAsia="Open Sans" w:cs="Open Sans" w:ascii="OpenSymbol" w:hAnsi="OpenSymbol"/>
          <w:lang w:val="pt-BR"/>
        </w:rPr>
        <w:t xml:space="preserve">um </w:t>
      </w:r>
      <w:r>
        <w:rPr>
          <w:rFonts w:eastAsia="Open Sans" w:cs="Open Sans" w:ascii="OpenSymbol" w:hAnsi="OpenSymbol"/>
          <w:lang w:val="pt-BR"/>
        </w:rPr>
        <w:t xml:space="preserve">processo político pedagógico que requer o desenvolvimento de um pensar crítico e reflexivo, permitindo desvelar a realidade e propor ações transformadoras, que levem o indivíduo à sua autonomia e emancipação como sujeito histórico e social, capaz de propor e opinar nas decisões de saúde para cuidar de si, de sua família e de sua coletividade. </w:t>
      </w:r>
      <w:r>
        <w:rPr>
          <w:rFonts w:eastAsia="Open Sans" w:cs="Open Sans" w:ascii="OpenSymbol" w:hAnsi="OpenSymbol"/>
          <w:lang w:val="pt-BR"/>
        </w:rPr>
        <w:t xml:space="preserve">Neste sentido, ao destacarmos na ação o direito ao acesso à saúde, à informação e o respeito ao ser humano como direito fundamental, o projeto em sua plenitude contribui para que o conhecimento seja compartilhado por todos. </w:t>
      </w:r>
    </w:p>
    <w:p>
      <w:pPr>
        <w:pStyle w:val="Normal"/>
        <w:spacing w:lineRule="auto" w:line="240" w:before="0" w:after="0"/>
        <w:outlineLvl w:val="9"/>
        <w:rPr>
          <w:rFonts w:ascii="OpenSymbol" w:hAnsi="OpenSymbol"/>
        </w:rPr>
      </w:pPr>
      <w:r>
        <w:rPr>
          <w:rFonts w:ascii="OpenSymbol" w:hAnsi="OpenSymbol"/>
        </w:rPr>
        <w:tab/>
        <w:tab/>
        <w:tab/>
        <w:t xml:space="preserve">A ação foi organizada pelos estudantes, na qual os vinte e oito estudantes foram divididos em quatro grupos, que ficaram responsáveis por diferentes ações do projeto de extensão. O grupo 1 - ficou responsável por organizar o material didático contendo as informações disponbilizados para o público-alvo. O  grupo 2 ficou responsável por manter contato com o grupo de estudantes da EJA, manter um diálogo com o professor colaborador da escola </w:t>
      </w:r>
      <w:r>
        <w:rPr>
          <w:rFonts w:ascii="OpenSymbol" w:hAnsi="OpenSymbol"/>
        </w:rPr>
        <w:t>e os outros professores</w:t>
      </w:r>
      <w:r>
        <w:rPr>
          <w:rFonts w:ascii="OpenSymbol" w:hAnsi="OpenSymbol"/>
        </w:rPr>
        <w:t xml:space="preserve">. O grupo 3 ficou responsável por elaborar os questionários aplicados anteriormente para o publico da EJA e da Pedagogia, bem como o questionário pós-palestra. O grupo 4 ficou responsável por organizar a palestra. </w:t>
      </w:r>
    </w:p>
    <w:p>
      <w:pPr>
        <w:pStyle w:val="Normal"/>
        <w:spacing w:lineRule="auto" w:line="240" w:before="0" w:after="0"/>
        <w:outlineLvl w:val="9"/>
        <w:rPr/>
      </w:pPr>
      <w:r>
        <w:rPr>
          <w:rFonts w:ascii="OpenSymbol" w:hAnsi="OpenSymbol"/>
        </w:rPr>
        <w:tab/>
        <w:tab/>
        <w:tab/>
        <w:t xml:space="preserve">Em termos gerais, todos os grupos tinham que dialogar entre si para analisar em que medida as ações iriam corroborar na culminância do projeto de extensão.  Em todos os momentos a participação do professor colaborador da escola de educação básica foi essencial para auxiliar os grupos na organização da palestra, no que concerne à linguagem que deveria ser utilizada durante a exposição do tema. A coordenadora do projeto articulava com todos os envolvidos no projeto. Para facilitar a comunicação entre os 4 grupos e a professora coordenadora, foi escolhida uma estudante que dialogava com os estudantes e repassava as dúvidas, como estavam ocorrendo as ações e os problemas que ocorriam durante as primeiras etapas do projeto. </w:t>
      </w:r>
      <w:r>
        <w:rPr>
          <w:rStyle w:val="Fontepargpadro"/>
          <w:rFonts w:ascii="OpenSymbol" w:hAnsi="OpenSymbol"/>
          <w:color w:val="000000"/>
        </w:rPr>
        <w:t xml:space="preserve">A técnica de pesquisa adotada foi a pesquisa participativa, uma caracterísitca desse tipo dessa técnica de pesquisa é </w:t>
      </w:r>
      <w:r>
        <w:rPr>
          <w:rFonts w:ascii="OpenSymbol" w:hAnsi="OpenSymbol"/>
        </w:rPr>
        <w:t xml:space="preserve">a necessidade da participação ativa da comunidade como sujeitos na produção e controle do conhecimento. Nesta persepctiva, todos os envolvidos estavam trocando conhecimentos e aprendendo </w:t>
      </w:r>
      <w:r>
        <w:rPr>
          <w:rFonts w:ascii="OpenSymbol" w:hAnsi="OpenSymbol"/>
        </w:rPr>
        <w:t>ao mesmo tempo.</w:t>
      </w:r>
    </w:p>
    <w:p>
      <w:pPr>
        <w:pStyle w:val="Normal"/>
        <w:spacing w:lineRule="auto" w:line="240" w:before="0" w:after="0"/>
        <w:ind w:hanging="0" w:left="0"/>
        <w:outlineLvl w:val="9"/>
        <w:rPr>
          <w:rFonts w:ascii="Open Sans" w:hAnsi="Open Sans" w:eastAsia="Open Sans" w:cs="Open Sans"/>
          <w:lang w:val="pt-BR"/>
        </w:rPr>
      </w:pPr>
      <w:r>
        <w:rPr>
          <w:rFonts w:eastAsia="Open Sans" w:cs="Open Sans" w:ascii="Open Sans" w:hAnsi="Open Sans"/>
          <w:lang w:val="pt-BR"/>
        </w:rPr>
      </w:r>
      <w:bookmarkStart w:id="7" w:name="_heading=h.tyjcwt"/>
      <w:bookmarkStart w:id="8" w:name="_heading=h.tyjcwt"/>
      <w:bookmarkEnd w:id="8"/>
    </w:p>
    <w:p>
      <w:pPr>
        <w:pStyle w:val="Normal"/>
        <w:numPr>
          <w:ilvl w:val="0"/>
          <w:numId w:val="1"/>
        </w:numPr>
        <w:spacing w:lineRule="auto" w:line="240" w:before="0" w:after="80"/>
        <w:ind w:hanging="3" w:left="1"/>
        <w:rPr>
          <w:rFonts w:ascii="Open Sans" w:hAnsi="Open Sans" w:eastAsia="Open Sans" w:cs="Open Sans"/>
          <w:b/>
          <w:color w:val="000000"/>
          <w:sz w:val="28"/>
          <w:szCs w:val="28"/>
        </w:rPr>
      </w:pPr>
      <w:r>
        <w:rPr>
          <w:rFonts w:eastAsia="Open Sans" w:cs="Open Sans" w:ascii="OpenSymbol" w:hAnsi="OpenSymbol"/>
          <w:b/>
          <w:color w:val="000000"/>
          <w:sz w:val="28"/>
          <w:szCs w:val="28"/>
        </w:rPr>
        <w:t>Cuidar e Educar: o Outubro Rosa como experiência de transformação social e formativa</w:t>
      </w:r>
    </w:p>
    <w:p>
      <w:pPr>
        <w:pStyle w:val="Normal"/>
        <w:spacing w:lineRule="auto" w:line="240" w:before="0" w:after="0"/>
        <w:outlineLvl w:val="9"/>
        <w:rPr>
          <w:rFonts w:ascii="OpenSymbol" w:hAnsi="OpenSymbol"/>
        </w:rPr>
      </w:pPr>
      <w:r>
        <w:rPr>
          <w:rFonts w:ascii="OpenSymbol" w:hAnsi="OpenSymbol"/>
        </w:rPr>
        <w:tab/>
        <w:tab/>
        <w:tab/>
        <w:t>Para o momento de culminância do projeto de extensão, os estudantes de Medicina se reuniram para decidir como seria feita a abordagem dos temas em alusão ao Outubro Rosa, com foco na prevenção do câncer de mama e do colo do útero. A proposta foi construída de forma participativa, considerando o perfil identificado no primeiro encontro com a turma da EJA, de modo que a linguagem e a metodologia fossem acessíveis, dialógicas e sensíveis à realidade d</w:t>
      </w:r>
      <w:r>
        <w:rPr>
          <w:rFonts w:ascii="OpenSymbol" w:hAnsi="OpenSymbol"/>
        </w:rPr>
        <w:t>o</w:t>
      </w:r>
      <w:r>
        <w:rPr>
          <w:rFonts w:ascii="OpenSymbol" w:hAnsi="OpenSymbol"/>
        </w:rPr>
        <w:t>s participantes. A culminância do projeto ocorreu nas dependências da Universidade Federal do Norte do Tocantins (UFNT), com a realização de uma palestra temática em alusão ao Outubro Rosa, reunindo os diferentes sujeitos envolvidos ao longo da ação. O evento contou com a presença d</w:t>
      </w:r>
      <w:r>
        <w:rPr>
          <w:rFonts w:ascii="OpenSymbol" w:hAnsi="OpenSymbol"/>
        </w:rPr>
        <w:t>e 40</w:t>
      </w:r>
      <w:r>
        <w:rPr>
          <w:rFonts w:ascii="OpenSymbol" w:hAnsi="OpenSymbol"/>
        </w:rPr>
        <w:t xml:space="preserve"> estudantes da EJA da Escola Municipal Simão Lutz, </w:t>
      </w:r>
      <w:r>
        <w:rPr>
          <w:rFonts w:ascii="OpenSymbol" w:hAnsi="OpenSymbol"/>
        </w:rPr>
        <w:t>03</w:t>
      </w:r>
      <w:r>
        <w:rPr>
          <w:rFonts w:ascii="OpenSymbol" w:hAnsi="OpenSymbol"/>
        </w:rPr>
        <w:t xml:space="preserve"> professores e </w:t>
      </w:r>
      <w:r>
        <w:rPr>
          <w:rFonts w:ascii="OpenSymbol" w:hAnsi="OpenSymbol"/>
        </w:rPr>
        <w:t xml:space="preserve">a coordenadora </w:t>
      </w:r>
      <w:r>
        <w:rPr>
          <w:rFonts w:ascii="OpenSymbol" w:hAnsi="OpenSymbol"/>
        </w:rPr>
        <w:t xml:space="preserve"> pedagógica, além de </w:t>
      </w:r>
      <w:r>
        <w:rPr>
          <w:rFonts w:ascii="OpenSymbol" w:hAnsi="OpenSymbol"/>
        </w:rPr>
        <w:t xml:space="preserve">28 </w:t>
      </w:r>
      <w:r>
        <w:rPr>
          <w:rFonts w:ascii="OpenSymbol" w:hAnsi="OpenSymbol"/>
        </w:rPr>
        <w:t xml:space="preserve">acadêmicos do curso de Pedagogia e </w:t>
      </w:r>
      <w:r>
        <w:rPr>
          <w:rFonts w:ascii="OpenSymbol" w:hAnsi="OpenSymbol"/>
        </w:rPr>
        <w:t xml:space="preserve">umq </w:t>
      </w:r>
      <w:r>
        <w:rPr>
          <w:rFonts w:ascii="OpenSymbol" w:hAnsi="OpenSymbol"/>
        </w:rPr>
        <w:t xml:space="preserve">docente da universidade, </w:t>
      </w:r>
      <w:r>
        <w:rPr>
          <w:rFonts w:ascii="OpenSymbol" w:hAnsi="OpenSymbol"/>
        </w:rPr>
        <w:t>e os 28 acadêmicos de Medicina</w:t>
      </w:r>
      <w:r>
        <w:rPr>
          <w:rFonts w:ascii="OpenSymbol" w:hAnsi="OpenSymbol"/>
        </w:rPr>
        <w:t xml:space="preserve">. </w:t>
      </w:r>
    </w:p>
    <w:p>
      <w:pPr>
        <w:pStyle w:val="Normal"/>
        <w:spacing w:lineRule="auto" w:line="240" w:before="0" w:after="0"/>
        <w:outlineLvl w:val="9"/>
        <w:rPr>
          <w:rFonts w:ascii="OpenSymbol" w:hAnsi="OpenSymbol"/>
        </w:rPr>
      </w:pPr>
      <w:r>
        <w:rPr>
          <w:rFonts w:ascii="OpenSymbol" w:hAnsi="OpenSymbol"/>
        </w:rPr>
        <w:tab/>
        <w:tab/>
        <w:tab/>
        <w:t xml:space="preserve">O momento configurou-se como um espaço de socialização de saberes e integração entre </w:t>
      </w:r>
      <w:r>
        <w:rPr>
          <w:rFonts w:ascii="OpenSymbol" w:hAnsi="OpenSymbol"/>
        </w:rPr>
        <w:t>os grupos</w:t>
      </w:r>
      <w:r>
        <w:rPr>
          <w:rFonts w:ascii="OpenSymbol" w:hAnsi="OpenSymbol"/>
        </w:rPr>
        <w:t xml:space="preserve"> reafirmando o compromisso da universidade pública com a comunidade e com a promoção da saúde enquanto direito social. Durante a palestra, os estudantes de Medicina apresentaram os principais </w:t>
      </w:r>
      <w:r>
        <w:rPr>
          <w:rFonts w:ascii="OpenSymbol" w:hAnsi="OpenSymbol"/>
        </w:rPr>
        <w:t>temas</w:t>
      </w:r>
      <w:r>
        <w:rPr>
          <w:rFonts w:ascii="OpenSymbol" w:hAnsi="OpenSymbol"/>
        </w:rPr>
        <w:t xml:space="preserve"> da ação, destacando aspectos sobre a prevenção do câncer de mama e do colo do útero, os desafios enfrentados pelas mulheres no acesso aos serviços de saúde, </w:t>
      </w:r>
      <w:r>
        <w:rPr>
          <w:rFonts w:ascii="OpenSymbol" w:hAnsi="OpenSymbol"/>
        </w:rPr>
        <w:t>a</w:t>
      </w:r>
      <w:r>
        <w:rPr>
          <w:rFonts w:ascii="OpenSymbol" w:hAnsi="OpenSymbol"/>
        </w:rPr>
        <w:t xml:space="preserve">utoexame das mamas, a realização periódica do exame citopatológico (Papanicolau), os direitos das mulheres no SUS e os serviços disponíveis na rede pública de saúde e a importância da educação em saúde como estratégia de empoderamento e exercício da cidadania. A atividade teve início com uma breve contextualização sobre o significado do Outubro Rosa e a importância da prevenção e do diagnóstico precoce desses tipos de câncer. </w:t>
      </w:r>
      <w:r>
        <w:rPr>
          <w:rFonts w:ascii="OpenSymbol" w:hAnsi="OpenSymbol"/>
        </w:rPr>
        <w:t>O</w:t>
      </w:r>
      <w:r>
        <w:rPr>
          <w:rFonts w:ascii="OpenSymbol" w:hAnsi="OpenSymbol"/>
        </w:rPr>
        <w:t xml:space="preserve">s estudantes conduziram uma roda de conversa interativa, utilizando recursos visuais que facilitassem a compreensão do conteúdo.  Mais do que uma transmissão de informações médicas, a ação foi concebida com base nos princípios da educação popular em saúde, valorizando o diálogo, o respeito aos saberes prévios e o reconhecimento das experiências de vida das mulheres. </w:t>
      </w:r>
    </w:p>
    <w:p>
      <w:pPr>
        <w:pStyle w:val="Normal"/>
        <w:spacing w:lineRule="auto" w:line="240" w:before="0" w:after="0"/>
        <w:outlineLvl w:val="9"/>
        <w:rPr>
          <w:rFonts w:ascii="OpenSymbol" w:hAnsi="OpenSymbol"/>
        </w:rPr>
      </w:pPr>
      <w:r>
        <w:rPr>
          <w:rFonts w:ascii="OpenSymbol" w:hAnsi="OpenSymbol"/>
        </w:rPr>
        <w:tab/>
        <w:tab/>
        <w:tab/>
        <w:t xml:space="preserve">Essa abordagem favoreceu o protagonismo dos participantes, que puderam compartilhar dúvidas, mitos e histórias relacionadas ao cuidado com o corpo e à busca por atendimento nos serviços de saúde, </w:t>
      </w:r>
      <w:r>
        <w:rPr>
          <w:rFonts w:ascii="OpenSymbol" w:hAnsi="OpenSymbol"/>
        </w:rPr>
        <w:t>bem como ao câncer de cólo de útero e de mama</w:t>
      </w:r>
      <w:r>
        <w:rPr>
          <w:rFonts w:ascii="OpenSymbol" w:hAnsi="OpenSymbol"/>
        </w:rPr>
        <w:t xml:space="preserve">. Do ponto de vista formativo, a experiência proporcionou aos estudantes de Medicina uma vivência concreta dos princípios das Diretrizes Curriculares Nacionais do Curso de Medicina, especialmente no que se refere à formação de médicos para o SUS, </w:t>
      </w:r>
      <w:r>
        <w:rPr>
          <w:rFonts w:ascii="OpenSymbol" w:hAnsi="OpenSymbol"/>
        </w:rPr>
        <w:t xml:space="preserve">que destaca que eles devem ser </w:t>
      </w:r>
      <w:r>
        <w:rPr>
          <w:rFonts w:ascii="OpenSymbol" w:hAnsi="OpenSymbol"/>
        </w:rPr>
        <w:t xml:space="preserve">capazes de atuar na Atenção Primária à Saúde e na Saúde da Família. </w:t>
      </w:r>
    </w:p>
    <w:p>
      <w:pPr>
        <w:pStyle w:val="Normal"/>
        <w:spacing w:lineRule="auto" w:line="240" w:before="0" w:after="0"/>
        <w:outlineLvl w:val="9"/>
        <w:rPr>
          <w:rFonts w:ascii="OpenSymbol" w:hAnsi="OpenSymbol"/>
        </w:rPr>
      </w:pPr>
      <w:r>
        <w:rPr>
          <w:rFonts w:ascii="OpenSymbol" w:hAnsi="OpenSymbol"/>
        </w:rPr>
        <w:tab/>
        <w:tab/>
        <w:tab/>
        <w:t xml:space="preserve">Ao trabalhar </w:t>
      </w:r>
      <w:r>
        <w:rPr>
          <w:rFonts w:ascii="OpenSymbol" w:hAnsi="OpenSymbol"/>
        </w:rPr>
        <w:t xml:space="preserve">os </w:t>
      </w:r>
      <w:r>
        <w:rPr>
          <w:rFonts w:ascii="OpenSymbol" w:hAnsi="OpenSymbol"/>
        </w:rPr>
        <w:t xml:space="preserve">temas de prevenção e promoção da saúde com grupos comunitários, os acadêmicos fortaleceram competências como comunicação efetiva, trabalho em equipe multiprofissional, responsabilidade social e respeito aos direitos humanos. Além disso, a ação reforçou a compreensão de que o cuidado em saúde deve considerar as dimensões sociais, econômicas, culturais e de gênero, dialogando com as Políticas Nacionais de Atenção Integral à Saúde da Mulher. Dessa forma, a intervenção no âmbito do Outubro Rosa configurou-se não apenas como uma atividade de extensão, mas como um espaço formativo e transformador, que contribui para a formação de médicos comprometidos com a integralidade do cuidado e a promoção da equidade em saúde.  A participação dos alunos da EJA e dos professores da escola possibilitou um diálogo interinstitucional e intergeracional, em que a troca de experiências evidenciou o impacto positivo da ação tanto na formação dos estudantes universitários quanto na conscientização do público participante. </w:t>
      </w:r>
    </w:p>
    <w:p>
      <w:pPr>
        <w:pStyle w:val="Normal"/>
        <w:spacing w:lineRule="auto" w:line="240" w:before="0" w:after="0"/>
        <w:outlineLvl w:val="9"/>
        <w:rPr>
          <w:rFonts w:ascii="OpenSymbol" w:hAnsi="OpenSymbol"/>
        </w:rPr>
      </w:pPr>
      <w:r>
        <w:rPr>
          <w:rFonts w:ascii="OpenSymbol" w:hAnsi="OpenSymbol"/>
        </w:rPr>
        <w:tab/>
        <w:tab/>
        <w:tab/>
      </w:r>
      <w:r>
        <w:rPr>
          <w:rFonts w:ascii="OpenSymbol" w:hAnsi="OpenSymbol"/>
        </w:rPr>
        <w:t>A</w:t>
      </w:r>
      <w:r>
        <w:rPr>
          <w:rFonts w:ascii="OpenSymbol" w:hAnsi="OpenSymbol"/>
        </w:rPr>
        <w:t xml:space="preserve"> presença dos estudantes de Pedagogia ampliou a reflexão sobre a interface entre educação, saúde e direitos humanos, reforçando a importância da formação interdisciplinar e do trabalho colaborativo nas prá</w:t>
      </w:r>
      <w:r>
        <w:rPr>
          <w:rFonts w:ascii="OpenSymbol" w:hAnsi="OpenSymbol"/>
        </w:rPr>
        <w:t>ticas extensionistas. Do ponto de vista pedagógico e formativo, a culminância do projeto representou um momento de síntese e reflexão crítica, em consonância com as Diretrizes Curriculares Nacionais do Curso de Medicina (2025), que enfatizam a necessidade de formar profissionais humanistas, éticos e comprometidos com o SUS e com a transformação social. Assim, o evento não apenas celebrou os resultados alcançados, mas também reafirmou o papel da universidade como espaço de diálogo, produção de conhecimento e promoção de saúde com base nos princípios da equidade e da dignidade humana.</w:t>
      </w:r>
    </w:p>
    <w:p>
      <w:pPr>
        <w:pStyle w:val="Normal"/>
        <w:spacing w:lineRule="auto" w:line="240" w:before="0" w:after="0"/>
        <w:outlineLvl w:val="9"/>
        <w:rPr>
          <w:rFonts w:ascii="OpenSymbol" w:hAnsi="OpenSymbol"/>
        </w:rPr>
      </w:pPr>
      <w:r>
        <w:rPr>
          <w:rFonts w:ascii="OpenSymbol" w:hAnsi="OpenSymbol"/>
        </w:rPr>
        <w:tab/>
        <w:tab/>
        <w:tab/>
      </w:r>
    </w:p>
    <w:p>
      <w:pPr>
        <w:pStyle w:val="Normal"/>
        <w:spacing w:lineRule="auto" w:line="240" w:before="0" w:after="0"/>
        <w:outlineLvl w:val="9"/>
        <w:rPr>
          <w:rFonts w:ascii="OpenSymbol" w:hAnsi="OpenSymbol"/>
        </w:rPr>
      </w:pPr>
      <w:r>
        <w:rPr>
          <w:rFonts w:ascii="OpenSymbol" w:hAnsi="OpenSymbol"/>
        </w:rPr>
      </w:r>
    </w:p>
    <w:p>
      <w:pPr>
        <w:pStyle w:val="Normal"/>
        <w:numPr>
          <w:ilvl w:val="0"/>
          <w:numId w:val="1"/>
        </w:numPr>
        <w:spacing w:lineRule="auto" w:line="240" w:before="0" w:after="80"/>
        <w:ind w:hanging="3" w:left="1"/>
        <w:rPr>
          <w:rFonts w:ascii="Open Sans" w:hAnsi="Open Sans" w:eastAsia="Open Sans" w:cs="Open Sans"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  <w:t>Considerações Finais</w:t>
      </w:r>
    </w:p>
    <w:p>
      <w:pPr>
        <w:pStyle w:val="Normal"/>
        <w:rPr>
          <w:rFonts w:ascii="OpenSymbol" w:hAnsi="OpenSymbol"/>
          <w:lang w:val="pt-BR"/>
        </w:rPr>
      </w:pPr>
      <w:r>
        <w:rPr>
          <w:rFonts w:ascii="OpenSymbol" w:hAnsi="OpenSymbol"/>
          <w:lang w:val="pt-BR"/>
        </w:rPr>
        <w:tab/>
        <w:tab/>
        <w:tab/>
        <w:t>O</w:t>
      </w:r>
      <w:r>
        <w:rPr>
          <w:rFonts w:ascii="OpenSymbol" w:hAnsi="OpenSymbol"/>
          <w:lang w:val="pt-BR"/>
        </w:rPr>
        <w:t>s resultados preliminares da ação evidenciam uma articulação significativa entre os diferentes grupos participantes, fortalecendo o diálogo entre os estudantes da EJA, de Pedagogia e de Medicina. A convivência entre esses públicos proporcionou uma troca rica de saberes, experiências e percepções, contribuindo para a promoção do conhecimento e para a construção de uma consciência coletiva voltada à saúde e ao bem-estar. Durante as atividades, destacou-se o grande interesse e curiosidade dos estudantes da EJA e de Pedagogia sobre os temas relacionados aos cuidados e à prevenção do câncer de colo de útero e de mama. As explicações e orientações apresentadas pelos estudantes de Medicina favoreceram a compreensão sobre a importância do diagnóstico precoce, do autocuidado e da realização regular de exames preventivos, desmistificando tabus e esclarecendo dúvidas frequentemente presentes na comunidade.</w:t>
        <w:tab/>
      </w:r>
    </w:p>
    <w:p>
      <w:pPr>
        <w:pStyle w:val="Normal"/>
        <w:rPr>
          <w:rFonts w:ascii="OpenSymbol" w:hAnsi="OpenSymbol"/>
          <w:lang w:val="pt-BR"/>
        </w:rPr>
      </w:pPr>
      <w:r>
        <w:rPr>
          <w:rFonts w:eastAsia="Open Sans" w:cs="Open Sans" w:ascii="OpenSymbol" w:hAnsi="OpenSymbol"/>
          <w:lang w:val="pt-BR"/>
        </w:rPr>
        <w:tab/>
        <w:tab/>
        <w:tab/>
        <w:t>Essa conscientização revelou-se um passo importante para o fortalecimento da educação em saúde, entendida como um processo contínuo de aprendizagem que busca promover hábitos saudáveis, incentivar o cuidado com o corpo e ampliar o acesso à informação de qualidade. Ao serem sensibilizados sobre esses temas, os estudantes da EJA e de Pedagogia tornam-se também multiplicadores de conhecimento em seus círculos sociais, contribuindo para a formação de uma cultura de prevenção. Os estudantes de Medicina tiveram papel fundamental nesse processo, aplicando questionários e mediando as conversas de forma acessível e empática, o que favoreceu o diálogo e o engajamento dos participantes. Já os estudantes da EJA e de Pedagogia participaram de maneira ativa, fazendo perguntas, compartilhando experiências pessoais e demonstrando interesse em adotar práticas de autocuidado e prevenção. Cabe destacar que a análise dos questionários aplicados ainda está em andamento, o que permitirá aprofundar a compreensão sobre as percepções dos participantes</w:t>
      </w:r>
      <w:r>
        <w:rPr>
          <w:rFonts w:eastAsia="Open Sans" w:cs="Open Sans" w:ascii="OpenSymbol" w:hAnsi="OpenSymbol"/>
          <w:lang w:val="pt-BR"/>
        </w:rPr>
        <w:t xml:space="preserve"> e os </w:t>
      </w:r>
      <w:r>
        <w:rPr>
          <w:rFonts w:eastAsia="Open Sans" w:cs="Open Sans" w:ascii="OpenSymbol" w:hAnsi="OpenSymbol"/>
          <w:lang w:val="pt-BR"/>
        </w:rPr>
        <w:t xml:space="preserve">reais </w:t>
      </w:r>
      <w:r>
        <w:rPr>
          <w:rFonts w:eastAsia="Open Sans" w:cs="Open Sans" w:ascii="OpenSymbol" w:hAnsi="OpenSymbol"/>
          <w:lang w:val="pt-BR"/>
        </w:rPr>
        <w:t>impactos da ação em relação à conscientização sobre saúde e prevenção. De modo geral, a ação reafirmou a importância da educação em saúde como instrumento de transformação social, capaz de aproximar o conhecimento científico das realidades cotidianas e de fortalecer o compromisso da universidade com a promoção da saúde, a prevenção de doenças e a formação integral dos cidadãos. Essa experiência interdisciplinar demonstrou o poder do diálogo entre diferentes áreas do saber na construção de uma sociedade mais informada, consciente e saudável</w:t>
      </w:r>
      <w:r>
        <w:rPr>
          <w:rFonts w:eastAsia="Open Sans" w:cs="Open Sans" w:ascii="Open Sans" w:hAnsi="Open Sans"/>
          <w:lang w:val="pt-BR"/>
        </w:rPr>
        <w:t xml:space="preserve">. </w:t>
      </w:r>
      <w:r>
        <w:rPr>
          <w:rFonts w:eastAsia="Open Sans" w:cs="Open Sans" w:ascii="OpenSymbol" w:hAnsi="OpenSymbol"/>
          <w:lang w:val="pt-BR"/>
        </w:rPr>
        <w:t xml:space="preserve">Para além do desenvolvimento de uma ação que buscou articular saúde e educação. No contexto formativo, os estudantes de Medicina tiveram a oportunidade de pôr em prática os conhecimentos obtidos no contexto da disciplina Direitos humanos e as relações étnico-raciais na saúde, que deu origem ao projeto de extensão, </w:t>
      </w:r>
      <w:r>
        <w:rPr>
          <w:rFonts w:eastAsia="Open Sans" w:cs="Open Sans" w:ascii="OpenSymbol" w:hAnsi="OpenSymbol"/>
          <w:lang w:val="pt-BR"/>
        </w:rPr>
        <w:t>e assim o</w:t>
      </w:r>
      <w:r>
        <w:rPr>
          <w:rFonts w:eastAsia="Open Sans" w:cs="Open Sans" w:ascii="OpenSymbol" w:hAnsi="OpenSymbol"/>
          <w:lang w:val="pt-BR"/>
        </w:rPr>
        <w:t xml:space="preserve">rganizar as ações </w:t>
      </w:r>
      <w:r>
        <w:rPr>
          <w:rFonts w:eastAsia="Open Sans" w:cs="Open Sans" w:ascii="OpenSymbol" w:hAnsi="OpenSymbol"/>
          <w:lang w:val="pt-BR"/>
        </w:rPr>
        <w:t xml:space="preserve">que culminaram com a palestra, tendo por base a abordagem dos temas </w:t>
      </w:r>
      <w:r>
        <w:rPr>
          <w:rFonts w:eastAsia="Open Sans" w:cs="Open Sans" w:ascii="OpenSymbol" w:hAnsi="OpenSymbol"/>
          <w:lang w:val="pt-BR"/>
        </w:rPr>
        <w:t xml:space="preserve"> por meio de uma linguagem menos técnica, mas não menos objetiva. </w:t>
      </w:r>
      <w:r>
        <w:rPr>
          <w:rFonts w:eastAsia="Open Sans" w:cs="Open Sans" w:ascii="OpenSymbol" w:hAnsi="OpenSymbol"/>
          <w:lang w:val="pt-BR"/>
        </w:rPr>
        <w:t xml:space="preserve">Contribuindo assim para a divulgação e compartilhamento de informações importantes para a prevenção e detecção de câncer de cólo de útero e de mama, bem como outros temas de saúde afins ao público feminino. Consideramos que os principais objetivos do projeto foram atingidos, o projeto ainda está em andamento, a segunda etapa do projeto de extensão é apenas a parte técnica de organização dos dados com base nos questionários aplicados e a publicação. </w:t>
      </w:r>
    </w:p>
    <w:p>
      <w:pPr>
        <w:pStyle w:val="Normal"/>
        <w:spacing w:lineRule="auto" w:line="240" w:before="0" w:after="0"/>
        <w:ind w:hanging="0" w:left="0"/>
        <w:outlineLvl w:val="9"/>
        <w:rPr>
          <w:rFonts w:ascii="OpenSymbol" w:hAnsi="OpenSymbol" w:eastAsia="Open Sans" w:cs="Open Sans"/>
          <w:lang w:val="pt-BR"/>
        </w:rPr>
      </w:pPr>
      <w:r>
        <w:rPr>
          <w:rFonts w:eastAsia="Open Sans" w:cs="Open Sans" w:ascii="OpenSymbol" w:hAnsi="OpenSymbol"/>
          <w:lang w:val="pt-BR"/>
        </w:rPr>
      </w:r>
    </w:p>
    <w:p>
      <w:pPr>
        <w:pStyle w:val="Normal"/>
        <w:numPr>
          <w:ilvl w:val="0"/>
          <w:numId w:val="1"/>
        </w:numPr>
        <w:spacing w:lineRule="auto" w:line="240" w:before="0" w:after="80"/>
        <w:ind w:hanging="3" w:left="1"/>
        <w:rPr>
          <w:rFonts w:ascii="Open Sans" w:hAnsi="Open Sans" w:eastAsia="Open Sans" w:cs="Open Sans"/>
          <w:b/>
          <w:color w:val="000000"/>
          <w:sz w:val="28"/>
          <w:szCs w:val="28"/>
        </w:rPr>
      </w:pPr>
      <w:r>
        <w:rPr>
          <w:rFonts w:eastAsia="Open Sans" w:cs="Open Sans" w:ascii="Open Sans" w:hAnsi="Open Sans"/>
          <w:b/>
          <w:color w:val="000000"/>
          <w:sz w:val="28"/>
          <w:szCs w:val="28"/>
        </w:rPr>
        <w:t>Referências Bibliográficas</w:t>
      </w:r>
    </w:p>
    <w:p>
      <w:pPr>
        <w:pStyle w:val="Normal"/>
        <w:spacing w:lineRule="auto" w:line="240" w:before="0" w:after="0"/>
        <w:ind w:hanging="0" w:left="0"/>
        <w:outlineLvl w:val="9"/>
        <w:rPr>
          <w:rFonts w:ascii="Open Sans" w:hAnsi="Open Sans" w:eastAsia="Open Sans" w:cs="Open Sans"/>
        </w:rPr>
      </w:pPr>
      <w:r>
        <w:rPr>
          <w:rFonts w:eastAsia="Open Sans" w:cs="Open Sans" w:ascii="Open Sans" w:hAnsi="Open Sans"/>
        </w:rPr>
      </w:r>
    </w:p>
    <w:p>
      <w:pPr>
        <w:pStyle w:val="Normal"/>
        <w:spacing w:lineRule="auto" w:line="240" w:before="0" w:after="0"/>
        <w:outlineLvl w:val="9"/>
        <w:rPr>
          <w:rFonts w:ascii="OpenSymbol" w:hAnsi="OpenSymbol"/>
          <w:lang w:val="pt-BR"/>
        </w:rPr>
      </w:pPr>
      <w:r>
        <w:rPr>
          <w:rFonts w:ascii="OpenSymbol" w:hAnsi="OpenSymbol"/>
          <w:lang w:val="pt-BR"/>
        </w:rPr>
        <w:t>BRASIL. Ministério da Educação (BR). Conselho Nacional de Educação. Institui Diretrizes Curriculares Nacionais do Curso de graduação em medicina e dá outras providências. [Internet]. Brasília, DF: MEC; 2025.</w:t>
      </w:r>
    </w:p>
    <w:p>
      <w:pPr>
        <w:pStyle w:val="Normal"/>
        <w:spacing w:lineRule="auto" w:line="240" w:before="0" w:after="0"/>
        <w:outlineLvl w:val="9"/>
        <w:rPr/>
      </w:pPr>
      <w:r>
        <w:rPr>
          <w:rStyle w:val="Fontepargpadro"/>
          <w:rFonts w:ascii="OpenSymbol" w:hAnsi="OpenSymbol"/>
          <w:lang w:val="pt-BR"/>
        </w:rPr>
        <w:t xml:space="preserve">BRASIL. Ministério da Educação (BR). </w:t>
      </w:r>
      <w:r>
        <w:rPr>
          <w:rFonts w:ascii="OpenSymbol" w:hAnsi="OpenSymbol"/>
        </w:rPr>
        <w:t xml:space="preserve">Diretrizes Brasileiras para o Rastreamento do Câncer de Colo do Útero. </w:t>
      </w:r>
      <w:r>
        <w:rPr>
          <w:rStyle w:val="Fontepargpadro"/>
          <w:rFonts w:ascii="OpenSymbol" w:hAnsi="OpenSymbol"/>
          <w:lang w:val="pt-BR"/>
        </w:rPr>
        <w:t>[Internet]. Brasília, DF: MEC; 2025.</w:t>
      </w:r>
    </w:p>
    <w:p>
      <w:pPr>
        <w:pStyle w:val="Normal"/>
        <w:spacing w:lineRule="auto" w:line="240" w:before="0" w:after="0"/>
        <w:outlineLvl w:val="9"/>
        <w:rPr>
          <w:rFonts w:ascii="OpenSymbol" w:hAnsi="OpenSymbol"/>
          <w:lang w:val="pt-BR"/>
        </w:rPr>
      </w:pPr>
      <w:r>
        <w:rPr>
          <w:rFonts w:ascii="OpenSymbol" w:hAnsi="OpenSymbol"/>
          <w:lang w:val="pt-BR"/>
        </w:rPr>
        <w:t>BRASIL. ABEM - Associação Brasileira de Educação Médica, Brasília, 2024.</w:t>
      </w:r>
    </w:p>
    <w:p>
      <w:pPr>
        <w:pStyle w:val="Normal"/>
        <w:spacing w:lineRule="auto" w:line="240" w:before="0" w:after="0"/>
        <w:outlineLvl w:val="9"/>
        <w:rPr>
          <w:rFonts w:ascii="OpenSymbol" w:hAnsi="OpenSymbol"/>
          <w:lang w:val="pt-BR"/>
        </w:rPr>
      </w:pPr>
      <w:r>
        <w:rPr>
          <w:rFonts w:ascii="OpenSymbol" w:hAnsi="OpenSymbol"/>
          <w:lang w:val="pt-BR"/>
        </w:rPr>
        <w:t>BRASIL. Ministério da Saúde. Política Nacional de Atenção Integral à Saúde da Mulher: Princípios e Diretrizes, 2004.</w:t>
      </w:r>
    </w:p>
    <w:p>
      <w:pPr>
        <w:pStyle w:val="Normal"/>
        <w:spacing w:lineRule="auto" w:line="240" w:before="0" w:after="0"/>
        <w:outlineLvl w:val="9"/>
        <w:rPr>
          <w:rFonts w:ascii="OpenSymbol" w:hAnsi="OpenSymbol"/>
          <w:lang w:val="pt-BR"/>
        </w:rPr>
      </w:pPr>
      <w:r>
        <w:rPr>
          <w:rFonts w:ascii="OpenSymbol" w:hAnsi="OpenSymbol"/>
          <w:lang w:val="pt-BR"/>
        </w:rPr>
        <w:t>BRASIL. Ministério da Saúde (MS). Secretaria Executiva. Coordenação Geral de Planejamento. SUS Princípios e Conquistas. Brasília, 2000.BRASIL. Ministério da Saúde (MS). Secretaria de Gestão do Trabalho e da Educação na Saúde. Departamento de Gestão e da Regulação do Trabalho em Saúde. Câmara de Regulação do Trabalho em Saúde. Brasília: MS; 2006.</w:t>
      </w:r>
    </w:p>
    <w:p>
      <w:pPr>
        <w:pStyle w:val="Normal"/>
        <w:spacing w:lineRule="auto" w:line="240" w:before="0" w:after="0"/>
        <w:outlineLvl w:val="9"/>
        <w:rPr>
          <w:rFonts w:ascii="Open Sans" w:hAnsi="Open Sans" w:eastAsia="Open Sans" w:cs="Open Sans"/>
          <w:lang w:val="pt-BR"/>
        </w:rPr>
      </w:pPr>
      <w:r>
        <w:rPr>
          <w:rFonts w:ascii="OpenSymbol" w:hAnsi="OpenSymbol"/>
          <w:lang w:val="pt-BR"/>
        </w:rPr>
      </w:r>
    </w:p>
    <w:p>
      <w:pPr>
        <w:pStyle w:val="Normal"/>
        <w:spacing w:lineRule="auto" w:line="240" w:before="0" w:after="0"/>
        <w:ind w:hanging="0" w:left="0"/>
        <w:outlineLvl w:val="9"/>
        <w:rPr>
          <w:rFonts w:ascii="Open Sans" w:hAnsi="Open Sans" w:eastAsia="Open Sans" w:cs="Open Sans"/>
          <w:lang w:val="pt-BR"/>
        </w:rPr>
      </w:pPr>
      <w:r>
        <w:rPr>
          <w:rFonts w:eastAsia="Open Sans" w:cs="Open Sans" w:ascii="Open Sans" w:hAnsi="Open Sans"/>
          <w:lang w:val="pt-BR"/>
        </w:rPr>
      </w:r>
    </w:p>
    <w:p>
      <w:pPr>
        <w:pStyle w:val="Normal"/>
        <w:spacing w:before="60" w:after="6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sectPr>
      <w:headerReference w:type="even" r:id="rId8"/>
      <w:headerReference w:type="default" r:id="rId9"/>
      <w:headerReference w:type="first" r:id="rId10"/>
      <w:footerReference w:type="even" r:id="rId11"/>
      <w:footerReference w:type="default" r:id="rId12"/>
      <w:footerReference w:type="first" r:id="rId13"/>
      <w:type w:val="nextPage"/>
      <w:pgSz w:w="11906" w:h="16838"/>
      <w:pgMar w:left="1800" w:right="1800" w:gutter="0" w:header="720" w:top="1440" w:footer="720" w:bottom="1440"/>
      <w:pgNumType w:fmt="decimal"/>
      <w:formProt w:val="false"/>
      <w:textDirection w:val="lrTb"/>
      <w:docGrid w:type="default" w:linePitch="272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 Gothic">
    <w:charset w:val="00"/>
    <w:family w:val="roman"/>
    <w:pitch w:val="variable"/>
  </w:font>
  <w:font w:name="Symbol">
    <w:charset w:val="00"/>
    <w:family w:val="roman"/>
    <w:pitch w:val="variable"/>
    <w:embedRegular r:id="rId5" w:fontKey="{05014A78-CABC-4EF0-12AC-5CD89AEFDE05}"/>
  </w:font>
  <w:font w:name="Courier New">
    <w:charset w:val="00"/>
    <w:family w:val="roman"/>
    <w:pitch w:val="variable"/>
  </w:font>
  <w:font w:name="Wingdings">
    <w:charset w:val="00"/>
    <w:family w:val="roman"/>
    <w:pitch w:val="variable"/>
    <w:embedRegular r:id="rId14" w:fontKey="{0E014A78-CABC-4EF0-12AC-5CD89AEFDE0E}"/>
  </w:font>
  <w:font w:name="Cambr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OpenSymbol">
    <w:altName w:val="Arial Unicode MS"/>
    <w:charset w:val="00"/>
    <w:family w:val="roman"/>
    <w:pitch w:val="variable"/>
    <w:embedRegular r:id="rId19" w:fontKey="{13014A78-CABC-4EF0-12AC-5CD89AEFDE13}"/>
  </w:font>
  <w:font w:name="Liberation Sans">
    <w:altName w:val="Arial"/>
    <w:charset w:val="00"/>
    <w:family w:val="swiss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Tahoma">
    <w:charset w:val="00"/>
    <w:family w:val="roman"/>
    <w:pitch w:val="variable"/>
  </w:font>
  <w:font w:name="Georgia">
    <w:charset w:val="00"/>
    <w:family w:val="roman"/>
    <w:pitch w:val="variable"/>
    <w:embedRegular r:id="rId24" w:fontKey="{18014A78-CABC-4EF0-12AC-5CD89AEFDE18}"/>
    <w:embedBold r:id="rId25" w:fontKey="{19014A78-CABC-4EF0-12AC-5CD89AEFDE19}"/>
    <w:embedItalic r:id="rId26" w:fontKey="{1A014A78-CABC-4EF0-12AC-5CD89AEFDE1A}"/>
    <w:embedBoldItalic r:id="rId27" w:fontKey="{1B014A78-CABC-4EF0-12AC-5CD89AEFDE1B}"/>
  </w:font>
  <w:font w:name="Calibri">
    <w:charset w:val="00"/>
    <w:family w:val="roman"/>
    <w:pitch w:val="variable"/>
  </w:font>
  <w:font w:name="Open Sans">
    <w:charset w:val="00"/>
    <w:family w:val="roman"/>
    <w:pitch w:val="variable"/>
    <w:embedItalic r:id="rId28" w:fontKey="{1C014A78-CABC-4EF0-12AC-5CD89AEFDE1C}"/>
    <w:embedBoldItalic r:id="rId29" w:fontKey="{1D014A78-CABC-4EF0-12AC-5CD89AEFDE1D}"/>
  </w:font>
  <w:font w:name="OpenSymbol">
    <w:altName w:val="Arial Unicode MS"/>
    <w:charset w:val="00"/>
    <w:family w:val="auto"/>
    <w:pitch w:val="variable"/>
    <w:embedRegular r:id="rId30" w:fontKey="{1E014A78-CABC-4EF0-12AC-5CD89AEFDE1E}"/>
  </w:font>
  <w:font w:name="OpenSymbol">
    <w:altName w:val="Arial Unicode MS"/>
    <w:charset w:val="01"/>
    <w:family w:val="auto"/>
    <w:pitch w:val="variable"/>
    <w:embedRegular r:id="rId30" w:fontKey="{1E014A78-CABC-4EF0-12AC-5CD89AEFDE1E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60" w:after="6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 w:before="60" w:after="60"/>
      <w:ind w:hanging="2" w:left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 w:before="60" w:after="60"/>
      <w:ind w:hanging="2" w:left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60" w:after="60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 w:before="60" w:after="60"/>
      <w:ind w:hanging="2" w:left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3</w:t>
    </w:r>
    <w:r>
      <w:rPr>
        <w:color w:val="000000"/>
      </w:rPr>
      <w:fldChar w:fldCharType="end"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 w:before="60" w:after="60"/>
      <w:ind w:hanging="2" w:left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3</w:t>
    </w:r>
    <w:r>
      <w:rPr>
        <w:color w:val="000000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60" w:after="6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60" w:after="60"/>
      <w:ind w:hanging="2" w:left="0"/>
      <w:jc w:val="center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0</wp:posOffset>
          </wp:positionH>
          <wp:positionV relativeFrom="paragraph">
            <wp:posOffset>-69850</wp:posOffset>
          </wp:positionV>
          <wp:extent cx="6416675" cy="1997075"/>
          <wp:effectExtent l="0" t="0" r="0" b="0"/>
          <wp:wrapSquare wrapText="bothSides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16675" cy="199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Header"/>
      <w:ind w:hanging="7" w:left="5"/>
      <w:jc w:val="center"/>
      <w:rPr>
        <w:rFonts w:ascii="Open Sans" w:hAnsi="Open Sans" w:cs="Open Sans"/>
        <w:color w:themeColor="background1" w:themeShade="bf" w:val="BFBFBF"/>
        <w:sz w:val="72"/>
        <w:szCs w:val="72"/>
      </w:rPr>
    </w:pPr>
    <w:r>
      <w:rPr>
        <w:rFonts w:cs="Open Sans" w:ascii="Open Sans" w:hAnsi="Open Sans"/>
        <w:color w:themeColor="background1" w:themeShade="bf" w:val="BFBFBF"/>
        <w:sz w:val="72"/>
        <w:szCs w:val="72"/>
      </w:rPr>
      <w:t>Relato de Experiência</w:t>
    </w:r>
  </w:p>
  <w:p>
    <w:pPr>
      <w:pStyle w:val="Header"/>
      <w:spacing w:before="60" w:after="60"/>
      <w:jc w:val="center"/>
      <w:rPr>
        <w:sz w:val="6"/>
        <w:szCs w:val="6"/>
      </w:rPr>
    </w:pPr>
    <w:r>
      <w:rPr>
        <w:sz w:val="6"/>
        <w:szCs w:val="6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60" w:after="60"/>
      <w:ind w:hanging="2" w:left="0"/>
      <w:jc w:val="center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0</wp:posOffset>
          </wp:positionH>
          <wp:positionV relativeFrom="paragraph">
            <wp:posOffset>-69850</wp:posOffset>
          </wp:positionV>
          <wp:extent cx="6416675" cy="1997075"/>
          <wp:effectExtent l="0" t="0" r="0" b="0"/>
          <wp:wrapSquare wrapText="bothSides"/>
          <wp:docPr id="2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16675" cy="199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Header"/>
      <w:ind w:hanging="7" w:left="5"/>
      <w:jc w:val="center"/>
      <w:rPr>
        <w:rFonts w:ascii="Open Sans" w:hAnsi="Open Sans" w:cs="Open Sans"/>
        <w:color w:themeColor="background1" w:themeShade="bf" w:val="BFBFBF"/>
        <w:sz w:val="72"/>
        <w:szCs w:val="72"/>
      </w:rPr>
    </w:pPr>
    <w:r>
      <w:rPr>
        <w:rFonts w:cs="Open Sans" w:ascii="Open Sans" w:hAnsi="Open Sans"/>
        <w:color w:themeColor="background1" w:themeShade="bf" w:val="BFBFBF"/>
        <w:sz w:val="72"/>
        <w:szCs w:val="72"/>
      </w:rPr>
      <w:t>Relato de Experiência</w:t>
    </w:r>
  </w:p>
  <w:p>
    <w:pPr>
      <w:pStyle w:val="Header"/>
      <w:spacing w:before="60" w:after="60"/>
      <w:jc w:val="center"/>
      <w:rPr>
        <w:sz w:val="6"/>
        <w:szCs w:val="6"/>
      </w:rPr>
    </w:pPr>
    <w:r>
      <w:rPr>
        <w:sz w:val="6"/>
        <w:szCs w:val="6"/>
      </w:rPr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60" w:after="60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60" w:after="60"/>
      <w:ind w:hanging="2" w:left="0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60" w:after="60"/>
      <w:ind w:hanging="2" w:left="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upperRoman"/>
      <w:lvlText w:val="%1.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0"/>
        <w:sz w:val="20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91"/>
  <w:embedTrueTypeFonts/>
  <w:defaultTabStop w:val="720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 Gothic" w:hAnsi="Century Gothic" w:eastAsia="Century Gothic" w:cs="Century Gothic"/>
        <w:lang w:val="en-US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tLeast" w:line="1" w:before="60" w:after="60"/>
      <w:ind w:hanging="1" w:left="-1"/>
      <w:jc w:val="both"/>
      <w:textAlignment w:val="top"/>
      <w:outlineLvl w:val="0"/>
    </w:pPr>
    <w:rPr>
      <w:rFonts w:ascii="Century Gothic" w:hAnsi="Century Gothic" w:eastAsia="Century Gothic" w:cs="Century Gothic"/>
      <w:color w:val="auto"/>
      <w:kern w:val="0"/>
      <w:sz w:val="20"/>
      <w:szCs w:val="20"/>
      <w:vertAlign w:val="subscript"/>
      <w:lang w:val="en-US" w:eastAsia="ar-SA" w:bidi="ar-SA"/>
    </w:rPr>
  </w:style>
  <w:style w:type="paragraph" w:styleId="Heading1">
    <w:name w:val="heading 1"/>
    <w:next w:val="Normal"/>
    <w:uiPriority w:val="9"/>
    <w:qFormat/>
    <w:pPr>
      <w:widowControl/>
      <w:numPr>
        <w:ilvl w:val="0"/>
        <w:numId w:val="1"/>
      </w:numPr>
      <w:suppressAutoHyphens w:val="true"/>
      <w:bidi w:val="0"/>
      <w:spacing w:lineRule="atLeast" w:line="1" w:before="60" w:after="80"/>
      <w:ind w:hanging="1" w:left="-1"/>
      <w:jc w:val="both"/>
      <w:textAlignment w:val="top"/>
      <w:outlineLvl w:val="0"/>
    </w:pPr>
    <w:rPr>
      <w:rFonts w:ascii="Century Gothic" w:hAnsi="Century Gothic" w:eastAsia="Arial" w:cs="Arial"/>
      <w:color w:val="auto"/>
      <w:kern w:val="0"/>
      <w:sz w:val="44"/>
      <w:szCs w:val="44"/>
      <w:vertAlign w:val="subscript"/>
      <w:lang w:val="en-US" w:eastAsia="ar-SA" w:bidi="ar-SA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40" w:after="120"/>
      <w:ind w:hanging="274" w:left="274"/>
      <w:outlineLvl w:val="1"/>
    </w:pPr>
    <w:rPr>
      <w:rFonts w:cs="Arial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spacing w:before="120" w:after="0"/>
      <w:ind w:hanging="0" w:left="72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3z0" w:customStyle="1">
    <w:name w:val="WW8Num3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4z0" w:customStyle="1">
    <w:name w:val="WW8Num4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5z0" w:customStyle="1">
    <w:name w:val="WW8Num5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6z0" w:customStyle="1">
    <w:name w:val="WW8Num6z0"/>
    <w:qFormat/>
    <w:rPr>
      <w:rFonts w:ascii="Symbol" w:hAnsi="Symbol"/>
      <w:w w:val="100"/>
      <w:position w:val="0"/>
      <w:sz w:val="16"/>
      <w:sz w:val="16"/>
      <w:szCs w:val="16"/>
      <w:effect w:val="none"/>
      <w:vertAlign w:val="baseline"/>
      <w:em w:val="none"/>
    </w:rPr>
  </w:style>
  <w:style w:type="character" w:styleId="WW8Num7z0" w:customStyle="1">
    <w:name w:val="WW8Num7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8z0" w:customStyle="1">
    <w:name w:val="WW8Num8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8z1" w:customStyle="1">
    <w:name w:val="WW8Num8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9z0" w:customStyle="1">
    <w:name w:val="WW8Num9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9z1" w:customStyle="1">
    <w:name w:val="WW8Num9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10z0" w:customStyle="1">
    <w:name w:val="WW8Num10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10z1" w:customStyle="1">
    <w:name w:val="WW8Num10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11z0" w:customStyle="1">
    <w:name w:val="WW8Num11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11z1" w:customStyle="1">
    <w:name w:val="WW8Num11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12z0" w:customStyle="1">
    <w:name w:val="WW8Num12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12z1" w:customStyle="1">
    <w:name w:val="WW8Num12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13z0" w:customStyle="1">
    <w:name w:val="WW8Num13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13z1" w:customStyle="1">
    <w:name w:val="WW8Num13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14z0" w:customStyle="1">
    <w:name w:val="WW8Num14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14z1" w:customStyle="1">
    <w:name w:val="WW8Num14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Absatz-Standardschriftart" w:customStyle="1">
    <w:name w:val="Absatz-Standardschriftart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-Absatz-Standardschriftart" w:customStyle="1">
    <w:name w:val="WW-Absatz-Standardschriftart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-Absatz-Standardschriftart1" w:customStyle="1">
    <w:name w:val="WW-Absatz-Standardschriftart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-Absatz-Standardschriftart11" w:customStyle="1">
    <w:name w:val="WW-Absatz-Standardschriftart1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8Num15z0" w:customStyle="1">
    <w:name w:val="WW8Num15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15z1" w:customStyle="1">
    <w:name w:val="WW8Num15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-Absatz-Standardschriftart111" w:customStyle="1">
    <w:name w:val="WW-Absatz-Standardschriftart11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WW8Num2z1" w:customStyle="1">
    <w:name w:val="WW8Num2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2z2" w:customStyle="1">
    <w:name w:val="WW8Num2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3z1" w:customStyle="1">
    <w:name w:val="WW8Num3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3z2" w:customStyle="1">
    <w:name w:val="WW8Num3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4z1" w:customStyle="1">
    <w:name w:val="WW8Num4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4z2" w:customStyle="1">
    <w:name w:val="WW8Num4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5z1" w:customStyle="1">
    <w:name w:val="WW8Num5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5z2" w:customStyle="1">
    <w:name w:val="WW8Num5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7z1" w:customStyle="1">
    <w:name w:val="WW8Num7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7z2" w:customStyle="1">
    <w:name w:val="WW8Num7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8z2" w:customStyle="1">
    <w:name w:val="WW8Num8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9z2" w:customStyle="1">
    <w:name w:val="WW8Num9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10z2" w:customStyle="1">
    <w:name w:val="WW8Num10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11z2" w:customStyle="1">
    <w:name w:val="WW8Num11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12z2" w:customStyle="1">
    <w:name w:val="WW8Num12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13z2" w:customStyle="1">
    <w:name w:val="WW8Num13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14z2" w:customStyle="1">
    <w:name w:val="WW8Num14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15z2" w:customStyle="1">
    <w:name w:val="WW8Num15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17z0" w:customStyle="1">
    <w:name w:val="WW8Num17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17z1" w:customStyle="1">
    <w:name w:val="WW8Num17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17z2" w:customStyle="1">
    <w:name w:val="WW8Num17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18z0" w:customStyle="1">
    <w:name w:val="WW8Num18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18z1" w:customStyle="1">
    <w:name w:val="WW8Num18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18z2" w:customStyle="1">
    <w:name w:val="WW8Num18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19z0" w:customStyle="1">
    <w:name w:val="WW8Num19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19z1" w:customStyle="1">
    <w:name w:val="WW8Num19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19z2" w:customStyle="1">
    <w:name w:val="WW8Num19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20z0" w:customStyle="1">
    <w:name w:val="WW8Num20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20z1" w:customStyle="1">
    <w:name w:val="WW8Num20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20z2" w:customStyle="1">
    <w:name w:val="WW8Num20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21z0" w:customStyle="1">
    <w:name w:val="WW8Num21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21z1" w:customStyle="1">
    <w:name w:val="WW8Num21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21z2" w:customStyle="1">
    <w:name w:val="WW8Num21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22z0" w:customStyle="1">
    <w:name w:val="WW8Num22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22z1" w:customStyle="1">
    <w:name w:val="WW8Num22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22z2" w:customStyle="1">
    <w:name w:val="WW8Num22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23z0" w:customStyle="1">
    <w:name w:val="WW8Num23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23z1" w:customStyle="1">
    <w:name w:val="WW8Num23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23z2" w:customStyle="1">
    <w:name w:val="WW8Num23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24z0" w:customStyle="1">
    <w:name w:val="WW8Num24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24z1" w:customStyle="1">
    <w:name w:val="WW8Num24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24z2" w:customStyle="1">
    <w:name w:val="WW8Num24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25z0" w:customStyle="1">
    <w:name w:val="WW8Num25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25z1" w:customStyle="1">
    <w:name w:val="WW8Num25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25z2" w:customStyle="1">
    <w:name w:val="WW8Num25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26z0" w:customStyle="1">
    <w:name w:val="WW8Num26z0"/>
    <w:qFormat/>
    <w:rPr>
      <w:rFonts w:ascii="Symbol" w:hAnsi="Symbol"/>
      <w:color w:val="auto"/>
      <w:w w:val="100"/>
      <w:position w:val="0"/>
      <w:sz w:val="20"/>
      <w:sz w:val="20"/>
      <w:effect w:val="none"/>
      <w:vertAlign w:val="baseline"/>
      <w:em w:val="none"/>
    </w:rPr>
  </w:style>
  <w:style w:type="character" w:styleId="WW8Num26z1" w:customStyle="1">
    <w:name w:val="WW8Num26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26z2" w:customStyle="1">
    <w:name w:val="WW8Num26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26z3" w:customStyle="1">
    <w:name w:val="WW8Num26z3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27z0" w:customStyle="1">
    <w:name w:val="WW8Num27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27z1" w:customStyle="1">
    <w:name w:val="WW8Num27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27z2" w:customStyle="1">
    <w:name w:val="WW8Num27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28z0" w:customStyle="1">
    <w:name w:val="WW8Num28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28z1" w:customStyle="1">
    <w:name w:val="WW8Num28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28z2" w:customStyle="1">
    <w:name w:val="WW8Num28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29z0" w:customStyle="1">
    <w:name w:val="WW8Num29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29z1" w:customStyle="1">
    <w:name w:val="WW8Num29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29z2" w:customStyle="1">
    <w:name w:val="WW8Num29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30z0" w:customStyle="1">
    <w:name w:val="WW8Num30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30z1" w:customStyle="1">
    <w:name w:val="WW8Num30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30z2" w:customStyle="1">
    <w:name w:val="WW8Num30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31z0" w:customStyle="1">
    <w:name w:val="WW8Num31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31z1" w:customStyle="1">
    <w:name w:val="WW8Num31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31z2" w:customStyle="1">
    <w:name w:val="WW8Num31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32z0" w:customStyle="1">
    <w:name w:val="WW8Num32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32z1" w:customStyle="1">
    <w:name w:val="WW8Num32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32z2" w:customStyle="1">
    <w:name w:val="WW8Num32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33z0" w:customStyle="1">
    <w:name w:val="WW8Num33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33z1" w:customStyle="1">
    <w:name w:val="WW8Num33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33z2" w:customStyle="1">
    <w:name w:val="WW8Num33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34z0" w:customStyle="1">
    <w:name w:val="WW8Num34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34z1" w:customStyle="1">
    <w:name w:val="WW8Num34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34z2" w:customStyle="1">
    <w:name w:val="WW8Num34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35z0" w:customStyle="1">
    <w:name w:val="WW8Num35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35z1" w:customStyle="1">
    <w:name w:val="WW8Num35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35z2" w:customStyle="1">
    <w:name w:val="WW8Num35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36z1" w:customStyle="1">
    <w:name w:val="WW8Num36z1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37z0" w:customStyle="1">
    <w:name w:val="WW8Num37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37z1" w:customStyle="1">
    <w:name w:val="WW8Num37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37z2" w:customStyle="1">
    <w:name w:val="WW8Num37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38z0" w:customStyle="1">
    <w:name w:val="WW8Num38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38z1" w:customStyle="1">
    <w:name w:val="WW8Num38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38z2" w:customStyle="1">
    <w:name w:val="WW8Num38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39z0" w:customStyle="1">
    <w:name w:val="WW8Num39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39z1" w:customStyle="1">
    <w:name w:val="WW8Num39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39z2" w:customStyle="1">
    <w:name w:val="WW8Num39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40z0" w:customStyle="1">
    <w:name w:val="WW8Num40z0"/>
    <w:qFormat/>
    <w:rPr>
      <w:rFonts w:ascii="Symbol" w:hAnsi="Symbol"/>
      <w:w w:val="100"/>
      <w:position w:val="0"/>
      <w:sz w:val="16"/>
      <w:sz w:val="16"/>
      <w:szCs w:val="16"/>
      <w:effect w:val="none"/>
      <w:vertAlign w:val="baseline"/>
      <w:em w:val="none"/>
    </w:rPr>
  </w:style>
  <w:style w:type="character" w:styleId="WW8Num40z1" w:customStyle="1">
    <w:name w:val="WW8Num40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40z2" w:customStyle="1">
    <w:name w:val="WW8Num40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40z3" w:customStyle="1">
    <w:name w:val="WW8Num40z3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42z0" w:customStyle="1">
    <w:name w:val="WW8Num42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42z1" w:customStyle="1">
    <w:name w:val="WW8Num42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42z2" w:customStyle="1">
    <w:name w:val="WW8Num42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43z0" w:customStyle="1">
    <w:name w:val="WW8Num43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43z1" w:customStyle="1">
    <w:name w:val="WW8Num43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43z2" w:customStyle="1">
    <w:name w:val="WW8Num43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WW8Num44z0" w:customStyle="1">
    <w:name w:val="WW8Num44z0"/>
    <w:qFormat/>
    <w:rPr>
      <w:rFonts w:ascii="Symbol" w:hAnsi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8Num44z1" w:customStyle="1">
    <w:name w:val="WW8Num44z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WW8Num44z2" w:customStyle="1">
    <w:name w:val="WW8Num44z2"/>
    <w:qFormat/>
    <w:rPr>
      <w:rFonts w:ascii="Wingdings" w:hAnsi="Wingdings"/>
      <w:w w:val="100"/>
      <w:position w:val="0"/>
      <w:sz w:val="20"/>
      <w:sz w:val="20"/>
      <w:effect w:val="none"/>
      <w:vertAlign w:val="baseline"/>
      <w:em w:val="none"/>
    </w:rPr>
  </w:style>
  <w:style w:type="character" w:styleId="Fontepargpadro1" w:customStyle="1">
    <w:name w:val="Fonte parág. padrão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Ttulo1Char" w:customStyle="1">
    <w:name w:val="Título 1 Char"/>
    <w:qFormat/>
    <w:rPr>
      <w:rFonts w:ascii="Century Gothic" w:hAnsi="Century Gothic" w:cs="Arial"/>
      <w:w w:val="100"/>
      <w:position w:val="0"/>
      <w:sz w:val="44"/>
      <w:sz w:val="44"/>
      <w:szCs w:val="44"/>
      <w:effect w:val="none"/>
      <w:vertAlign w:val="baseline"/>
      <w:em w:val="none"/>
      <w:lang w:val="en-US" w:eastAsia="ar-SA" w:bidi="ar-SA"/>
    </w:rPr>
  </w:style>
  <w:style w:type="character" w:styleId="ProposalChar" w:customStyle="1">
    <w:name w:val="Proposal Char"/>
    <w:qFormat/>
    <w:rPr>
      <w:rFonts w:ascii="Century Gothic" w:hAnsi="Century Gothic" w:cs="Arial"/>
      <w:color w:val="C0C0C0"/>
      <w:w w:val="100"/>
      <w:position w:val="0"/>
      <w:sz w:val="88"/>
      <w:sz w:val="88"/>
      <w:szCs w:val="44"/>
      <w:effect w:val="none"/>
      <w:vertAlign w:val="baseline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0"/>
      <w:sz w:val="20"/>
      <w:sz w:val="20"/>
      <w:u w:val="single"/>
      <w:effect w:val="none"/>
      <w:vertAlign w:val="baseline"/>
      <w:em w:val="none"/>
    </w:rPr>
  </w:style>
  <w:style w:type="character" w:styleId="PageNumber">
    <w:name w:val="page number"/>
    <w:qFormat/>
    <w:rPr>
      <w:rFonts w:ascii="Century Gothic" w:hAnsi="Century Gothic"/>
      <w:w w:val="100"/>
      <w:position w:val="0"/>
      <w:sz w:val="18"/>
      <w:sz w:val="18"/>
      <w:effect w:val="none"/>
      <w:vertAlign w:val="baseline"/>
      <w:em w:val="none"/>
    </w:rPr>
  </w:style>
  <w:style w:type="character" w:styleId="FootnoteCharacters">
    <w:name w:val="Footnote Characters"/>
    <w:qFormat/>
    <w:rPr>
      <w:w w:val="100"/>
      <w:effect w:val="none"/>
      <w:vertAlign w:val="superscript"/>
      <w:em w:val="none"/>
    </w:rPr>
  </w:style>
  <w:style w:type="character" w:styleId="Strong">
    <w:name w:val="Strong"/>
    <w:qFormat/>
    <w:rPr>
      <w:b/>
      <w:bCs/>
      <w:w w:val="100"/>
      <w:position w:val="0"/>
      <w:sz w:val="20"/>
      <w:sz w:val="20"/>
      <w:effect w:val="none"/>
      <w:vertAlign w:val="baseline"/>
      <w:em w:val="none"/>
    </w:rPr>
  </w:style>
  <w:style w:type="character" w:styleId="Pr-formataoHTMLChar" w:customStyle="1">
    <w:name w:val="Pré-formatação HTML Char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  <w:lang w:val="pt-BR" w:eastAsia="ar-SA" w:bidi="ar-SA"/>
    </w:rPr>
  </w:style>
  <w:style w:type="character" w:styleId="RodapChar" w:customStyle="1">
    <w:name w:val="Rodapé Char"/>
    <w:qFormat/>
    <w:rPr>
      <w:rFonts w:ascii="Century Gothic" w:hAnsi="Century Gothic"/>
      <w:w w:val="100"/>
      <w:position w:val="0"/>
      <w:sz w:val="20"/>
      <w:sz w:val="20"/>
      <w:effect w:val="none"/>
      <w:vertAlign w:val="baseline"/>
      <w:em w:val="none"/>
      <w:lang w:val="en-US" w:eastAsia="ar-SA" w:bidi="ar-SA"/>
    </w:rPr>
  </w:style>
  <w:style w:type="character" w:styleId="Ttulo2Char" w:customStyle="1">
    <w:name w:val="Título 2 Char"/>
    <w:qFormat/>
    <w:rPr>
      <w:rFonts w:ascii="Century Gothic" w:hAnsi="Century Gothic" w:cs="Arial"/>
      <w:w w:val="100"/>
      <w:position w:val="0"/>
      <w:sz w:val="32"/>
      <w:sz w:val="32"/>
      <w:szCs w:val="32"/>
      <w:effect w:val="none"/>
      <w:vertAlign w:val="baseline"/>
      <w:em w:val="none"/>
      <w:lang w:val="en-US"/>
    </w:rPr>
  </w:style>
  <w:style w:type="character" w:styleId="Pr-formataoHTMLChar1" w:customStyle="1">
    <w:name w:val="Pré-formatação HTML Char1"/>
    <w:qFormat/>
    <w:rPr>
      <w:rFonts w:ascii="Courier New" w:hAnsi="Courier New" w:cs="Courier New"/>
      <w:w w:val="100"/>
      <w:position w:val="0"/>
      <w:sz w:val="20"/>
      <w:sz w:val="20"/>
      <w:effect w:val="none"/>
      <w:vertAlign w:val="baseline"/>
      <w:em w:val="none"/>
    </w:rPr>
  </w:style>
  <w:style w:type="character" w:styleId="Ttulo3Char" w:customStyle="1">
    <w:name w:val="Título 3 Char"/>
    <w:qFormat/>
    <w:rPr>
      <w:rFonts w:ascii="Century Gothic" w:hAnsi="Century Gothic" w:cs="Arial"/>
      <w:b/>
      <w:bCs/>
      <w:w w:val="100"/>
      <w:position w:val="0"/>
      <w:sz w:val="26"/>
      <w:sz w:val="26"/>
      <w:szCs w:val="26"/>
      <w:effect w:val="none"/>
      <w:vertAlign w:val="baseline"/>
      <w:em w:val="none"/>
    </w:rPr>
  </w:style>
  <w:style w:type="character" w:styleId="TextodenotaderodapChar" w:customStyle="1">
    <w:name w:val="Texto de nota de rodapé Char"/>
    <w:qFormat/>
    <w:rPr>
      <w:rFonts w:ascii="Arial" w:hAnsi="Arial"/>
      <w:color w:val="000000"/>
      <w:w w:val="100"/>
      <w:position w:val="0"/>
      <w:sz w:val="18"/>
      <w:sz w:val="18"/>
      <w:effect w:val="none"/>
      <w:vertAlign w:val="baseline"/>
      <w:em w:val="none"/>
    </w:rPr>
  </w:style>
  <w:style w:type="character" w:styleId="WW-FootnoteCharacters" w:customStyle="1">
    <w:name w:val="WW-Footnote Characters"/>
    <w:qFormat/>
    <w:rPr>
      <w:w w:val="100"/>
      <w:effect w:val="none"/>
      <w:vertAlign w:val="superscript"/>
      <w:em w:val="none"/>
    </w:rPr>
  </w:style>
  <w:style w:type="character" w:styleId="MTDisplayEquationChar" w:customStyle="1">
    <w:name w:val="MTDisplayEquation Char"/>
    <w:qFormat/>
    <w:rPr>
      <w:rFonts w:ascii="Century Gothic" w:hAnsi="Century Gothic"/>
      <w:w w:val="100"/>
      <w:position w:val="0"/>
      <w:sz w:val="20"/>
      <w:sz w:val="20"/>
      <w:effect w:val="none"/>
      <w:vertAlign w:val="baseline"/>
      <w:em w:val="none"/>
    </w:rPr>
  </w:style>
  <w:style w:type="character" w:styleId="nfakpe" w:customStyle="1">
    <w:name w:val="nfakpe"/>
    <w:basedOn w:val="Fontepargpadro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TtuloChar" w:customStyle="1">
    <w:name w:val="Título Char"/>
    <w:qFormat/>
    <w:rPr>
      <w:rFonts w:ascii="Cambria" w:hAnsi="Cambria" w:eastAsia="Times New Roman" w:cs="Times New Roman"/>
      <w:b/>
      <w:bCs/>
      <w:w w:val="100"/>
      <w:kern w:val="2"/>
      <w:position w:val="0"/>
      <w:sz w:val="32"/>
      <w:sz w:val="32"/>
      <w:szCs w:val="32"/>
      <w:effect w:val="none"/>
      <w:vertAlign w:val="baseline"/>
      <w:em w:val="none"/>
      <w:lang w:val="en-US"/>
    </w:rPr>
  </w:style>
  <w:style w:type="character" w:styleId="SubttuloChar" w:customStyle="1">
    <w:name w:val="Subtítulo Char"/>
    <w:qFormat/>
    <w:rPr>
      <w:rFonts w:ascii="Cambria" w:hAnsi="Cambria" w:eastAsia="Times New Roman" w:cs="Times New Roman"/>
      <w:w w:val="100"/>
      <w:position w:val="0"/>
      <w:sz w:val="24"/>
      <w:sz w:val="24"/>
      <w:szCs w:val="24"/>
      <w:effect w:val="none"/>
      <w:vertAlign w:val="baseline"/>
      <w:em w:val="none"/>
      <w:lang w:val="en-US"/>
    </w:rPr>
  </w:style>
  <w:style w:type="character" w:styleId="Emphasis">
    <w:name w:val="Emphasis"/>
    <w:qFormat/>
    <w:rPr>
      <w:iCs/>
      <w:w w:val="100"/>
      <w:position w:val="0"/>
      <w:sz w:val="16"/>
      <w:sz w:val="16"/>
      <w:szCs w:val="16"/>
      <w:effect w:val="none"/>
      <w:vertAlign w:val="baseline"/>
      <w:em w:val="none"/>
    </w:rPr>
  </w:style>
  <w:style w:type="character" w:styleId="FootnoteChar" w:customStyle="1">
    <w:name w:val="Footnote Char"/>
    <w:qFormat/>
    <w:rPr>
      <w:rFonts w:ascii="Arial" w:hAnsi="Arial"/>
      <w:color w:val="000000"/>
      <w:w w:val="100"/>
      <w:position w:val="0"/>
      <w:sz w:val="18"/>
      <w:sz w:val="18"/>
      <w:effect w:val="none"/>
      <w:vertAlign w:val="baseline"/>
      <w:em w:val="none"/>
      <w:lang w:val="en-US"/>
    </w:rPr>
  </w:style>
  <w:style w:type="character" w:styleId="texto" w:customStyle="1">
    <w:name w:val="texto"/>
    <w:basedOn w:val="Fontepargpadro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text1" w:customStyle="1">
    <w:name w:val="text1"/>
    <w:basedOn w:val="Fontepargpadro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style41" w:customStyle="1">
    <w:name w:val="style41"/>
    <w:basedOn w:val="Fontepargpadro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TabeladeGrade1Clara1" w:customStyle="1">
    <w:name w:val="Tabela de Grade 1 Clara1"/>
    <w:qFormat/>
    <w:rPr>
      <w:b/>
      <w:bCs/>
      <w:smallCaps/>
      <w:spacing w:val="5"/>
      <w:w w:val="100"/>
      <w:position w:val="0"/>
      <w:sz w:val="20"/>
      <w:sz w:val="20"/>
      <w:effect w:val="none"/>
      <w:vertAlign w:val="baseline"/>
      <w:em w:val="none"/>
    </w:rPr>
  </w:style>
  <w:style w:type="character" w:styleId="longtext" w:customStyle="1">
    <w:name w:val="long_text"/>
    <w:basedOn w:val="Fontepargpadro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mediumtext" w:customStyle="1">
    <w:name w:val="medium_text"/>
    <w:basedOn w:val="Fontepargpadro1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Bullets" w:customStyle="1">
    <w:name w:val="Bullets"/>
    <w:qFormat/>
    <w:rPr>
      <w:rFonts w:ascii="OpenSymbol" w:hAnsi="OpenSymbol" w:eastAsia="OpenSymbol" w:cs="OpenSymbol"/>
      <w:w w:val="100"/>
      <w:position w:val="0"/>
      <w:sz w:val="20"/>
      <w:sz w:val="20"/>
      <w:effect w:val="none"/>
      <w:vertAlign w:val="baseline"/>
      <w:em w:val="none"/>
    </w:rPr>
  </w:style>
  <w:style w:type="character" w:styleId="Smbolosdenumeraouser" w:customStyle="1">
    <w:name w:val="Símbolos de numeração (user)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TextodenotadefimChar" w:customStyle="1">
    <w:name w:val="Texto de nota de fim Char"/>
    <w:qFormat/>
    <w:rPr>
      <w:rFonts w:ascii="Century Gothic" w:hAnsi="Century Gothic"/>
      <w:w w:val="100"/>
      <w:position w:val="0"/>
      <w:sz w:val="20"/>
      <w:sz w:val="20"/>
      <w:effect w:val="none"/>
      <w:vertAlign w:val="baseline"/>
      <w:em w:val="none"/>
      <w:lang w:val="en-US" w:eastAsia="ar-SA"/>
    </w:rPr>
  </w:style>
  <w:style w:type="character" w:styleId="Caracteresdenotadefim">
    <w:name w:val="Caracteres de nota de fim"/>
    <w:qFormat/>
    <w:rPr>
      <w:w w:val="100"/>
      <w:effect w:val="none"/>
      <w:vertAlign w:val="superscript"/>
      <w:em w:val="none"/>
    </w:rPr>
  </w:style>
  <w:style w:type="character" w:styleId="EndnoteReference">
    <w:name w:val="endnote reference"/>
    <w:rPr>
      <w:w w:val="100"/>
      <w:effect w:val="none"/>
      <w:vertAlign w:val="superscript"/>
      <w:em w:val="none"/>
    </w:rPr>
  </w:style>
  <w:style w:type="character" w:styleId="EndnoteCharacters">
    <w:name w:val="Endnote Characters"/>
    <w:qFormat/>
    <w:rPr>
      <w:w w:val="100"/>
      <w:effect w:val="none"/>
      <w:vertAlign w:val="superscript"/>
      <w:em w:val="none"/>
    </w:rPr>
  </w:style>
  <w:style w:type="character" w:styleId="Caracteresdenotaderodap">
    <w:name w:val="Caracteres de nota de rodapé"/>
    <w:qFormat/>
    <w:rPr>
      <w:w w:val="100"/>
      <w:effect w:val="none"/>
      <w:vertAlign w:val="superscript"/>
      <w:em w:val="none"/>
    </w:rPr>
  </w:style>
  <w:style w:type="character" w:styleId="FootnoteReference">
    <w:name w:val="footnote reference"/>
    <w:rPr>
      <w:w w:val="100"/>
      <w:effect w:val="none"/>
      <w:vertAlign w:val="superscript"/>
      <w:em w:val="none"/>
    </w:rPr>
  </w:style>
  <w:style w:type="character" w:styleId="CommentReference">
    <w:name w:val="annotation reference"/>
    <w:qFormat/>
    <w:rPr>
      <w:w w:val="100"/>
      <w:position w:val="0"/>
      <w:sz w:val="16"/>
      <w:sz w:val="16"/>
      <w:szCs w:val="16"/>
      <w:effect w:val="none"/>
      <w:vertAlign w:val="baseline"/>
      <w:em w:val="none"/>
    </w:rPr>
  </w:style>
  <w:style w:type="character" w:styleId="TextodecomentrioChar" w:customStyle="1">
    <w:name w:val="Texto de comentário Char"/>
    <w:qFormat/>
    <w:rPr>
      <w:rFonts w:ascii="Century Gothic" w:hAnsi="Century Gothic"/>
      <w:w w:val="100"/>
      <w:position w:val="0"/>
      <w:sz w:val="20"/>
      <w:sz w:val="20"/>
      <w:effect w:val="none"/>
      <w:vertAlign w:val="baseline"/>
      <w:em w:val="none"/>
      <w:lang w:val="en-US" w:eastAsia="ar-SA"/>
    </w:rPr>
  </w:style>
  <w:style w:type="character" w:styleId="AssuntodocomentrioChar" w:customStyle="1">
    <w:name w:val="Assunto do comentário Char"/>
    <w:qFormat/>
    <w:rPr>
      <w:rFonts w:ascii="Century Gothic" w:hAnsi="Century Gothic"/>
      <w:b/>
      <w:bCs/>
      <w:w w:val="100"/>
      <w:position w:val="0"/>
      <w:sz w:val="20"/>
      <w:sz w:val="20"/>
      <w:effect w:val="none"/>
      <w:vertAlign w:val="baseline"/>
      <w:em w:val="none"/>
      <w:lang w:val="en-US" w:eastAsia="ar-SA"/>
    </w:rPr>
  </w:style>
  <w:style w:type="character" w:styleId="CabealhoChar" w:customStyle="1">
    <w:name w:val="Cabeçalho Char"/>
    <w:qFormat/>
    <w:rPr>
      <w:rFonts w:ascii="Century Gothic" w:hAnsi="Century Gothic"/>
      <w:w w:val="100"/>
      <w:position w:val="0"/>
      <w:sz w:val="20"/>
      <w:sz w:val="20"/>
      <w:effect w:val="none"/>
      <w:vertAlign w:val="baseline"/>
      <w:em w:val="none"/>
      <w:lang w:val="en-US" w:eastAsia="ar-SA"/>
    </w:rPr>
  </w:style>
  <w:style w:type="character" w:styleId="Fontepargpadro">
    <w:name w:val="Fonte parág. padrão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tLeast" w:line="260" w:before="60" w:after="200"/>
      <w:ind w:hanging="1" w:left="864"/>
    </w:pPr>
    <w:rPr>
      <w:sz w:val="18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user" w:customStyle="1">
    <w:name w:val="Título (user)"/>
    <w:basedOn w:val="Normal"/>
    <w:next w:val="BodyText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ndiceuser" w:customStyle="1">
    <w:name w:val="Índice (user)"/>
    <w:basedOn w:val="Normal"/>
    <w:qFormat/>
    <w:pPr>
      <w:suppressLineNumbers/>
      <w:spacing w:lineRule="auto" w:line="360" w:before="120" w:after="0"/>
      <w:ind w:firstLine="709" w:left="-1"/>
    </w:pPr>
    <w:rPr>
      <w:rFonts w:ascii="Arial" w:hAnsi="Arial" w:cs="Tahoma"/>
      <w:sz w:val="24"/>
      <w:szCs w:val="24"/>
      <w:lang w:val="pt-BR"/>
    </w:r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mbria" w:hAnsi="Cambria"/>
      <w:b/>
      <w:bCs/>
      <w:kern w:val="2"/>
      <w:sz w:val="32"/>
      <w:szCs w:val="32"/>
    </w:rPr>
  </w:style>
  <w:style w:type="paragraph" w:styleId="Caption1" w:customStyle="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Proposal" w:customStyle="1">
    <w:name w:val="Proposal"/>
    <w:qFormat/>
    <w:pPr>
      <w:widowControl/>
      <w:pBdr>
        <w:top w:val="single" w:sz="8" w:space="0" w:color="C0C0C0"/>
      </w:pBdr>
      <w:suppressAutoHyphens w:val="true"/>
      <w:bidi w:val="0"/>
      <w:spacing w:lineRule="atLeast" w:line="1" w:before="1100" w:after="60"/>
      <w:ind w:hanging="1" w:left="-1"/>
      <w:jc w:val="both"/>
      <w:textAlignment w:val="top"/>
      <w:outlineLvl w:val="0"/>
    </w:pPr>
    <w:rPr>
      <w:rFonts w:ascii="Century Gothic" w:hAnsi="Century Gothic" w:eastAsia="Arial" w:cs="Arial"/>
      <w:color w:val="C0C0C0"/>
      <w:kern w:val="0"/>
      <w:sz w:val="88"/>
      <w:szCs w:val="44"/>
      <w:vertAlign w:val="subscript"/>
      <w:lang w:val="en-US" w:eastAsia="ar-SA" w:bidi="ar-SA"/>
    </w:rPr>
  </w:style>
  <w:style w:type="paragraph" w:styleId="OrgNameandDate" w:customStyle="1">
    <w:name w:val="Org Name and Date"/>
    <w:qFormat/>
    <w:pPr>
      <w:widowControl/>
      <w:suppressAutoHyphens w:val="true"/>
      <w:bidi w:val="0"/>
      <w:spacing w:lineRule="atLeast" w:line="1" w:before="60" w:after="60"/>
      <w:ind w:hanging="1" w:left="-1"/>
      <w:jc w:val="both"/>
      <w:textAlignment w:val="top"/>
      <w:outlineLvl w:val="0"/>
    </w:pPr>
    <w:rPr>
      <w:rFonts w:ascii="Century Gothic" w:hAnsi="Century Gothic" w:eastAsia="Arial" w:cs="Century Gothic"/>
      <w:color w:val="auto"/>
      <w:kern w:val="0"/>
      <w:sz w:val="28"/>
      <w:szCs w:val="28"/>
      <w:vertAlign w:val="subscript"/>
      <w:lang w:val="en-US" w:eastAsia="ar-SA" w:bidi="ar-SA"/>
    </w:rPr>
  </w:style>
  <w:style w:type="paragraph" w:styleId="ProjectName" w:customStyle="1">
    <w:name w:val="Project Name"/>
    <w:qFormat/>
    <w:pPr>
      <w:widowControl/>
      <w:suppressAutoHyphens w:val="true"/>
      <w:bidi w:val="0"/>
      <w:spacing w:lineRule="atLeast" w:line="1" w:before="100" w:after="60"/>
      <w:ind w:hanging="1" w:left="-1"/>
      <w:jc w:val="both"/>
      <w:textAlignment w:val="top"/>
      <w:outlineLvl w:val="0"/>
    </w:pPr>
    <w:rPr>
      <w:rFonts w:ascii="Century Gothic" w:hAnsi="Century Gothic" w:eastAsia="Arial" w:cs="Century Gothic"/>
      <w:color w:val="auto"/>
      <w:kern w:val="0"/>
      <w:sz w:val="44"/>
      <w:szCs w:val="20"/>
      <w:vertAlign w:val="subscript"/>
      <w:lang w:val="en-US" w:eastAsia="ar-SA" w:bidi="ar-SA"/>
    </w:rPr>
  </w:style>
  <w:style w:type="paragraph" w:styleId="CabealhoeRodap">
    <w:name w:val="Cabeçalho e Rodapé"/>
    <w:basedOn w:val="Normal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Header">
    <w:name w:val="header"/>
    <w:basedOn w:val="Normal"/>
    <w:pPr/>
    <w:rPr/>
  </w:style>
  <w:style w:type="paragraph" w:styleId="TOC1">
    <w:name w:val="toc 1"/>
    <w:next w:val="Normal"/>
    <w:pPr>
      <w:widowControl/>
      <w:tabs>
        <w:tab w:val="left" w:pos="720" w:leader="none"/>
        <w:tab w:val="right" w:pos="8630" w:leader="dot"/>
      </w:tabs>
      <w:suppressAutoHyphens w:val="true"/>
      <w:bidi w:val="0"/>
      <w:spacing w:lineRule="atLeast" w:line="1" w:before="360" w:after="60"/>
      <w:ind w:hanging="1" w:left="-1"/>
      <w:jc w:val="both"/>
      <w:textAlignment w:val="top"/>
      <w:outlineLvl w:val="0"/>
    </w:pPr>
    <w:rPr>
      <w:rFonts w:ascii="Century Gothic" w:hAnsi="Century Gothic" w:eastAsia="Arial" w:cs="Arial"/>
      <w:bCs/>
      <w:caps/>
      <w:color w:val="auto"/>
      <w:kern w:val="0"/>
      <w:sz w:val="20"/>
      <w:szCs w:val="20"/>
      <w:vertAlign w:val="subscript"/>
      <w:lang w:val="en-US" w:eastAsia="ar-SA" w:bidi="ar-SA"/>
    </w:rPr>
  </w:style>
  <w:style w:type="paragraph" w:styleId="TableText" w:customStyle="1">
    <w:name w:val="Table Text"/>
    <w:qFormat/>
    <w:pPr>
      <w:widowControl/>
      <w:suppressAutoHyphens w:val="true"/>
      <w:bidi w:val="0"/>
      <w:spacing w:lineRule="atLeast" w:line="1" w:before="60" w:after="60"/>
      <w:ind w:hanging="1" w:left="-1"/>
      <w:jc w:val="both"/>
      <w:textAlignment w:val="top"/>
      <w:outlineLvl w:val="0"/>
    </w:pPr>
    <w:rPr>
      <w:rFonts w:ascii="Century Gothic" w:hAnsi="Century Gothic" w:eastAsia="Arial" w:cs="Century Gothic"/>
      <w:color w:val="auto"/>
      <w:kern w:val="0"/>
      <w:sz w:val="16"/>
      <w:szCs w:val="20"/>
      <w:vertAlign w:val="subscript"/>
      <w:lang w:val="en-US" w:eastAsia="ar-SA" w:bidi="ar-SA"/>
    </w:rPr>
  </w:style>
  <w:style w:type="paragraph" w:styleId="Total" w:customStyle="1">
    <w:name w:val="Total"/>
    <w:basedOn w:val="TableText"/>
    <w:qFormat/>
    <w:pPr>
      <w:jc w:val="right"/>
    </w:pPr>
    <w:rPr>
      <w:b/>
      <w:bCs/>
    </w:rPr>
  </w:style>
  <w:style w:type="paragraph" w:styleId="TOC2">
    <w:name w:val="toc 2"/>
    <w:basedOn w:val="Normal"/>
    <w:next w:val="Normal"/>
    <w:pPr>
      <w:spacing w:before="240" w:after="60"/>
    </w:pPr>
    <w:rPr>
      <w:b/>
      <w:bCs/>
    </w:rPr>
  </w:style>
  <w:style w:type="paragraph" w:styleId="TOC3">
    <w:name w:val="toc 3"/>
    <w:basedOn w:val="Normal"/>
    <w:next w:val="Normal"/>
    <w:pPr>
      <w:ind w:hanging="1" w:left="240"/>
    </w:pPr>
    <w:rPr/>
  </w:style>
  <w:style w:type="paragraph" w:styleId="TOC4">
    <w:name w:val="toc 4"/>
    <w:basedOn w:val="Normal"/>
    <w:next w:val="Normal"/>
    <w:pPr>
      <w:ind w:hanging="1" w:left="480"/>
    </w:pPr>
    <w:rPr/>
  </w:style>
  <w:style w:type="paragraph" w:styleId="TOC5">
    <w:name w:val="toc 5"/>
    <w:basedOn w:val="Normal"/>
    <w:next w:val="Normal"/>
    <w:pPr>
      <w:ind w:hanging="1" w:left="720"/>
    </w:pPr>
    <w:rPr/>
  </w:style>
  <w:style w:type="paragraph" w:styleId="TOC6">
    <w:name w:val="toc 6"/>
    <w:basedOn w:val="Normal"/>
    <w:next w:val="Normal"/>
    <w:pPr>
      <w:ind w:hanging="1" w:left="960"/>
    </w:pPr>
    <w:rPr/>
  </w:style>
  <w:style w:type="paragraph" w:styleId="TOC7">
    <w:name w:val="toc 7"/>
    <w:basedOn w:val="Normal"/>
    <w:next w:val="Normal"/>
    <w:pPr>
      <w:ind w:hanging="1" w:left="1200"/>
    </w:pPr>
    <w:rPr/>
  </w:style>
  <w:style w:type="paragraph" w:styleId="TOC8">
    <w:name w:val="toc 8"/>
    <w:basedOn w:val="Normal"/>
    <w:next w:val="Normal"/>
    <w:pPr>
      <w:ind w:hanging="1" w:left="1440"/>
    </w:pPr>
    <w:rPr/>
  </w:style>
  <w:style w:type="paragraph" w:styleId="TOC9">
    <w:name w:val="toc 9"/>
    <w:basedOn w:val="Normal"/>
    <w:next w:val="Normal"/>
    <w:pPr>
      <w:ind w:hanging="1" w:left="1680"/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Commarcadores1" w:customStyle="1">
    <w:name w:val="Com marcadores1"/>
    <w:basedOn w:val="Normal"/>
    <w:qFormat/>
    <w:pPr>
      <w:numPr>
        <w:ilvl w:val="0"/>
        <w:numId w:val="2"/>
      </w:numPr>
      <w:ind w:firstLine="720" w:left="1152"/>
    </w:pPr>
    <w:rPr/>
  </w:style>
  <w:style w:type="paragraph" w:styleId="TableTextBold" w:customStyle="1">
    <w:name w:val="Table Text Bold"/>
    <w:basedOn w:val="TableText"/>
    <w:qFormat/>
    <w:pPr/>
    <w:rPr>
      <w:b/>
      <w:color w:val="000000"/>
      <w:szCs w:val="16"/>
    </w:rPr>
  </w:style>
  <w:style w:type="paragraph" w:styleId="FootnoteText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styleId="Legenda1" w:customStyle="1">
    <w:name w:val="Legenda1"/>
    <w:basedOn w:val="Normal"/>
    <w:next w:val="Normal"/>
    <w:qFormat/>
    <w:pPr>
      <w:ind w:hanging="0" w:left="-1"/>
      <w:jc w:val="center"/>
    </w:pPr>
    <w:rPr>
      <w:b/>
      <w:bCs/>
      <w:lang w:val="pt-BR"/>
    </w:rPr>
  </w:style>
  <w:style w:type="paragraph" w:styleId="StyleCaptionCentered" w:customStyle="1">
    <w:name w:val="Style Caption + Centered"/>
    <w:basedOn w:val="Legenda1"/>
    <w:qFormat/>
    <w:pPr/>
    <w:rPr/>
  </w:style>
  <w:style w:type="paragraph" w:styleId="HTMLPreformatted">
    <w:name w:val="HTML Preformatted"/>
    <w:basedOn w:val="Normal"/>
    <w:qFormat/>
    <w:pPr>
      <w:spacing w:before="0" w:after="0"/>
      <w:ind w:hanging="0" w:left="-1"/>
      <w:jc w:val="left"/>
    </w:pPr>
    <w:rPr>
      <w:rFonts w:ascii="Courier New" w:hAnsi="Courier New" w:cs="Courier New"/>
      <w:lang w:val="pt-BR"/>
    </w:rPr>
  </w:style>
  <w:style w:type="paragraph" w:styleId="Footer">
    <w:name w:val="footer"/>
    <w:basedOn w:val="Normal"/>
    <w:pPr/>
    <w:rPr/>
  </w:style>
  <w:style w:type="paragraph" w:styleId="WW-Default" w:customStyle="1">
    <w:name w:val="WW-Default"/>
    <w:qFormat/>
    <w:pPr>
      <w:widowControl/>
      <w:suppressAutoHyphens w:val="true"/>
      <w:bidi w:val="0"/>
      <w:spacing w:lineRule="atLeast" w:line="1" w:before="60" w:after="60"/>
      <w:ind w:hanging="1" w:left="-1"/>
      <w:jc w:val="both"/>
      <w:textAlignment w:val="top"/>
      <w:outlineLvl w:val="0"/>
    </w:pPr>
    <w:rPr>
      <w:rFonts w:ascii="Century Gothic" w:hAnsi="Century Gothic" w:eastAsia="Century Gothic" w:cs="Century Gothic"/>
      <w:color w:val="000000"/>
      <w:kern w:val="0"/>
      <w:sz w:val="24"/>
      <w:szCs w:val="24"/>
      <w:vertAlign w:val="subscript"/>
      <w:lang w:val="pt-BR" w:eastAsia="ar-SA" w:bidi="ar-SA"/>
    </w:rPr>
  </w:style>
  <w:style w:type="paragraph" w:styleId="ListParagraph1" w:customStyle="1">
    <w:name w:val="List Paragraph1"/>
    <w:basedOn w:val="Normal"/>
    <w:qFormat/>
    <w:pPr>
      <w:spacing w:before="0" w:after="0"/>
      <w:ind w:hanging="0" w:left="720"/>
      <w:jc w:val="left"/>
    </w:pPr>
    <w:rPr>
      <w:rFonts w:ascii="Times New Roman" w:hAnsi="Times New Roman"/>
      <w:sz w:val="24"/>
      <w:szCs w:val="24"/>
      <w:lang w:val="pt-BR"/>
    </w:rPr>
  </w:style>
  <w:style w:type="paragraph" w:styleId="MTDisplayEquation" w:customStyle="1">
    <w:name w:val="MTDisplayEquation"/>
    <w:basedOn w:val="Normal"/>
    <w:next w:val="Normal"/>
    <w:qFormat/>
    <w:pPr/>
    <w:rPr>
      <w:lang w:val="pt-BR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WW-Footnote" w:customStyle="1">
    <w:name w:val="WW-Footnote"/>
    <w:basedOn w:val="FootnoteText"/>
    <w:qFormat/>
    <w:pPr/>
    <w:rPr/>
  </w:style>
  <w:style w:type="paragraph" w:styleId="NormalWeb">
    <w:name w:val="Normal (Web)"/>
    <w:basedOn w:val="Normal"/>
    <w:qFormat/>
    <w:pPr/>
    <w:rPr>
      <w:rFonts w:ascii="Times New Roman" w:hAnsi="Times New Roman"/>
      <w:sz w:val="24"/>
      <w:szCs w:val="24"/>
    </w:rPr>
  </w:style>
  <w:style w:type="paragraph" w:styleId="StyleNormalWebArialNotBold" w:customStyle="1">
    <w:name w:val="Style Normal (Web) + Arial Not Bold"/>
    <w:basedOn w:val="NormalWeb"/>
    <w:qFormat/>
    <w:pPr>
      <w:spacing w:lineRule="auto" w:line="360" w:before="280" w:after="120"/>
      <w:ind w:firstLine="706" w:left="-1"/>
    </w:pPr>
    <w:rPr>
      <w:rFonts w:ascii="Arial" w:hAnsi="Arial" w:cs="Arial"/>
      <w:color w:val="000000"/>
      <w:lang w:val="pt-BR"/>
    </w:rPr>
  </w:style>
  <w:style w:type="paragraph" w:styleId="StyletituloArial14pt" w:customStyle="1">
    <w:name w:val="Style titulo + Arial 14 pt"/>
    <w:basedOn w:val="Normal"/>
    <w:qFormat/>
    <w:pPr>
      <w:spacing w:lineRule="atLeast" w:line="336" w:before="240" w:after="120"/>
      <w:ind w:hanging="0" w:left="-1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styleId="StyleStyleNormalWebArialNotBoldLinespacingsingle" w:customStyle="1">
    <w:name w:val="Style Style Normal (Web) + Arial Not Bold + Line spacing:  single"/>
    <w:basedOn w:val="StyleNormalWebArialNotBold"/>
    <w:qFormat/>
    <w:pPr>
      <w:tabs>
        <w:tab w:val="left" w:pos="720" w:leader="none"/>
      </w:tabs>
      <w:spacing w:lineRule="auto" w:line="240" w:before="280" w:after="60"/>
      <w:ind w:hanging="432" w:left="1080"/>
      <w:jc w:val="left"/>
    </w:pPr>
    <w:rPr>
      <w:rFonts w:cs="Times New Roman"/>
      <w:szCs w:val="20"/>
    </w:rPr>
  </w:style>
  <w:style w:type="paragraph" w:styleId="ListaColorida-nfase11" w:customStyle="1">
    <w:name w:val="Lista Colorida - Ênfase 11"/>
    <w:basedOn w:val="Normal"/>
    <w:qFormat/>
    <w:pPr>
      <w:spacing w:lineRule="auto" w:line="276" w:before="0" w:after="200"/>
      <w:ind w:hanging="0" w:left="720"/>
      <w:jc w:val="left"/>
    </w:pPr>
    <w:rPr>
      <w:rFonts w:ascii="Calibri" w:hAnsi="Calibri"/>
      <w:sz w:val="22"/>
      <w:szCs w:val="22"/>
      <w:lang w:val="pt-BR"/>
    </w:rPr>
  </w:style>
  <w:style w:type="paragraph" w:styleId="Sumrio10user" w:customStyle="1">
    <w:name w:val="Sumário 10 (user)"/>
    <w:basedOn w:val="ndiceuser"/>
    <w:qFormat/>
    <w:pPr>
      <w:ind w:hanging="0" w:left="2547"/>
    </w:pPr>
    <w:rPr/>
  </w:style>
  <w:style w:type="paragraph" w:styleId="Contedodoquadrouser" w:customStyle="1">
    <w:name w:val="Conteúdo do quadro (user)"/>
    <w:basedOn w:val="BodyText"/>
    <w:qFormat/>
    <w:pPr/>
    <w:rPr/>
  </w:style>
  <w:style w:type="paragraph" w:styleId="Contedodatabelauser" w:customStyle="1">
    <w:name w:val="Conteúdo da tabela (user)"/>
    <w:basedOn w:val="Normal"/>
    <w:qFormat/>
    <w:pPr>
      <w:suppressLineNumbers/>
    </w:pPr>
    <w:rPr/>
  </w:style>
  <w:style w:type="paragraph" w:styleId="Ttulodetabelauser" w:customStyle="1">
    <w:name w:val="Título de tabela (user)"/>
    <w:basedOn w:val="Contedodatabelauser"/>
    <w:qFormat/>
    <w:pPr>
      <w:jc w:val="center"/>
    </w:pPr>
    <w:rPr>
      <w:b/>
      <w:bCs/>
    </w:rPr>
  </w:style>
  <w:style w:type="paragraph" w:styleId="Tabelauser" w:customStyle="1">
    <w:name w:val="Tabela (user)"/>
    <w:basedOn w:val="Caption1"/>
    <w:qFormat/>
    <w:pPr/>
    <w:rPr/>
  </w:style>
  <w:style w:type="paragraph" w:styleId="Ilustraouser" w:customStyle="1">
    <w:name w:val="Ilustração (user)"/>
    <w:basedOn w:val="Caption1"/>
    <w:qFormat/>
    <w:pPr/>
    <w:rPr/>
  </w:style>
  <w:style w:type="paragraph" w:styleId="Figurauser" w:customStyle="1">
    <w:name w:val="Figura (user)"/>
    <w:basedOn w:val="Caption1"/>
    <w:qFormat/>
    <w:pPr/>
    <w:rPr/>
  </w:style>
  <w:style w:type="paragraph" w:styleId="EndnoteText">
    <w:name w:val="endnote text"/>
    <w:basedOn w:val="Normal"/>
    <w:qFormat/>
    <w:pPr/>
    <w:rPr/>
  </w:style>
  <w:style w:type="paragraph" w:styleId="CommentText">
    <w:name w:val="annotation text"/>
    <w:basedOn w:val="Normal"/>
    <w:qFormat/>
    <w:pPr/>
    <w:rPr/>
  </w:style>
  <w:style w:type="paragraph" w:styleId="annotationsubject">
    <w:name w:val="annotation subject"/>
    <w:basedOn w:val="CommentText"/>
    <w:next w:val="CommentText"/>
    <w:qFormat/>
    <w:pPr/>
    <w:rPr>
      <w:b/>
      <w:bCs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entury Gothic" w:cs="Century Gothic"/>
      <w:color w:val="000000"/>
      <w:kern w:val="0"/>
      <w:sz w:val="24"/>
      <w:szCs w:val="20"/>
      <w:lang w:val="en-US" w:eastAsia="pt-BR" w:bidi="ar-SA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pPr>
      <w:spacing w:line="1" w:lineRule="atLeas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<Relationship Id="rId30" Type="http://schemas.openxmlformats.org/officeDocument/2006/relationships/font" Target="fonts/font30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Application>LibreOffice/25.2.5.2$Windows_X86_64 LibreOffice_project/03d19516eb2e1dd5d4ccd751a0d6f35f35e08022</Application>
  <AppVersion>15.0000</AppVersion>
  <Pages>5</Pages>
  <Words>4060</Words>
  <Characters>22209</Characters>
  <CharactersWithSpaces>26297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2025-08-21T08:24:00Z</dcterms:created>
  <dc:creator>Kenia Gonçalves Costa</dc:creator>
  <dc:description/>
  <dc:language>pt-BR</dc:language>
  <cp:lastModifiedBy/>
  <dcterms:modified xsi:type="dcterms:W3CDTF">2025-10-13T18:12:25Z</dcterms:modified>
  <cp:revision>60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1</vt:bool>
  </property>
  <property fmtid="{D5CDD505-2E9C-101B-9397-08002B2CF9AE}" pid="3" name="_TemplateID">
    <vt:lpwstr>TC060891651033</vt:lpwstr>
  </property>
</Properties>
</file>