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4068" w14:textId="77777777" w:rsidR="00676E22" w:rsidRDefault="00676E22" w:rsidP="00123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bCs/>
          <w:color w:val="313131"/>
          <w:sz w:val="28"/>
          <w:szCs w:val="28"/>
        </w:rPr>
      </w:pPr>
    </w:p>
    <w:p w14:paraId="3AFA75E5" w14:textId="36DD5D39" w:rsidR="00123D4F" w:rsidRDefault="00676E22" w:rsidP="00123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bCs/>
          <w:color w:val="313131"/>
          <w:sz w:val="28"/>
          <w:szCs w:val="28"/>
        </w:rPr>
      </w:pPr>
      <w:r w:rsidRPr="00676E22">
        <w:rPr>
          <w:b/>
          <w:bCs/>
          <w:color w:val="313131"/>
          <w:sz w:val="28"/>
          <w:szCs w:val="28"/>
        </w:rPr>
        <w:t xml:space="preserve">INFLUÊNCIA DO GENE </w:t>
      </w:r>
      <w:r w:rsidRPr="00617C92">
        <w:rPr>
          <w:b/>
          <w:bCs/>
          <w:i/>
          <w:iCs/>
          <w:color w:val="313131"/>
          <w:sz w:val="28"/>
          <w:szCs w:val="28"/>
        </w:rPr>
        <w:t>ACTN3</w:t>
      </w:r>
      <w:r w:rsidRPr="00676E22">
        <w:rPr>
          <w:b/>
          <w:bCs/>
          <w:color w:val="313131"/>
          <w:sz w:val="28"/>
          <w:szCs w:val="28"/>
        </w:rPr>
        <w:t xml:space="preserve"> NO DESEMPENHO ESPORTIVO DE EQUINOS ATLETAS</w:t>
      </w:r>
      <w:r w:rsidR="00617C92">
        <w:rPr>
          <w:b/>
          <w:bCs/>
          <w:color w:val="313131"/>
          <w:sz w:val="28"/>
          <w:szCs w:val="28"/>
        </w:rPr>
        <w:t>:</w:t>
      </w:r>
      <w:r w:rsidRPr="00676E22">
        <w:rPr>
          <w:b/>
          <w:bCs/>
          <w:color w:val="313131"/>
          <w:sz w:val="28"/>
          <w:szCs w:val="28"/>
        </w:rPr>
        <w:t xml:space="preserve"> UMA BREVE REVISÃO DE LITERATURA</w:t>
      </w:r>
    </w:p>
    <w:p w14:paraId="4A5D8DF4" w14:textId="77777777" w:rsidR="00676E22" w:rsidRDefault="00676E22" w:rsidP="00123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</w:rPr>
      </w:pPr>
    </w:p>
    <w:p w14:paraId="3589B087" w14:textId="77777777" w:rsidR="00123D4F" w:rsidRPr="00947AB7" w:rsidRDefault="00123D4F" w:rsidP="00123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  <w:u w:val="single"/>
        </w:rPr>
        <w:t>Meriade, GB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Waterloo, MML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Oliveira, SB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dos Santos, LST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de Sousa, DA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, Ferreira, AMA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,</w:t>
      </w:r>
      <w:r w:rsidRPr="00947AB7"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Padilha, FGF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</w:p>
    <w:p w14:paraId="7E45F8D1" w14:textId="77777777" w:rsidR="00123D4F" w:rsidRDefault="00123D4F" w:rsidP="00123D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5D675898" w14:textId="77777777" w:rsidR="00123D4F" w:rsidRPr="0021142C" w:rsidRDefault="00123D4F" w:rsidP="00123D4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1142C">
        <w:rPr>
          <w:sz w:val="22"/>
          <w:szCs w:val="22"/>
        </w:rPr>
        <w:t xml:space="preserve">Graduação em Medicina Veterinária na Universidade Federal Fluminense - UFF, Niterói - RJ. </w:t>
      </w:r>
    </w:p>
    <w:p w14:paraId="60BEA3FF" w14:textId="77777777" w:rsidR="00123D4F" w:rsidRDefault="00123D4F" w:rsidP="00123D4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1533E">
        <w:rPr>
          <w:sz w:val="22"/>
          <w:szCs w:val="22"/>
        </w:rPr>
        <w:t xml:space="preserve">Residência em Anatomia Patológica Veterinária da Universidade Federal Fluminense </w:t>
      </w:r>
      <w:r>
        <w:rPr>
          <w:sz w:val="22"/>
          <w:szCs w:val="22"/>
        </w:rPr>
        <w:t>-</w:t>
      </w:r>
      <w:r w:rsidRPr="00C1533E">
        <w:rPr>
          <w:sz w:val="22"/>
          <w:szCs w:val="22"/>
        </w:rPr>
        <w:t xml:space="preserve"> UFF</w:t>
      </w:r>
      <w:r>
        <w:rPr>
          <w:sz w:val="22"/>
          <w:szCs w:val="22"/>
        </w:rPr>
        <w:t>, Niterói -</w:t>
      </w:r>
      <w:r w:rsidRPr="00C1533E">
        <w:rPr>
          <w:sz w:val="22"/>
          <w:szCs w:val="22"/>
        </w:rPr>
        <w:t xml:space="preserve"> RJ.</w:t>
      </w:r>
    </w:p>
    <w:p w14:paraId="0CA6533E" w14:textId="77777777" w:rsidR="00123D4F" w:rsidRPr="00C1533E" w:rsidRDefault="00123D4F" w:rsidP="00123D4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Laboratório de Anatomia Patológica Veterinária da Universidade Federal Fluminense – UFF, Niterói - RJ</w:t>
      </w:r>
    </w:p>
    <w:p w14:paraId="63D430B0" w14:textId="77777777" w:rsidR="00123D4F" w:rsidRPr="00C1533E" w:rsidRDefault="00123D4F" w:rsidP="00123D4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1533E">
        <w:rPr>
          <w:sz w:val="22"/>
          <w:szCs w:val="22"/>
        </w:rPr>
        <w:t>Programa de Pós</w:t>
      </w:r>
      <w:r>
        <w:rPr>
          <w:sz w:val="22"/>
          <w:szCs w:val="22"/>
        </w:rPr>
        <w:t>-</w:t>
      </w:r>
      <w:r w:rsidRPr="00C1533E">
        <w:rPr>
          <w:sz w:val="22"/>
          <w:szCs w:val="22"/>
        </w:rPr>
        <w:t>Graduação em Medicina Veterinária (Clínica e Reprodução Animal) da U</w:t>
      </w:r>
      <w:r>
        <w:rPr>
          <w:sz w:val="22"/>
          <w:szCs w:val="22"/>
        </w:rPr>
        <w:t>niversidade Federal Fluminense - UFF, Niterói -</w:t>
      </w:r>
      <w:r w:rsidRPr="00C1533E">
        <w:rPr>
          <w:sz w:val="22"/>
          <w:szCs w:val="22"/>
        </w:rPr>
        <w:t xml:space="preserve"> RJ.</w:t>
      </w:r>
    </w:p>
    <w:p w14:paraId="5E5CAE7F" w14:textId="77777777" w:rsidR="00123D4F" w:rsidRDefault="00123D4F" w:rsidP="00123D4F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  <w:u w:val="single"/>
        </w:rPr>
        <w:t>giulliaburiti@id.uff.br</w:t>
      </w:r>
    </w:p>
    <w:p w14:paraId="249F20D2" w14:textId="77777777" w:rsidR="00123D4F" w:rsidRDefault="00123D4F" w:rsidP="00123D4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07BAD43C" w14:textId="77777777" w:rsidR="00123D4F" w:rsidRDefault="00123D4F" w:rsidP="00123D4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A genômica aplicada a equinos atletas visa identificar variações na sequência de DNA individualmente e, com isso, determinar a funcionalidade de cada gene e a expressão de características de acordo com a sua distribuição. Os marcadores moleculares são cada vez mais utilizados em equinos visando o melhoramento genético da espécie. A alfa-actinina-3 é uma proteína codificada pelo gene </w:t>
      </w:r>
      <w:r w:rsidRPr="00387FCE">
        <w:rPr>
          <w:i/>
          <w:iCs/>
          <w:color w:val="313131"/>
          <w:sz w:val="22"/>
          <w:szCs w:val="22"/>
          <w:highlight w:val="white"/>
        </w:rPr>
        <w:t xml:space="preserve">ACTN3 </w:t>
      </w:r>
      <w:r>
        <w:rPr>
          <w:color w:val="313131"/>
          <w:sz w:val="22"/>
          <w:szCs w:val="22"/>
          <w:highlight w:val="white"/>
        </w:rPr>
        <w:t xml:space="preserve">que está presente nas fibras musculares do tipo II e se liga à actina, atuando na interação actina-miosina para a contração muscular de fibras rápidas. Objetivou-se realizar uma revisão integrativa a fim de identificar polimorfismos do gene </w:t>
      </w:r>
      <w:r w:rsidRPr="00387FCE">
        <w:rPr>
          <w:i/>
          <w:iCs/>
          <w:color w:val="313131"/>
          <w:sz w:val="22"/>
          <w:szCs w:val="22"/>
          <w:highlight w:val="white"/>
        </w:rPr>
        <w:t>ACTN3</w:t>
      </w:r>
      <w:r>
        <w:rPr>
          <w:color w:val="313131"/>
          <w:sz w:val="22"/>
          <w:szCs w:val="22"/>
          <w:highlight w:val="white"/>
        </w:rPr>
        <w:t xml:space="preserve"> que possam influenciar no desempenho esportivo de equinos atletas. </w:t>
      </w:r>
      <w:r w:rsidRPr="002172CE">
        <w:rPr>
          <w:color w:val="313131"/>
          <w:sz w:val="22"/>
          <w:szCs w:val="22"/>
          <w:highlight w:val="white"/>
        </w:rPr>
        <w:t xml:space="preserve">Foi </w:t>
      </w:r>
      <w:r>
        <w:rPr>
          <w:color w:val="313131"/>
          <w:sz w:val="22"/>
          <w:szCs w:val="22"/>
          <w:highlight w:val="white"/>
        </w:rPr>
        <w:t xml:space="preserve">fundamentada em 12 artigos, publicados em inglês e português, durante o período de 2007 a 2020 e encontrados a partir dos seguintes descritores: “polimorfismos”, “gene ACTN3” e “equinos”, em ambos os idiomas. A presença da proteína alfa-actinina-3 está relacionada com um processo rápido de obtenção de energia pela via anaeróbia utilizando o glicogênio muscular. Portanto, sua presença indica um melhor desempenho esportivo em exercícios de explosão, uma vez que ocorre o aumento na força de contração muscular. Enquanto a sua ausência revela que o músculo prioriza utilizar a via oxidativa nas fibras musculares do tipo I através da glicose para a obtenção de energia, processo mais lento e que favorece a execução de atividades de resistência. A mutação do gene </w:t>
      </w:r>
      <w:r w:rsidRPr="00387FCE">
        <w:rPr>
          <w:i/>
          <w:iCs/>
          <w:color w:val="313131"/>
          <w:sz w:val="22"/>
          <w:szCs w:val="22"/>
          <w:highlight w:val="white"/>
        </w:rPr>
        <w:t xml:space="preserve">ACTN3 </w:t>
      </w:r>
      <w:r>
        <w:rPr>
          <w:color w:val="313131"/>
          <w:sz w:val="22"/>
          <w:szCs w:val="22"/>
          <w:highlight w:val="white"/>
        </w:rPr>
        <w:t>(p. R577X) em humanos pode determinar a maior aptidão para a execução de exercícios de resistência ou velocidade. Os humanos que apresentam deficiência em tal gene, em geral, manifestam melhor recuperação à fadiga muscular</w:t>
      </w:r>
      <w:r>
        <w:rPr>
          <w:color w:val="313131"/>
          <w:sz w:val="22"/>
          <w:szCs w:val="22"/>
        </w:rPr>
        <w:t xml:space="preserve">. </w:t>
      </w:r>
      <w:r w:rsidRPr="00B06D50">
        <w:rPr>
          <w:color w:val="333333"/>
          <w:sz w:val="22"/>
          <w:szCs w:val="22"/>
          <w:shd w:val="clear" w:color="auto" w:fill="FFFFFF"/>
        </w:rPr>
        <w:t>Indivíduos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Pr="00B06D50">
        <w:rPr>
          <w:color w:val="333333"/>
          <w:sz w:val="22"/>
          <w:szCs w:val="22"/>
          <w:shd w:val="clear" w:color="auto" w:fill="FFFFFF"/>
        </w:rPr>
        <w:t xml:space="preserve">homozigotos </w:t>
      </w:r>
      <w:r>
        <w:rPr>
          <w:color w:val="333333"/>
          <w:sz w:val="22"/>
          <w:szCs w:val="22"/>
          <w:shd w:val="clear" w:color="auto" w:fill="FFFFFF"/>
        </w:rPr>
        <w:t xml:space="preserve">para o alelo X </w:t>
      </w:r>
      <w:r w:rsidRPr="00B06D50">
        <w:rPr>
          <w:color w:val="333333"/>
          <w:sz w:val="22"/>
          <w:szCs w:val="22"/>
          <w:shd w:val="clear" w:color="auto" w:fill="FFFFFF"/>
        </w:rPr>
        <w:t xml:space="preserve">são menos suscetíveis a lesões musculares durante o exercício. </w:t>
      </w:r>
      <w:r>
        <w:rPr>
          <w:color w:val="333333"/>
          <w:sz w:val="22"/>
          <w:szCs w:val="22"/>
          <w:shd w:val="clear" w:color="auto" w:fill="FFFFFF"/>
        </w:rPr>
        <w:t xml:space="preserve">A presença do </w:t>
      </w:r>
      <w:r w:rsidRPr="00B06D50">
        <w:rPr>
          <w:color w:val="333333"/>
          <w:sz w:val="22"/>
          <w:szCs w:val="22"/>
          <w:shd w:val="clear" w:color="auto" w:fill="FFFFFF"/>
        </w:rPr>
        <w:t>alelo R provoca a ausência da proteína, gerando redução da quantidade de massa muscular</w:t>
      </w:r>
      <w:r>
        <w:rPr>
          <w:color w:val="333333"/>
          <w:sz w:val="22"/>
          <w:szCs w:val="22"/>
          <w:shd w:val="clear" w:color="auto" w:fill="FFFFFF"/>
        </w:rPr>
        <w:t xml:space="preserve"> e i</w:t>
      </w:r>
      <w:r w:rsidRPr="00B06D50">
        <w:rPr>
          <w:color w:val="333333"/>
          <w:sz w:val="22"/>
          <w:szCs w:val="22"/>
          <w:shd w:val="clear" w:color="auto" w:fill="FFFFFF"/>
        </w:rPr>
        <w:t>nfluencia</w:t>
      </w:r>
      <w:r>
        <w:rPr>
          <w:color w:val="333333"/>
          <w:sz w:val="22"/>
          <w:szCs w:val="22"/>
          <w:shd w:val="clear" w:color="auto" w:fill="FFFFFF"/>
        </w:rPr>
        <w:t>ndo</w:t>
      </w:r>
      <w:r w:rsidRPr="00B06D50">
        <w:rPr>
          <w:color w:val="333333"/>
          <w:sz w:val="22"/>
          <w:szCs w:val="22"/>
          <w:shd w:val="clear" w:color="auto" w:fill="FFFFFF"/>
        </w:rPr>
        <w:t xml:space="preserve"> diretamente na redução do desempenho</w:t>
      </w:r>
      <w:r>
        <w:rPr>
          <w:color w:val="333333"/>
          <w:sz w:val="22"/>
          <w:szCs w:val="22"/>
          <w:shd w:val="clear" w:color="auto" w:fill="FFFFFF"/>
        </w:rPr>
        <w:t xml:space="preserve"> em atividades de resistência. Tais mutações não foram descritas em equinos, mas experimentações humanas relacionadas aos polimorfismos de gene demonstram considerável semelhança com os encontrados na espécie equina. </w:t>
      </w:r>
      <w:r>
        <w:rPr>
          <w:color w:val="313131"/>
          <w:sz w:val="22"/>
          <w:szCs w:val="22"/>
          <w:highlight w:val="white"/>
        </w:rPr>
        <w:t xml:space="preserve">Pesquisas voltadas para o gene </w:t>
      </w:r>
      <w:r w:rsidRPr="00E73F6D">
        <w:rPr>
          <w:i/>
          <w:iCs/>
          <w:color w:val="313131"/>
          <w:sz w:val="22"/>
          <w:szCs w:val="22"/>
          <w:highlight w:val="white"/>
        </w:rPr>
        <w:t>ACTN3</w:t>
      </w:r>
      <w:r>
        <w:rPr>
          <w:color w:val="313131"/>
          <w:sz w:val="22"/>
          <w:szCs w:val="22"/>
          <w:highlight w:val="white"/>
        </w:rPr>
        <w:t xml:space="preserve"> em equinos ainda são consideradas escassas, na qual muitas vezes, os resultados experimentais são discutidos e comparados baseados na medicina humana. Nesse contexto, evidencia-se a importância de novos estudos para tal gene voltados à medicina equina com aplicabilidade ao esporte.</w:t>
      </w:r>
    </w:p>
    <w:p w14:paraId="32719ED0" w14:textId="32F547CC" w:rsidR="0001392E" w:rsidRDefault="00C4539D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01392E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826" w14:textId="77777777" w:rsidR="00C4539D" w:rsidRDefault="00C4539D">
      <w:r>
        <w:separator/>
      </w:r>
    </w:p>
  </w:endnote>
  <w:endnote w:type="continuationSeparator" w:id="0">
    <w:p w14:paraId="7FE5690F" w14:textId="77777777" w:rsidR="00C4539D" w:rsidRDefault="00C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66EB" w14:textId="77777777" w:rsidR="00C4539D" w:rsidRDefault="00C4539D">
      <w:r>
        <w:separator/>
      </w:r>
    </w:p>
  </w:footnote>
  <w:footnote w:type="continuationSeparator" w:id="0">
    <w:p w14:paraId="0CC24934" w14:textId="77777777" w:rsidR="00C4539D" w:rsidRDefault="00C4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293" w14:textId="77777777" w:rsidR="0001392E" w:rsidRDefault="00C45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6C5B5E1" wp14:editId="79DF5D83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48"/>
    <w:multiLevelType w:val="multilevel"/>
    <w:tmpl w:val="47004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2A44EE7"/>
    <w:multiLevelType w:val="multilevel"/>
    <w:tmpl w:val="79866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2E"/>
    <w:rsid w:val="0001392E"/>
    <w:rsid w:val="00123D4F"/>
    <w:rsid w:val="00284B75"/>
    <w:rsid w:val="00617C92"/>
    <w:rsid w:val="00676E22"/>
    <w:rsid w:val="008D2905"/>
    <w:rsid w:val="00C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0B1D"/>
  <w15:docId w15:val="{30DB0F98-6613-4C46-B802-10D613E1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Giullia Buriti</cp:lastModifiedBy>
  <cp:revision>6</cp:revision>
  <dcterms:created xsi:type="dcterms:W3CDTF">2021-10-01T15:54:00Z</dcterms:created>
  <dcterms:modified xsi:type="dcterms:W3CDTF">2021-10-01T16:52:00Z</dcterms:modified>
</cp:coreProperties>
</file>