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000000" w:themeColor="text1"/>
        </w:r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Pr="00040676" w:rsidRDefault="0053021A" w:rsidP="0083251D">
          <w:pPr>
            <w:spacing w:line="360" w:lineRule="auto"/>
            <w:rPr>
              <w:color w:val="000000" w:themeColor="text1"/>
            </w:rPr>
          </w:pPr>
          <w:r w:rsidRPr="00040676">
            <w:rPr>
              <w:noProof/>
              <w:color w:val="000000" w:themeColor="text1"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7777777" w:rsidR="0027518C" w:rsidRPr="00040676" w:rsidRDefault="0053021A" w:rsidP="0083251D">
          <w:pPr>
            <w:spacing w:line="360" w:lineRule="auto"/>
            <w:rPr>
              <w:color w:val="000000" w:themeColor="text1"/>
            </w:rPr>
          </w:pPr>
          <w:r w:rsidRPr="00040676">
            <w:rPr>
              <w:noProof/>
              <w:color w:val="000000" w:themeColor="text1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 w:rsidRPr="00040676">
            <w:rPr>
              <w:noProof/>
              <w:color w:val="000000" w:themeColor="text1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05F2756B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017D1CC1" w:rsidR="0053021A" w:rsidRPr="00B155EF" w:rsidRDefault="00B155EF" w:rsidP="00B155EF">
                                <w:pPr>
                                  <w:jc w:val="both"/>
                                  <w:rPr>
                                    <w:rFonts w:ascii="Antonio" w:hAnsi="Antonio"/>
                                    <w:color w:val="1A9B3C"/>
                                    <w:sz w:val="42"/>
                                    <w:szCs w:val="36"/>
                                  </w:rPr>
                                </w:pPr>
                                <w:r w:rsidRPr="00B155EF">
                                  <w:rPr>
                                    <w:rFonts w:ascii="Antonio" w:eastAsia="Arial" w:hAnsi="Antonio" w:cs="Arial"/>
                                    <w:sz w:val="36"/>
                                  </w:rPr>
                                  <w:t>05 - DE DENTRO “DA PORTEIRA”, OLHANDO O CAMPO DE “CIMA”: OS ESTUDOS RURAIS ENTRE AS ELITES E CLASSES DOMINANTES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" filled="f" stroked="f" strokeweight=".5pt">
                    <v:textbox>
                      <w:txbxContent>
                        <w:p w14:paraId="638EDCFA" w14:textId="017D1CC1" w:rsidR="0053021A" w:rsidRPr="00B155EF" w:rsidRDefault="00B155EF" w:rsidP="00B155EF">
                          <w:pPr>
                            <w:jc w:val="both"/>
                            <w:rPr>
                              <w:rFonts w:ascii="Antonio" w:hAnsi="Antonio"/>
                              <w:color w:val="1A9B3C"/>
                              <w:sz w:val="42"/>
                              <w:szCs w:val="36"/>
                            </w:rPr>
                          </w:pPr>
                          <w:r w:rsidRPr="00B155EF">
                            <w:rPr>
                              <w:rFonts w:ascii="Antonio" w:eastAsia="Arial" w:hAnsi="Antonio" w:cs="Arial"/>
                              <w:sz w:val="36"/>
                            </w:rPr>
                            <w:t>05 - DE DENTRO “DA PORTEIRA”, OLHANDO O CAMPO DE “CIMA”: OS ESTUDOS RURAIS ENTRE AS ELITES E CLASSES DOMINANTES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040676">
            <w:rPr>
              <w:noProof/>
              <w:color w:val="000000" w:themeColor="text1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D71E0DD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</w:t>
                                </w:r>
                                <w:r w:rsidR="00B155EF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5</w:t>
                                </w: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" filled="f" stroked="f" strokeweight=".5pt">
                    <v:textbox>
                      <w:txbxContent>
                        <w:p w14:paraId="7AC046C5" w14:textId="7D71E0DD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</w:t>
                          </w:r>
                          <w:r w:rsidR="00B155EF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5</w:t>
                          </w: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040676">
            <w:rPr>
              <w:color w:val="000000" w:themeColor="text1"/>
            </w:rPr>
            <w:br w:type="page"/>
          </w:r>
        </w:p>
      </w:sdtContent>
    </w:sdt>
    <w:p w14:paraId="2AB5FB96" w14:textId="141243FC" w:rsidR="0005124E" w:rsidRDefault="0073461A" w:rsidP="0073461A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bCs/>
          <w:color w:val="000000" w:themeColor="text1"/>
          <w:kern w:val="0"/>
          <w:lang w:eastAsia="pt-BR"/>
          <w14:ligatures w14:val="none"/>
        </w:rPr>
      </w:pPr>
      <w:r w:rsidRPr="00040676">
        <w:rPr>
          <w:rFonts w:ascii="Trebuchet MS" w:eastAsia="Times New Roman" w:hAnsi="Trebuchet MS" w:cs="Times New Roman"/>
          <w:b/>
          <w:bCs/>
          <w:color w:val="000000" w:themeColor="text1"/>
          <w:kern w:val="0"/>
          <w:lang w:eastAsia="pt-BR"/>
          <w14:ligatures w14:val="none"/>
        </w:rPr>
        <w:lastRenderedPageBreak/>
        <w:t>PRIVILÉGIOS AO AGRONEGÓCIO E A MARGINALIZAÇÃO DA AGRICULTURA FAMILIAR À LUZ DE PRINCÍPIOS CONSTITUCIONAIS</w:t>
      </w:r>
    </w:p>
    <w:p w14:paraId="1BC6CA21" w14:textId="77777777" w:rsidR="00CD7981" w:rsidRPr="00040676" w:rsidRDefault="00CD7981" w:rsidP="0073461A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color w:val="000000" w:themeColor="text1"/>
          <w:kern w:val="0"/>
          <w:lang w:eastAsia="pt-BR"/>
          <w14:ligatures w14:val="none"/>
        </w:rPr>
      </w:pPr>
    </w:p>
    <w:p w14:paraId="2B6F811B" w14:textId="77777777" w:rsidR="006E55C9" w:rsidRPr="00CD7981" w:rsidRDefault="006E55C9" w:rsidP="006E55C9">
      <w:pPr>
        <w:spacing w:line="360" w:lineRule="auto"/>
        <w:ind w:firstLine="709"/>
        <w:jc w:val="center"/>
        <w:rPr>
          <w:rStyle w:val="fontstyle01"/>
          <w:rFonts w:ascii="Avenir Book" w:hAnsi="Avenir Book"/>
          <w:b w:val="0"/>
          <w:color w:val="000000" w:themeColor="text1"/>
        </w:rPr>
      </w:pPr>
      <w:r w:rsidRPr="00CD7981">
        <w:rPr>
          <w:rStyle w:val="fontstyle01"/>
          <w:rFonts w:ascii="Avenir Book" w:hAnsi="Avenir Book"/>
          <w:b w:val="0"/>
          <w:color w:val="000000" w:themeColor="text1"/>
        </w:rPr>
        <w:t>Monyele Camargo Graciano</w:t>
      </w:r>
      <w:r w:rsidRPr="00CD7981">
        <w:rPr>
          <w:rStyle w:val="Refdenotaderodap"/>
          <w:rFonts w:ascii="Avenir Book" w:hAnsi="Avenir Book"/>
          <w:b/>
          <w:bCs/>
          <w:color w:val="000000" w:themeColor="text1"/>
        </w:rPr>
        <w:footnoteReference w:id="1"/>
      </w:r>
    </w:p>
    <w:p w14:paraId="6FB8B5C2" w14:textId="45DCF7B6" w:rsidR="006E55C9" w:rsidRPr="00CD7981" w:rsidRDefault="006E55C9" w:rsidP="006E55C9">
      <w:pPr>
        <w:spacing w:line="360" w:lineRule="auto"/>
        <w:ind w:firstLine="709"/>
        <w:jc w:val="center"/>
        <w:rPr>
          <w:rStyle w:val="fontstyle01"/>
          <w:rFonts w:ascii="Avenir Book" w:hAnsi="Avenir Book"/>
          <w:b w:val="0"/>
          <w:color w:val="000000" w:themeColor="text1"/>
        </w:rPr>
      </w:pPr>
      <w:r w:rsidRPr="00CD7981">
        <w:rPr>
          <w:rStyle w:val="fontstyle01"/>
          <w:rFonts w:ascii="Avenir Book" w:hAnsi="Avenir Book"/>
          <w:b w:val="0"/>
          <w:color w:val="000000" w:themeColor="text1"/>
        </w:rPr>
        <w:t>Maria Cristina Vidotte Blanco Tárrega</w:t>
      </w:r>
      <w:r w:rsidRPr="00CD7981">
        <w:rPr>
          <w:rStyle w:val="Refdenotaderodap"/>
          <w:rFonts w:ascii="Avenir Book" w:hAnsi="Avenir Book"/>
          <w:b/>
          <w:bCs/>
          <w:color w:val="000000" w:themeColor="text1"/>
        </w:rPr>
        <w:footnoteReference w:id="2"/>
      </w:r>
    </w:p>
    <w:p w14:paraId="4917EB24" w14:textId="2DCFD364" w:rsidR="006E55C9" w:rsidRPr="00CD7981" w:rsidRDefault="006E55C9" w:rsidP="006E55C9">
      <w:pPr>
        <w:spacing w:line="360" w:lineRule="auto"/>
        <w:ind w:firstLine="709"/>
        <w:jc w:val="center"/>
        <w:rPr>
          <w:rStyle w:val="fontstyle01"/>
          <w:rFonts w:ascii="Avenir Book" w:hAnsi="Avenir Book"/>
          <w:b w:val="0"/>
          <w:color w:val="000000" w:themeColor="text1"/>
        </w:rPr>
      </w:pPr>
      <w:r w:rsidRPr="00CD7981">
        <w:rPr>
          <w:rStyle w:val="fontstyle01"/>
          <w:rFonts w:ascii="Avenir Book" w:hAnsi="Avenir Book"/>
          <w:b w:val="0"/>
          <w:color w:val="000000" w:themeColor="text1"/>
        </w:rPr>
        <w:t>Leandro de Lima Santos</w:t>
      </w:r>
      <w:r w:rsidRPr="00CD7981">
        <w:rPr>
          <w:rStyle w:val="Refdenotaderodap"/>
          <w:rFonts w:ascii="Avenir Book" w:hAnsi="Avenir Book"/>
          <w:b/>
          <w:bCs/>
          <w:color w:val="000000" w:themeColor="text1"/>
        </w:rPr>
        <w:footnoteReference w:id="3"/>
      </w:r>
    </w:p>
    <w:p w14:paraId="6D16D3A8" w14:textId="59333B45" w:rsidR="0005124E" w:rsidRDefault="0005124E" w:rsidP="0083251D">
      <w:pPr>
        <w:spacing w:line="360" w:lineRule="auto"/>
        <w:jc w:val="both"/>
        <w:rPr>
          <w:rFonts w:ascii="Trebuchet MS" w:eastAsia="Times New Roman" w:hAnsi="Trebuchet MS" w:cs="Times New Roman"/>
          <w:color w:val="000000" w:themeColor="text1"/>
        </w:rPr>
      </w:pPr>
    </w:p>
    <w:p w14:paraId="585F4161" w14:textId="3758AD20" w:rsidR="006E55C9" w:rsidRPr="00040676" w:rsidRDefault="006E55C9" w:rsidP="006E55C9">
      <w:pPr>
        <w:spacing w:line="360" w:lineRule="auto"/>
        <w:ind w:hanging="2"/>
        <w:rPr>
          <w:rFonts w:eastAsia="Arial" w:cs="Arial"/>
          <w:color w:val="000000" w:themeColor="text1"/>
        </w:rPr>
      </w:pPr>
      <w:r w:rsidRPr="00040676">
        <w:rPr>
          <w:rFonts w:eastAsia="Arial" w:cs="Arial"/>
          <w:b/>
          <w:color w:val="000000" w:themeColor="text1"/>
        </w:rPr>
        <w:t>GT 05:</w:t>
      </w:r>
      <w:r w:rsidRPr="00040676">
        <w:rPr>
          <w:rFonts w:eastAsia="Arial" w:cs="Arial"/>
          <w:color w:val="000000" w:themeColor="text1"/>
        </w:rPr>
        <w:t xml:space="preserve"> De dentro “da porteira”, olhando o campo de “cima”: os estudos rurais entre as elites e classes dominantes</w:t>
      </w:r>
    </w:p>
    <w:p w14:paraId="24483961" w14:textId="70CCD929" w:rsidR="006E55C9" w:rsidRPr="00040676" w:rsidRDefault="006E55C9" w:rsidP="0083251D">
      <w:pPr>
        <w:spacing w:line="360" w:lineRule="auto"/>
        <w:jc w:val="both"/>
        <w:rPr>
          <w:rFonts w:ascii="Trebuchet MS" w:eastAsia="Times New Roman" w:hAnsi="Trebuchet MS" w:cs="Times New Roman"/>
          <w:color w:val="000000" w:themeColor="text1"/>
        </w:rPr>
      </w:pPr>
    </w:p>
    <w:p w14:paraId="7DB3DE98" w14:textId="77777777" w:rsidR="00B155EF" w:rsidRPr="00040676" w:rsidRDefault="00B155EF" w:rsidP="0083251D">
      <w:pPr>
        <w:spacing w:line="360" w:lineRule="auto"/>
        <w:jc w:val="both"/>
        <w:rPr>
          <w:rFonts w:ascii="Trebuchet MS" w:eastAsia="Times New Roman" w:hAnsi="Trebuchet MS" w:cs="Times New Roman"/>
          <w:color w:val="000000" w:themeColor="text1"/>
        </w:rPr>
      </w:pPr>
    </w:p>
    <w:p w14:paraId="4694AB45" w14:textId="77777777" w:rsidR="006E55C9" w:rsidRPr="00040676" w:rsidRDefault="006E55C9" w:rsidP="006E55C9">
      <w:pPr>
        <w:spacing w:line="360" w:lineRule="auto"/>
        <w:ind w:hanging="2"/>
        <w:jc w:val="center"/>
        <w:rPr>
          <w:rFonts w:eastAsia="Arial" w:cs="Arial"/>
          <w:b/>
          <w:color w:val="000000" w:themeColor="text1"/>
        </w:rPr>
      </w:pPr>
      <w:r w:rsidRPr="00040676">
        <w:rPr>
          <w:rFonts w:eastAsia="Arial" w:cs="Arial"/>
          <w:b/>
          <w:color w:val="000000" w:themeColor="text1"/>
        </w:rPr>
        <w:t xml:space="preserve">RESUMO </w:t>
      </w:r>
    </w:p>
    <w:p w14:paraId="284F92F7" w14:textId="08A1FB19" w:rsidR="00BF5C0D" w:rsidRPr="00040676" w:rsidRDefault="00BF5C0D" w:rsidP="00CD7981">
      <w:pPr>
        <w:spacing w:line="360" w:lineRule="auto"/>
        <w:ind w:right="283"/>
        <w:jc w:val="both"/>
        <w:rPr>
          <w:color w:val="000000" w:themeColor="text1"/>
        </w:rPr>
      </w:pPr>
      <w:r w:rsidRPr="00040676">
        <w:rPr>
          <w:color w:val="000000" w:themeColor="text1"/>
        </w:rPr>
        <w:t>Este estudo analisa a política agroalimentar brasileira sob a ótica jurídico-constitucional, com ênfase nas disparidades estruturais no acesso ao crédito rural entre o agronegócio e a agricultura familiar. Demonstra-se que os Planos Safra conferem tratamento privilegiado às elites do agronegócio, alocando de forma desproporcional recursos públicos a grandes produtores, em detri</w:t>
      </w:r>
      <w:r w:rsidR="0054247D">
        <w:rPr>
          <w:color w:val="000000" w:themeColor="text1"/>
        </w:rPr>
        <w:t xml:space="preserve">mento da agricultura familiar, </w:t>
      </w:r>
      <w:r w:rsidRPr="00040676">
        <w:rPr>
          <w:color w:val="000000" w:themeColor="text1"/>
        </w:rPr>
        <w:t>responsável pela maior parte dos alimentos consumidos no país. Essa assimetria estrutural evidencia a manutenção de privilégios históricos das classes dominantes rurais, em violação aos princípios constitucionais da isonomia material, da redução das desigualdades sociais e regionais e da soberania alimentar, esta última implícita na ordem econômica (arts. 3º, III; 5º; 170 e 186, CF/88). Conclui-se que o atual modelo agrário aprofunda a concentração fundiária e compromete a efetivação da justiça social, exigindo reformulações normativas e institucionais.</w:t>
      </w:r>
    </w:p>
    <w:p w14:paraId="5DF84772" w14:textId="5DC79EA7" w:rsidR="0005124E" w:rsidRPr="00040676" w:rsidRDefault="0005124E" w:rsidP="0005124E">
      <w:pPr>
        <w:spacing w:line="360" w:lineRule="auto"/>
        <w:ind w:right="283"/>
        <w:jc w:val="both"/>
        <w:rPr>
          <w:rFonts w:ascii="Trebuchet MS" w:eastAsia="Times New Roman" w:hAnsi="Trebuchet MS" w:cs="Times New Roman"/>
          <w:b/>
          <w:i/>
          <w:color w:val="000000" w:themeColor="text1"/>
        </w:rPr>
      </w:pPr>
      <w:r w:rsidRPr="00CD7981">
        <w:rPr>
          <w:b/>
          <w:color w:val="000000" w:themeColor="text1"/>
        </w:rPr>
        <w:t>Palavras-chave:</w:t>
      </w:r>
      <w:r w:rsidRPr="00040676">
        <w:rPr>
          <w:color w:val="000000" w:themeColor="text1"/>
        </w:rPr>
        <w:t xml:space="preserve"> </w:t>
      </w:r>
      <w:r w:rsidR="0054247D">
        <w:rPr>
          <w:color w:val="000000" w:themeColor="text1"/>
        </w:rPr>
        <w:t>Planos Safra, Crédito Rural,</w:t>
      </w:r>
      <w:r w:rsidRPr="00040676">
        <w:rPr>
          <w:color w:val="000000" w:themeColor="text1"/>
        </w:rPr>
        <w:t xml:space="preserve"> </w:t>
      </w:r>
      <w:r w:rsidR="0054247D">
        <w:rPr>
          <w:color w:val="000000" w:themeColor="text1"/>
        </w:rPr>
        <w:t>Isonomia,</w:t>
      </w:r>
      <w:r w:rsidRPr="00040676">
        <w:rPr>
          <w:color w:val="000000" w:themeColor="text1"/>
        </w:rPr>
        <w:t xml:space="preserve"> </w:t>
      </w:r>
      <w:r w:rsidR="0054247D">
        <w:rPr>
          <w:color w:val="000000" w:themeColor="text1"/>
        </w:rPr>
        <w:t>Redução das Desigualdades Regionais, Soberania Alimentar.</w:t>
      </w:r>
      <w:r w:rsidRPr="00040676">
        <w:rPr>
          <w:color w:val="000000" w:themeColor="text1"/>
        </w:rPr>
        <w:t xml:space="preserve"> </w:t>
      </w:r>
    </w:p>
    <w:p w14:paraId="0B61C852" w14:textId="77777777" w:rsidR="00DE016F" w:rsidRPr="00040676" w:rsidRDefault="00DE016F" w:rsidP="0083251D">
      <w:pPr>
        <w:spacing w:line="360" w:lineRule="auto"/>
        <w:ind w:right="283" w:firstLineChars="150" w:firstLine="360"/>
        <w:jc w:val="both"/>
        <w:rPr>
          <w:rFonts w:ascii="Trebuchet MS" w:eastAsia="Times New Roman" w:hAnsi="Trebuchet MS" w:cs="Times New Roman"/>
          <w:b/>
          <w:i/>
          <w:color w:val="000000" w:themeColor="text1"/>
        </w:rPr>
      </w:pPr>
    </w:p>
    <w:p w14:paraId="414EA2B8" w14:textId="77777777" w:rsidR="00DE016F" w:rsidRPr="00040676" w:rsidRDefault="00DE016F" w:rsidP="0083251D">
      <w:pPr>
        <w:spacing w:line="360" w:lineRule="auto"/>
        <w:jc w:val="both"/>
        <w:rPr>
          <w:rFonts w:ascii="Trebuchet MS" w:eastAsia="Times New Roman" w:hAnsi="Trebuchet MS" w:cs="Times New Roman"/>
          <w:b/>
          <w:color w:val="000000" w:themeColor="text1"/>
        </w:rPr>
      </w:pPr>
    </w:p>
    <w:p w14:paraId="00C537C7" w14:textId="665E5CC0" w:rsidR="00DE016F" w:rsidRPr="00040676" w:rsidRDefault="007867A9" w:rsidP="0083251D">
      <w:pPr>
        <w:spacing w:line="360" w:lineRule="auto"/>
        <w:jc w:val="both"/>
        <w:rPr>
          <w:rFonts w:ascii="Trebuchet MS" w:eastAsia="Times New Roman" w:hAnsi="Trebuchet MS" w:cs="Times New Roman"/>
          <w:b/>
          <w:color w:val="000000" w:themeColor="text1"/>
        </w:rPr>
      </w:pPr>
      <w:r w:rsidRPr="00040676">
        <w:rPr>
          <w:rFonts w:ascii="Trebuchet MS" w:eastAsia="Times New Roman" w:hAnsi="Trebuchet MS" w:cs="Times New Roman"/>
          <w:b/>
          <w:color w:val="000000" w:themeColor="text1"/>
        </w:rPr>
        <w:t>INTRODUÇÃO</w:t>
      </w:r>
    </w:p>
    <w:p w14:paraId="28F972FC" w14:textId="77777777" w:rsidR="00DE016F" w:rsidRPr="00040676" w:rsidRDefault="00DE016F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A formação agrária brasileira se dá a partir de um processo de desenvolvimento econômico intrinsecamente vinculado à exploração territorial, cujos reflexos sociopolíticos e jurídicos conformam uma estrutura fundiária marcada por desigualdades e conflitos históricos. Suas raízes remontam ao período colonial, no qual se estabeleceu a hegemonia de uma elite rural na organização econômica, social e no exercício do poder estatal. Essa herança perpetuou um modelo concentrador de terras, gerando exclusão e marginalização de pequenos produtores e comunidades tradicionais, cujos efeitos persistem até os dias atuais.</w:t>
      </w:r>
    </w:p>
    <w:p w14:paraId="04BCEF0A" w14:textId="77777777" w:rsidR="00DE016F" w:rsidRPr="00040676" w:rsidRDefault="00DE016F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Essa dinâmica desigual reflete-se também no cenário de produção agroalimentar brasileiro, caracterizado por uma clivagem estrutural: de um lado, as pequenas propriedades, responsáveis por alimentos majoritariamente consumidos no país e reguladas pelo regime de agricultura familiar (Lei nº 11.326/2006, art. 4º); de outro, o agronegócio, marcado pela concentração de terras em grandes propriedades, organização tipicamente empresarial, produção de commodities para exportação e integração ao mercado global. Essa dualidade não apenas acentua as disparidades históricas, mas também gera tensões constantes entre os atores envolvidos, influenciando diretamente as políticas públicas voltadas ao setor.</w:t>
      </w:r>
    </w:p>
    <w:p w14:paraId="5F2B082B" w14:textId="77777777" w:rsidR="00DE016F" w:rsidRPr="00040676" w:rsidRDefault="00DE016F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Diante dessa realidade, a redução das desigualdades agrárias exige a implementação de políticas públicas que conciliem eficiência econômica e justiça social, garantindo um desenvolvimento sustentável e inclusivo. Nesse sentido, os instrumentos estatais mais proeminentes de promoção da produção agroalimentar são as políticas de crédito rural e seguro, evidenciadas nos Planos Agrícola e Pecuário (PAP) e o Planos Safra da Agricultura Familiar (PSAF), mostram-se ferramentas essenciais para equilibrar as assimetrias históricas do campo.</w:t>
      </w:r>
    </w:p>
    <w:p w14:paraId="459364D0" w14:textId="77777777" w:rsidR="00DE016F" w:rsidRPr="00040676" w:rsidRDefault="00DE016F" w:rsidP="0083251D">
      <w:pPr>
        <w:spacing w:line="360" w:lineRule="auto"/>
        <w:ind w:firstLine="720"/>
        <w:jc w:val="both"/>
        <w:rPr>
          <w:rFonts w:ascii="Trebuchet MS" w:hAnsi="Trebuchet MS" w:cs="Times New Roman"/>
          <w:color w:val="000000" w:themeColor="text1"/>
        </w:rPr>
      </w:pPr>
      <w:r w:rsidRPr="00040676">
        <w:rPr>
          <w:rFonts w:ascii="Trebuchet MS" w:hAnsi="Trebuchet MS" w:cs="Times New Roman"/>
          <w:color w:val="000000" w:themeColor="text1"/>
        </w:rPr>
        <w:t xml:space="preserve">No cenário atual, o Plano de Desenvolvimento da Agricultura Familiar (PSAF) para os anos de 2024/2025 prevê um investimento de R$ 76 bilhões, com o objetivo de estimular a produção sustentável de alimentos de alta qualidade. Em contrapartida, o Plano Safra destina um montante significativamente superior, de R$ 400,59 bilhões, voltado à agricultura empresarial, refletindo uma estratégia que </w:t>
      </w:r>
      <w:r w:rsidRPr="00040676">
        <w:rPr>
          <w:rFonts w:ascii="Trebuchet MS" w:hAnsi="Trebuchet MS" w:cs="Times New Roman"/>
          <w:color w:val="000000" w:themeColor="text1"/>
        </w:rPr>
        <w:lastRenderedPageBreak/>
        <w:t xml:space="preserve">busca equilibrar o apoio às diferentes vertentes do setor agrícola (MAPA, 2025). Ao analisar esses dados, observa-se que o valor destinado à agricultura empresarial é mais de cinco vezes maior do que aquele reservado à agricultura familiar. Essa disparidade evidencia um padrão estrutural que privilegia o agronegócio em detrimento da agricultura familiar, mesmo esta última sendo responsável por uma parcela expressiva da produção de alimentos no país e desempenhando papel fundamental na garantia da segurança alimentar e no desenvolvimento territorial sustentável. </w:t>
      </w:r>
    </w:p>
    <w:p w14:paraId="128D7D43" w14:textId="7C784C69" w:rsidR="00DE016F" w:rsidRPr="00040676" w:rsidRDefault="00DE016F" w:rsidP="0083251D">
      <w:pPr>
        <w:spacing w:line="360" w:lineRule="auto"/>
        <w:ind w:firstLine="720"/>
        <w:jc w:val="both"/>
        <w:rPr>
          <w:rFonts w:ascii="Trebuchet MS" w:hAnsi="Trebuchet MS" w:cs="Times New Roman"/>
          <w:color w:val="000000" w:themeColor="text1"/>
        </w:rPr>
      </w:pPr>
      <w:r w:rsidRPr="00040676">
        <w:rPr>
          <w:rFonts w:ascii="Trebuchet MS" w:hAnsi="Trebuchet MS" w:cs="Times New Roman"/>
          <w:color w:val="000000" w:themeColor="text1"/>
        </w:rPr>
        <w:t xml:space="preserve">Diante desse cenário, surge uma questão fundamental: em que medida a desigualdade estrutural no tratamento jurídico, orçamentário e político entre o agronegócio e à agricultura familiar, no âmbito das políticas governamentais, implica violação concomitante aos princípios constitucionais da isonomia (art. 5º, CF/88), da redução das desigualdades regionais e sociais (art. 3º, III, CF/88), bem como à soberania alimentar, reconhecido de forma implícita nos </w:t>
      </w:r>
      <w:r w:rsidR="00BF5C0D" w:rsidRPr="00040676">
        <w:rPr>
          <w:rFonts w:ascii="Trebuchet MS" w:hAnsi="Trebuchet MS" w:cs="Times New Roman"/>
          <w:color w:val="000000" w:themeColor="text1"/>
        </w:rPr>
        <w:t xml:space="preserve">arts. 1º, III; 3º, II; 170, VI </w:t>
      </w:r>
      <w:r w:rsidRPr="00040676">
        <w:rPr>
          <w:rFonts w:ascii="Trebuchet MS" w:hAnsi="Trebuchet MS" w:cs="Times New Roman"/>
          <w:color w:val="000000" w:themeColor="text1"/>
        </w:rPr>
        <w:t>da Constituição Federal de 1988?</w:t>
      </w:r>
    </w:p>
    <w:p w14:paraId="590B34C0" w14:textId="59D7323B" w:rsidR="00DE016F" w:rsidRPr="00040676" w:rsidRDefault="007867A9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Este trabalho busca</w:t>
      </w:r>
      <w:r w:rsidR="00DE016F" w:rsidRPr="00040676">
        <w:rPr>
          <w:rFonts w:ascii="Trebuchet MS" w:eastAsia="Times New Roman" w:hAnsi="Trebuchet MS" w:cs="Times New Roman"/>
          <w:color w:val="000000" w:themeColor="text1"/>
        </w:rPr>
        <w:t xml:space="preserve"> analisar criticamente as políticas de crédito rural no Brasil, com foco na disparidade de tratamento entre os setores do agronegócio e da agricultura familiar, avaliando seus impactos na perpetuação das desigualdades agrárias e na efetivação dos princípios constitucionais. No apoio a essa discussão, elaborou-se uma análise das</w:t>
      </w:r>
      <w:r w:rsidR="00DE016F" w:rsidRPr="00040676">
        <w:rPr>
          <w:rFonts w:ascii="Trebuchet MS" w:hAnsi="Trebuchet MS" w:cs="Times New Roman"/>
          <w:color w:val="000000" w:themeColor="text1"/>
        </w:rPr>
        <w:t xml:space="preserve"> desigualdades no acesso ao crédito rural entre os agricultores familiares e agricultores patronais no Brasil, com ênfase nas diferenças regionais, nos valores</w:t>
      </w:r>
      <w:r w:rsidR="00195085" w:rsidRPr="00040676">
        <w:rPr>
          <w:rFonts w:ascii="Trebuchet MS" w:hAnsi="Trebuchet MS" w:cs="Times New Roman"/>
          <w:color w:val="000000" w:themeColor="text1"/>
        </w:rPr>
        <w:t xml:space="preserve"> totais e</w:t>
      </w:r>
      <w:r w:rsidR="00DE016F" w:rsidRPr="00040676">
        <w:rPr>
          <w:rFonts w:ascii="Trebuchet MS" w:hAnsi="Trebuchet MS" w:cs="Times New Roman"/>
          <w:color w:val="000000" w:themeColor="text1"/>
        </w:rPr>
        <w:t xml:space="preserve"> médios dos contratos e na distribuição dos recursos por produtos financiados com vistas aos valores de venda.</w:t>
      </w:r>
    </w:p>
    <w:p w14:paraId="255643A3" w14:textId="77777777" w:rsidR="00DE016F" w:rsidRPr="00040676" w:rsidRDefault="00DE016F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</w:rPr>
      </w:pPr>
    </w:p>
    <w:p w14:paraId="7A8990F5" w14:textId="22CFC1C4" w:rsidR="00DE016F" w:rsidRPr="00040676" w:rsidRDefault="007867A9" w:rsidP="0083251D">
      <w:pPr>
        <w:spacing w:line="360" w:lineRule="auto"/>
        <w:jc w:val="both"/>
        <w:rPr>
          <w:b/>
          <w:color w:val="000000" w:themeColor="text1"/>
        </w:rPr>
      </w:pPr>
      <w:r w:rsidRPr="00040676">
        <w:rPr>
          <w:b/>
          <w:color w:val="000000" w:themeColor="text1"/>
        </w:rPr>
        <w:t>DESIGUALDADE NO CAMPO E CONTRADIÇÕES CONSTITUCIONAIS</w:t>
      </w:r>
    </w:p>
    <w:p w14:paraId="0A8AFD2B" w14:textId="77777777" w:rsidR="00DE016F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A conformação da política fundiária nacional tem suas raízes no período colonial, quando se estabeleceu um sistema concentracionário de propriedade territorial que privilegiou a elite agrária em detrimento dos pequenos produtores (FERNANDES; WELCH; GONÇALVES, 2014). Esse paradigma excludente, iniciado com as capitanias hereditárias e o regime de sesmarias (DINIZ, 2005), consolidou-se juridicamente com a Lei de Terras de 1850, que, ao instituir a aquisição onerosa </w:t>
      </w:r>
      <w:r w:rsidRPr="00040676">
        <w:rPr>
          <w:rFonts w:ascii="Trebuchet MS" w:eastAsia="Times New Roman" w:hAnsi="Trebuchet MS" w:cs="Times New Roman"/>
          <w:color w:val="000000" w:themeColor="text1"/>
        </w:rPr>
        <w:lastRenderedPageBreak/>
        <w:t>como único meio legítimo de acesso à propriedade rural (SOUZA, 2007), erigiu obstáculos estruturais à democratização fundiária, marginalizando populações vulneráveis e fomentando a formação de latifúndios.</w:t>
      </w:r>
    </w:p>
    <w:p w14:paraId="0AD5CACA" w14:textId="5C8E82A6" w:rsidR="00D15DC3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No século XX, especialmente durante o período de 1964 a 1985, o processo de modernização do espaço rural brasileiro aprofundou essas disparidades por meio da implementação da chamada Revolução Verde. Conforme demonstram Carvalho (2015) e Delgado (1985), esse modelo baseou-se na adoção de pacotes tecnológicos, produção em larga escala e concentração de linhas de crédito e benefícios fiscais, privilegiando sobremaneira o complexo agroindustrial. </w:t>
      </w:r>
      <w:r w:rsidR="00170C6C" w:rsidRPr="00040676">
        <w:rPr>
          <w:rFonts w:ascii="Trebuchet MS" w:eastAsia="Times New Roman" w:hAnsi="Trebuchet MS" w:cs="Times New Roman"/>
          <w:color w:val="000000" w:themeColor="text1"/>
        </w:rPr>
        <w:t>Segundo Santos et al. (2023),</w:t>
      </w:r>
      <w:r w:rsidR="00170C6C" w:rsidRPr="00040676">
        <w:rPr>
          <w:color w:val="000000" w:themeColor="text1"/>
        </w:rPr>
        <w:t xml:space="preserve"> o processo de modernização da agricultura deu origem a profundos desequilíbrios econômicos e sociais, uma vez que o avanço tecnológico no campo favoreceu majoritariamente os produtores mais capitalizados, capazes de investir em produção em larga escala em suas grandes propriedades.</w:t>
      </w:r>
    </w:p>
    <w:p w14:paraId="46D170AA" w14:textId="7D98735C" w:rsidR="00D15DC3" w:rsidRPr="00040676" w:rsidRDefault="00DE016F" w:rsidP="00195085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Nesse contexto, como analisado por Grisa e Schneider (2014), os instrumentos de financiamento rural converteram-se em mecanismos de reprodução das desigualdades estruturais, perpetuando a marginalização dos pequenos e médios produtores em benefício dos grandes proprietários.</w:t>
      </w:r>
      <w:r w:rsidR="00D15DC3" w:rsidRPr="00040676">
        <w:rPr>
          <w:rFonts w:ascii="Trebuchet MS" w:eastAsia="Times New Roman" w:hAnsi="Trebuchet MS" w:cs="Times New Roman"/>
          <w:color w:val="000000" w:themeColor="text1"/>
        </w:rPr>
        <w:t xml:space="preserve"> </w:t>
      </w:r>
      <w:r w:rsidR="00170C6C" w:rsidRPr="00040676">
        <w:rPr>
          <w:color w:val="000000" w:themeColor="text1"/>
        </w:rPr>
        <w:t>O Censo Agropecuário de 2017 revelou um Índice de Gini fundiário extremamente elevado, atingindo 0,864, o que evidencia uma expressiva concentração da propriedade da terra no Brasil. Essa desigualdade apresenta uma tendência de agravamento ao longo do tempo, considerando que o índice era de 0,857 em 1995 e subiu para 0,858 em 2006. Esses dados reforçam a percepção de uma histórica e persistente concentração fundiária no país, marcada por uma distribuição profundam</w:t>
      </w:r>
      <w:r w:rsidR="00195085" w:rsidRPr="00040676">
        <w:rPr>
          <w:color w:val="000000" w:themeColor="text1"/>
        </w:rPr>
        <w:t>ente desigual das terras rurais (Santos et al., 2009; Hoffmann, 2019).</w:t>
      </w:r>
    </w:p>
    <w:p w14:paraId="61AE5362" w14:textId="77777777" w:rsidR="00195085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A Constituição Federal de 1988 marcou uma mudança paradigmática ao estabelecer, como objetivos fundamentais da República Federativa do Brasil, a redução das desigualdades regionais e sociais (art. 3º, III) e a proteção dos direitos e garantias fundamentais (art. 5º). Assim, a Carta Magna não apenas reconheceu a importância da igualdade formal, mas também introduziu uma compreensão mais ampla e substantiva do princípio da isonomia. Segundo Canotilho (2003), a Constituição de 1988 consagrou uma dupla dimensão do princípio da igualdade: a </w:t>
      </w:r>
      <w:r w:rsidRPr="00040676">
        <w:rPr>
          <w:rFonts w:ascii="Trebuchet MS" w:eastAsia="Times New Roman" w:hAnsi="Trebuchet MS" w:cs="Times New Roman"/>
          <w:color w:val="000000" w:themeColor="text1"/>
        </w:rPr>
        <w:lastRenderedPageBreak/>
        <w:t xml:space="preserve">formal, que impede discriminações arbitrárias, e a material, que exige a implementação de medidas afirmativas voltadas a corrigir desigualdades estruturais e históricas. </w:t>
      </w:r>
    </w:p>
    <w:p w14:paraId="14D33A4C" w14:textId="38243FBF" w:rsidR="00284CE3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Nesse sentido, apesar das promessas constitucionais de promover a emancipação social e econômica dos agricultores familiares, na prática, observa-se uma persistente concentração de terras e uma política de acesso que privilegia grandes proprietários e corporações do agronegócio. </w:t>
      </w:r>
    </w:p>
    <w:p w14:paraId="6D9AE485" w14:textId="08B69C4A" w:rsidR="00DE016F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As políticas creditícias continuam a reproduzir assimetrias, privilegiando o agronegócio em detrimento da agricultura familiar. Embora programas institucionais como o Programa Nacional de Fortalecimento da Agricultura Familiar (Pronaf) e o PAA representem avanços no sentido da equidade material (MAPA, 2023; TEIXEIRA, 2013), sua implementação mostra-se insuficiente diante da magnitude do desafio constitucional. </w:t>
      </w:r>
    </w:p>
    <w:p w14:paraId="6A3DAC6A" w14:textId="2FAEF86C" w:rsidR="00DE016F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A partir dos anos 1990, o agronegócio consolidou-se como modelo hegemônico, alinhado às políticas de liberalização econômica (TEIXEIRA, 2013). </w:t>
      </w:r>
      <w:r w:rsidR="00284CE3" w:rsidRPr="00040676">
        <w:rPr>
          <w:rFonts w:ascii="Trebuchet MS" w:eastAsia="Times New Roman" w:hAnsi="Trebuchet MS" w:cs="Times New Roman"/>
          <w:color w:val="000000" w:themeColor="text1"/>
        </w:rPr>
        <w:t>Essa preponderância da agricultura empresarial é percebida</w:t>
      </w: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 a desigualdade no acesso ao crédito, conforme evidenciado pelo Censo Agropecuário (2017), que demonstra que, embora a agricultura familiar represente cerca de 77 % dos estabelecimentos rurais, ocupa apenas 23% da área agricultável, enquanto o agronegócio, com 23,2% das propriedades, detém 77% das terras (IBGE, 2017).</w:t>
      </w:r>
    </w:p>
    <w:p w14:paraId="2891A88A" w14:textId="63AD52DC" w:rsidR="00195085" w:rsidRPr="00040676" w:rsidRDefault="00195085" w:rsidP="00195085">
      <w:pPr>
        <w:spacing w:line="360" w:lineRule="auto"/>
        <w:ind w:firstLine="709"/>
        <w:jc w:val="both"/>
        <w:rPr>
          <w:color w:val="000000" w:themeColor="text1"/>
        </w:rPr>
      </w:pPr>
      <w:r w:rsidRPr="00040676">
        <w:rPr>
          <w:color w:val="000000" w:themeColor="text1"/>
        </w:rPr>
        <w:t xml:space="preserve">Segundo Graciano </w:t>
      </w:r>
      <w:r w:rsidRPr="00040676">
        <w:rPr>
          <w:i/>
          <w:color w:val="000000" w:themeColor="text1"/>
        </w:rPr>
        <w:t>et al.</w:t>
      </w:r>
      <w:r w:rsidRPr="00040676">
        <w:rPr>
          <w:color w:val="000000" w:themeColor="text1"/>
        </w:rPr>
        <w:t xml:space="preserve"> (2023), A elite rural brasileira soube consolidar sua posição de poder no interior do Estado. Tal capacidade de articulação revela-se especialmente eficaz em um contexto no qual a democracia representativa apresenta limitações estruturais para incorporar os interesses das classes populares do campo. Nesse cenário, as decisões políticas tendem a refletir a ação organizada de grupos de interesse vinculados ao agronegócio, cuja influência é ampliada por um ordenamento jurídico-institucional permissivo e omisso quanto à regulação dos limites e das formas de atuação dos diversos sujeitos políticos. Assim, evidencia-se um processo de reprodução das desigualdades sociais e políticas, sustentado pela assimetria no acesso aos mecanismos de representação e influência </w:t>
      </w:r>
      <w:r w:rsidR="0007399C" w:rsidRPr="00040676">
        <w:rPr>
          <w:color w:val="000000" w:themeColor="text1"/>
        </w:rPr>
        <w:t>nas esferas estatais</w:t>
      </w:r>
      <w:r w:rsidRPr="00040676">
        <w:rPr>
          <w:color w:val="000000" w:themeColor="text1"/>
        </w:rPr>
        <w:t>.</w:t>
      </w:r>
    </w:p>
    <w:p w14:paraId="20F1AAAC" w14:textId="4ADD584F" w:rsidR="00DE016F" w:rsidRPr="00040676" w:rsidRDefault="0083251D" w:rsidP="00195085">
      <w:pPr>
        <w:spacing w:line="360" w:lineRule="auto"/>
        <w:ind w:firstLine="709"/>
        <w:jc w:val="both"/>
        <w:rPr>
          <w:rFonts w:ascii="Trebuchet MS" w:hAnsi="Trebuchet MS" w:cs="Times New Roman"/>
          <w:color w:val="000000" w:themeColor="text1"/>
          <w:shd w:val="clear" w:color="auto" w:fill="FFFFFF"/>
        </w:rPr>
      </w:pPr>
      <w:r w:rsidRPr="00040676">
        <w:rPr>
          <w:rFonts w:ascii="Trebuchet MS" w:hAnsi="Trebuchet MS" w:cs="Times New Roman"/>
          <w:color w:val="000000" w:themeColor="text1"/>
          <w:shd w:val="clear" w:color="auto" w:fill="FFFFFF"/>
        </w:rPr>
        <w:lastRenderedPageBreak/>
        <w:t>O</w:t>
      </w:r>
      <w:r w:rsidR="00DE016F"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 xml:space="preserve"> atual modelo brasileiro de acesso à terra, ao privilegiar estruturalmente o agronegócio exportador de commodities em detrimento da agricultura familiar e da produção alimentar diversificada revela uma dupla contradição: de um lado, intensifica a concentração fundiária e a insegurança alimentar; de outro, marginaliza sistemas produtivos locais - como a agroecologia e a agricultura camponesa - comprovadamente mais eficazes na garantia da soberania alimentar e na promoção da sustentabilidade socioambiental. (TÁRREGA; SOUZA FILHO, 2020). Essa distorção é agravada pela persistência de políticas públicas, como o Plano Safra, que alocam recursos desproporcionais ao setor exportador, reforçando a dependência de monoculturas e insumos externos, em claro descompasso com os imperativos constitucionais de reforma agrária e direito à alimentação. </w:t>
      </w:r>
    </w:p>
    <w:p w14:paraId="4FA0D8AA" w14:textId="77777777" w:rsidR="00DE016F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</w:p>
    <w:p w14:paraId="68A4C97F" w14:textId="00ED2487" w:rsidR="00DE016F" w:rsidRPr="00040676" w:rsidRDefault="00DE016F" w:rsidP="0083251D">
      <w:pPr>
        <w:spacing w:line="360" w:lineRule="auto"/>
        <w:jc w:val="both"/>
        <w:rPr>
          <w:rFonts w:ascii="Trebuchet MS" w:eastAsia="Times New Roman" w:hAnsi="Trebuchet MS" w:cs="Times New Roman"/>
          <w:b/>
          <w:color w:val="000000" w:themeColor="text1"/>
        </w:rPr>
      </w:pPr>
      <w:r w:rsidRPr="00040676">
        <w:rPr>
          <w:rFonts w:ascii="Trebuchet MS" w:eastAsia="Times New Roman" w:hAnsi="Trebuchet MS" w:cs="Times New Roman"/>
          <w:b/>
          <w:color w:val="000000" w:themeColor="text1"/>
        </w:rPr>
        <w:t>RESULTADOS</w:t>
      </w:r>
      <w:r w:rsidR="000A045E" w:rsidRPr="00040676">
        <w:rPr>
          <w:rFonts w:ascii="Trebuchet MS" w:eastAsia="Times New Roman" w:hAnsi="Trebuchet MS" w:cs="Times New Roman"/>
          <w:b/>
          <w:color w:val="000000" w:themeColor="text1"/>
        </w:rPr>
        <w:t xml:space="preserve"> E DISCUSSÕES</w:t>
      </w:r>
    </w:p>
    <w:p w14:paraId="7DFBC810" w14:textId="77777777" w:rsidR="00DE016F" w:rsidRPr="00040676" w:rsidRDefault="00DE016F" w:rsidP="0083251D">
      <w:pPr>
        <w:spacing w:line="360" w:lineRule="auto"/>
        <w:ind w:firstLineChars="295" w:firstLine="708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A Teoria Crítica do Direito, notadamente formulada por Luis Alberto Warat, representa uma abordagem inovadora e disruptiva no campo jurídico, contestando o formalismo e o tecnicismo dominantes. Sua obra propõe uma reavaliação epistemológica do direito, enfatizando a dimensão comunicacional, ideológica e cultural das práticas jurídicas. Nesse sentido, ao desnaturalizar os marcos jurídicos que regulam o crédito rural, questionando sua suposta neutralidade, tem-se que leis e normas como Leis Agrícolas e resoluções do Banco Central reproduzem assimetrias ao beneficiar determinados grupos de interesse que justificam a concentração de recursos no agronegócio, mascarando desigualdades sob argumentos de "eficiência econômica".</w:t>
      </w:r>
    </w:p>
    <w:p w14:paraId="3F36F7E9" w14:textId="6BD327F6" w:rsidR="00DE016F" w:rsidRPr="00040676" w:rsidRDefault="00DE016F" w:rsidP="0083251D">
      <w:pPr>
        <w:spacing w:line="360" w:lineRule="auto"/>
        <w:ind w:firstLineChars="295" w:firstLine="708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 A seguir, são apresentadas de forma sintética as contradições principiológicas reveladas por resultados empíricos dos Planos Safra — especialmente os Planos Agrícola e Pecuário (PAP) e os Planos Safra da Agricultura Familiar (PSAF) a partir de recortes </w:t>
      </w:r>
      <w:r w:rsidR="00C85025" w:rsidRPr="00040676">
        <w:rPr>
          <w:rFonts w:ascii="Trebuchet MS" w:eastAsia="Times New Roman" w:hAnsi="Trebuchet MS" w:cs="Times New Roman"/>
          <w:color w:val="000000" w:themeColor="text1"/>
        </w:rPr>
        <w:t>analíticos que vão de 2013/2014 a 2024/2025</w:t>
      </w: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. </w:t>
      </w:r>
      <w:r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 xml:space="preserve">O estudo </w:t>
      </w:r>
      <w:r w:rsidR="00C85025"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 xml:space="preserve">aborda </w:t>
      </w:r>
      <w:r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>disparidades significativas no acesso ao crédito rural entre agricultores familiares e patronais, considera</w:t>
      </w:r>
      <w:r w:rsidR="00C85025"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 xml:space="preserve">ndo </w:t>
      </w:r>
      <w:r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>valores</w:t>
      </w:r>
      <w:r w:rsidR="00C85025"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 xml:space="preserve"> totais de financiamento, número de contratos e valores</w:t>
      </w:r>
      <w:r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 xml:space="preserve"> médios e alocação de recursos por</w:t>
      </w:r>
      <w:r w:rsidR="00C85025" w:rsidRPr="00040676">
        <w:rPr>
          <w:rFonts w:ascii="Trebuchet MS" w:hAnsi="Trebuchet MS" w:cs="Times New Roman"/>
          <w:color w:val="000000" w:themeColor="text1"/>
          <w:shd w:val="clear" w:color="auto" w:fill="FFFFFF"/>
        </w:rPr>
        <w:t xml:space="preserve"> região e produtos financiados. </w:t>
      </w:r>
    </w:p>
    <w:p w14:paraId="3AD18747" w14:textId="20ACFF5B" w:rsidR="00DE016F" w:rsidRPr="00040676" w:rsidRDefault="00DE016F" w:rsidP="00D15DC3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lastRenderedPageBreak/>
        <w:t xml:space="preserve">De acordo com Castro e Vieira Filho (2023), a partir da análise de dados </w:t>
      </w:r>
      <w:r w:rsidR="00D15DC3" w:rsidRPr="00040676">
        <w:rPr>
          <w:rFonts w:ascii="Trebuchet MS" w:hAnsi="Trebuchet MS"/>
          <w:color w:val="000000" w:themeColor="text1"/>
        </w:rPr>
        <w:t>da</w:t>
      </w:r>
      <w:r w:rsidRPr="00040676">
        <w:rPr>
          <w:rFonts w:ascii="Trebuchet MS" w:hAnsi="Trebuchet MS"/>
          <w:color w:val="000000" w:themeColor="text1"/>
        </w:rPr>
        <w:t xml:space="preserve"> participação do crédito destinado ao Pronaf em relação ao total do crédito rural concedido no país manteve-se relativamente estável no período estudado, variando entre </w:t>
      </w:r>
      <w:r w:rsidRPr="00040676">
        <w:rPr>
          <w:rStyle w:val="Forte"/>
          <w:rFonts w:ascii="Trebuchet MS" w:hAnsi="Trebuchet MS"/>
          <w:b w:val="0"/>
          <w:color w:val="000000" w:themeColor="text1"/>
        </w:rPr>
        <w:t>13,5% (2017) e 15,11% (2020)</w:t>
      </w:r>
      <w:r w:rsidRPr="00040676">
        <w:rPr>
          <w:rFonts w:ascii="Trebuchet MS" w:hAnsi="Trebuchet MS"/>
          <w:color w:val="000000" w:themeColor="text1"/>
        </w:rPr>
        <w:t xml:space="preserve"> conforme a Tabela 1. </w:t>
      </w:r>
    </w:p>
    <w:p w14:paraId="133F7C46" w14:textId="77777777" w:rsidR="00DE016F" w:rsidRPr="00040676" w:rsidRDefault="00DE016F" w:rsidP="0083251D">
      <w:pPr>
        <w:spacing w:line="360" w:lineRule="auto"/>
        <w:ind w:firstLineChars="295" w:firstLine="708"/>
        <w:jc w:val="both"/>
        <w:rPr>
          <w:rFonts w:ascii="Trebuchet MS" w:eastAsia="Times New Roman" w:hAnsi="Trebuchet MS" w:cs="Times New Roman"/>
          <w:color w:val="000000" w:themeColor="text1"/>
        </w:rPr>
      </w:pPr>
    </w:p>
    <w:p w14:paraId="62122E1C" w14:textId="31C6A681" w:rsidR="00DE016F" w:rsidRPr="00040676" w:rsidRDefault="00DE016F" w:rsidP="00716AF0">
      <w:pPr>
        <w:spacing w:line="360" w:lineRule="auto"/>
        <w:jc w:val="center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hAnsi="Trebuchet MS" w:cs="Times New Roman"/>
          <w:b/>
          <w:color w:val="000000" w:themeColor="text1"/>
        </w:rPr>
        <w:t>Tabela 1 -  Valor total nominal e real de crédito rural contratado mediante Pronaf, outros programas e total (2013-2021)</w:t>
      </w:r>
    </w:p>
    <w:p w14:paraId="6E7FC54E" w14:textId="628C35CF" w:rsidR="00DE016F" w:rsidRPr="00040676" w:rsidRDefault="00DE016F" w:rsidP="0083251D">
      <w:pPr>
        <w:spacing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noProof/>
          <w:color w:val="000000" w:themeColor="text1"/>
          <w:lang w:eastAsia="pt-BR"/>
        </w:rPr>
        <w:drawing>
          <wp:inline distT="0" distB="0" distL="0" distR="0" wp14:anchorId="33B85F8E" wp14:editId="2B86843F">
            <wp:extent cx="5394960" cy="24079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4B92" w14:textId="77777777" w:rsidR="00DE016F" w:rsidRPr="00040676" w:rsidRDefault="00DE016F" w:rsidP="0083251D">
      <w:pPr>
        <w:spacing w:line="360" w:lineRule="auto"/>
        <w:ind w:firstLine="709"/>
        <w:rPr>
          <w:rFonts w:ascii="Trebuchet MS" w:hAnsi="Trebuchet MS" w:cs="Times New Roman"/>
          <w:color w:val="000000" w:themeColor="text1"/>
          <w:sz w:val="20"/>
        </w:rPr>
      </w:pPr>
      <w:r w:rsidRPr="00040676">
        <w:rPr>
          <w:rFonts w:ascii="Trebuchet MS" w:hAnsi="Trebuchet MS" w:cs="Times New Roman"/>
          <w:color w:val="000000" w:themeColor="text1"/>
          <w:sz w:val="20"/>
        </w:rPr>
        <w:t>Fonte: Castro (2024), que utilizou dados do Banco Central do Brasil</w:t>
      </w:r>
    </w:p>
    <w:p w14:paraId="6BDAE652" w14:textId="77777777" w:rsidR="00DE016F" w:rsidRPr="00040676" w:rsidRDefault="00DE016F" w:rsidP="0083251D">
      <w:pPr>
        <w:spacing w:line="360" w:lineRule="auto"/>
        <w:jc w:val="both"/>
        <w:rPr>
          <w:rFonts w:ascii="Trebuchet MS" w:hAnsi="Trebuchet MS" w:cs="Times New Roman"/>
          <w:color w:val="000000" w:themeColor="text1"/>
        </w:rPr>
      </w:pPr>
    </w:p>
    <w:p w14:paraId="1607935F" w14:textId="40C8C7E4" w:rsidR="00892A94" w:rsidRPr="00040676" w:rsidRDefault="00892A94" w:rsidP="0083251D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>Os Planos Safra 2023/2024 e 2024/2025 revelam a persistente desigualdade no acesso ao crédito rural no Brasil, com evidente favorecimento ao agronegócio. Segundo o MAPA (2025), em 2023/2024, dos R$ 364,2 bilhões previstos, aproximadamente 93% (R$ 341,1 bilhões) foram destinados à agricultura empresarial, enquanto a agricultura familiar recebeu apenas R$ 59,6 bilhões. No ano seguinte, o valor destinado ao agronegócio subiu para R$ 400,59 bilhões, com um acréscimo de R$ 108 bilhões em recursos privados, totalizando R$ 508,59 bilhões. Em contraste, a agricultura familiar, embora com R$ 76 bilhões, recebeu menos de 15% do montante total, evidenciando a desigualdade estrutural.</w:t>
      </w:r>
    </w:p>
    <w:p w14:paraId="2853FFF2" w14:textId="11FC459F" w:rsidR="00DE016F" w:rsidRPr="00040676" w:rsidRDefault="00DE016F" w:rsidP="0083251D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Os dados da desproporcionalidade distributiva do crédito rural ainda são mais significativos comparados os valores médios dos contratos, ainda, segundo Castro (2024), os financiamentos do Pronaf, mesmo corrigidos monetariamente variam </w:t>
      </w:r>
      <w:r w:rsidRPr="00040676">
        <w:rPr>
          <w:rFonts w:ascii="Trebuchet MS" w:hAnsi="Trebuchet MS"/>
          <w:color w:val="000000" w:themeColor="text1"/>
        </w:rPr>
        <w:lastRenderedPageBreak/>
        <w:t>entre R$ 34.410 (2013) e R$ 44.594 (2022), a título de exemplo, esses valores representaram apenas </w:t>
      </w:r>
      <w:r w:rsidRPr="00040676">
        <w:rPr>
          <w:rStyle w:val="Forte"/>
          <w:rFonts w:ascii="Trebuchet MS" w:hAnsi="Trebuchet MS"/>
          <w:b w:val="0"/>
          <w:color w:val="000000" w:themeColor="text1"/>
        </w:rPr>
        <w:t>5,69% do valor médio das demais modalidades (patronais) em 2017</w:t>
      </w:r>
      <w:r w:rsidRPr="00040676">
        <w:rPr>
          <w:rFonts w:ascii="Trebuchet MS" w:hAnsi="Trebuchet MS"/>
          <w:color w:val="000000" w:themeColor="text1"/>
        </w:rPr>
        <w:t>, atingindo no máximo </w:t>
      </w:r>
      <w:r w:rsidRPr="00040676">
        <w:rPr>
          <w:rStyle w:val="Forte"/>
          <w:rFonts w:ascii="Trebuchet MS" w:hAnsi="Trebuchet MS"/>
          <w:b w:val="0"/>
          <w:color w:val="000000" w:themeColor="text1"/>
        </w:rPr>
        <w:t>7,44% em 2014 dos valores médios financiados que variaram entre R$ 206.032 (2013) e R$ 281.007 (2022) para  médios e grandes produtores</w:t>
      </w:r>
      <w:r w:rsidRPr="00040676">
        <w:rPr>
          <w:rFonts w:ascii="Trebuchet MS" w:hAnsi="Trebuchet MS"/>
          <w:color w:val="000000" w:themeColor="text1"/>
        </w:rPr>
        <w:t xml:space="preserve">. </w:t>
      </w:r>
    </w:p>
    <w:p w14:paraId="7A176CA0" w14:textId="0BC45C41" w:rsidR="00BB0244" w:rsidRDefault="00892A94" w:rsidP="00892A94">
      <w:pPr>
        <w:pStyle w:val="ds-markdown-paragraph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>Apesar da desigualdade estrutural, o Pronaf se destaca pela maior capacidade de alcance, atendendo a um número expressivo de beneficiários. Em 2022, registrou 1,4 milhão de contratos, representando 73% do total de contratos de crédito rural, mas com apenas 14% do volume financeiro total. Essa assimetria revela uma grande disparidade no sistema de financiamento agrícola, especialmente em comparação com os valores destinados ao agronegócio. A agricultura familiar, majoritária no Pronaf, ocupa 23% da área cultivada e responde por 23% da produção agrícola, conforme dados do IBGE (2017).</w:t>
      </w:r>
    </w:p>
    <w:p w14:paraId="0713D873" w14:textId="77777777" w:rsidR="00BB0244" w:rsidRPr="00040676" w:rsidRDefault="00BB0244" w:rsidP="00892A94">
      <w:pPr>
        <w:pStyle w:val="ds-markdown-paragraph"/>
        <w:spacing w:before="0" w:beforeAutospacing="0" w:after="0" w:afterAutospacing="0" w:line="360" w:lineRule="auto"/>
        <w:ind w:firstLine="708"/>
        <w:jc w:val="both"/>
        <w:rPr>
          <w:rFonts w:ascii="Trebuchet MS" w:hAnsi="Trebuchet MS"/>
          <w:color w:val="000000" w:themeColor="text1"/>
        </w:rPr>
      </w:pPr>
    </w:p>
    <w:p w14:paraId="473AAAE6" w14:textId="4198A8C9" w:rsidR="00DE016F" w:rsidRPr="00040676" w:rsidRDefault="00DE016F" w:rsidP="00892A94">
      <w:pPr>
        <w:pStyle w:val="ds-markdown-paragraph"/>
        <w:spacing w:before="0" w:beforeAutospacing="0" w:after="0" w:afterAutospacing="0" w:line="360" w:lineRule="auto"/>
        <w:jc w:val="center"/>
        <w:rPr>
          <w:rFonts w:ascii="Trebuchet MS" w:hAnsi="Trebuchet MS"/>
          <w:b/>
          <w:color w:val="000000" w:themeColor="text1"/>
        </w:rPr>
      </w:pPr>
      <w:r w:rsidRPr="00040676">
        <w:rPr>
          <w:rFonts w:ascii="Trebuchet MS" w:hAnsi="Trebuchet MS"/>
          <w:b/>
          <w:color w:val="000000" w:themeColor="text1"/>
        </w:rPr>
        <w:t xml:space="preserve">Quadro 1 – </w:t>
      </w:r>
      <w:r w:rsidR="00892A94" w:rsidRPr="00040676">
        <w:rPr>
          <w:rFonts w:ascii="Trebuchet MS" w:hAnsi="Trebuchet MS"/>
          <w:b/>
          <w:color w:val="000000" w:themeColor="text1"/>
        </w:rPr>
        <w:t>Valores totais -</w:t>
      </w:r>
      <w:r w:rsidRPr="00040676">
        <w:rPr>
          <w:rFonts w:ascii="Trebuchet MS" w:hAnsi="Trebuchet MS"/>
          <w:b/>
          <w:color w:val="000000" w:themeColor="text1"/>
        </w:rPr>
        <w:t xml:space="preserve"> crédito público não regional- Credito Rural e BNDES</w:t>
      </w:r>
    </w:p>
    <w:p w14:paraId="30BB03A9" w14:textId="560A9136" w:rsidR="00DE016F" w:rsidRPr="00040676" w:rsidRDefault="00DE016F" w:rsidP="00892A94">
      <w:pPr>
        <w:pStyle w:val="ds-markdown-paragraph"/>
        <w:spacing w:before="0" w:beforeAutospacing="0" w:after="0" w:afterAutospacing="0" w:line="360" w:lineRule="auto"/>
        <w:jc w:val="center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noProof/>
          <w:color w:val="000000" w:themeColor="text1"/>
        </w:rPr>
        <w:drawing>
          <wp:inline distT="0" distB="0" distL="0" distR="0" wp14:anchorId="20FB8A88" wp14:editId="2FB1BD7F">
            <wp:extent cx="4754880" cy="3418409"/>
            <wp:effectExtent l="19050" t="19050" r="26670" b="1079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15" cy="343604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A07B23" w14:textId="77777777" w:rsidR="00DE016F" w:rsidRPr="00040676" w:rsidRDefault="00DE016F" w:rsidP="00696E2D">
      <w:pPr>
        <w:spacing w:line="360" w:lineRule="auto"/>
        <w:jc w:val="center"/>
        <w:rPr>
          <w:rFonts w:ascii="Trebuchet MS" w:hAnsi="Trebuchet MS" w:cs="Times New Roman"/>
          <w:color w:val="000000" w:themeColor="text1"/>
          <w:sz w:val="20"/>
        </w:rPr>
      </w:pPr>
      <w:r w:rsidRPr="00040676">
        <w:rPr>
          <w:rFonts w:ascii="Trebuchet MS" w:hAnsi="Trebuchet MS" w:cs="Times New Roman"/>
          <w:color w:val="000000" w:themeColor="text1"/>
          <w:sz w:val="20"/>
        </w:rPr>
        <w:t>Fonte: Adaptado de MONTEIRO NETO (2024), que utilizou dados BNDES (2022) e BCB (2024).</w:t>
      </w:r>
    </w:p>
    <w:p w14:paraId="2DA6DF79" w14:textId="77777777" w:rsidR="00BB0244" w:rsidRDefault="00BB0244" w:rsidP="0083251D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rebuchet MS" w:hAnsi="Trebuchet MS"/>
          <w:color w:val="000000" w:themeColor="text1"/>
        </w:rPr>
      </w:pPr>
    </w:p>
    <w:p w14:paraId="74A0B9FD" w14:textId="30E71F41" w:rsidR="00DE016F" w:rsidRPr="00040676" w:rsidRDefault="00DE016F" w:rsidP="0083251D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lastRenderedPageBreak/>
        <w:t>Segundo Monteiro Neto (2024), a análise do Quadro 1, revela uma marcante concentração dos recursos de crédito rural e do BNDES nas regiões Sudeste, Sul e Centro-Oeste, que, entre 2010 e 2021, absorveram conjuntamente 83,6% do total alocado. Em contraste, as regiões Norte e Nordeste receberam apenas 16,4% desse montante. Destaca-se, em particular, o expressivo crescimento da participação do Centro-Oeste, cuja parcela passou de 16% no período de 2010 a 2014 para 23% nos anos seguintes, impulsionada sobretudo pelo financiamento à expansão das culturas de grãos voltadas à exportação, como soja, algodão e milho. Paralelamente, a região Sul também apresentou um avanço significativo, elevando sua participação de 24,7% em 2010 para 32,6% em 2021, o que reforça sua posição como uma das principais destinatárias do crédito rural no país.</w:t>
      </w:r>
    </w:p>
    <w:p w14:paraId="550C1BAA" w14:textId="77777777" w:rsidR="00DE016F" w:rsidRPr="00040676" w:rsidRDefault="00DE016F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 xml:space="preserve">Mesmo ao se tomar apenas sobre a distribuição dos recursos do Pronaf, o cenário de desigualdades regionais não muda de forma significativa. De acordo com </w:t>
      </w:r>
      <w:r w:rsidRPr="00040676">
        <w:rPr>
          <w:rStyle w:val="relative"/>
          <w:rFonts w:ascii="Trebuchet MS" w:hAnsi="Trebuchet MS" w:cs="Times New Roman"/>
          <w:color w:val="000000" w:themeColor="text1"/>
        </w:rPr>
        <w:t xml:space="preserve">Souza e Albuquerque (2023), </w:t>
      </w: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 xml:space="preserve">em 2022, a Região Sul concentrou 60% dos contratos de custeio e 66% do valor total, enquanto Norte e Nordeste receberam apenas 7% cada, e o Centro-Oeste, 6%. Nos contratos de investimento, observa-se nova distorção: a Região Nordeste concentrou 74% dos contratos, mas apenas 22% do valor total, indicando operações de baixo valor unitário; por outro lado, a Região Sul, com 9% dos contratos, respondeu por 45% do montante financeiro. </w:t>
      </w:r>
    </w:p>
    <w:p w14:paraId="4C8E333B" w14:textId="1F63550C" w:rsidR="00DE016F" w:rsidRDefault="00DE016F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>Essas disparidades comprometem a realização dos objetivos da política agrícola (art. 187, CF/88) e os princípio do próprio Pronaf como instrumento de desenvolvimento regional. O tratamento díspare na implementação de políticas públicas contraria nesse sentido os já citados princípios constitucionais da isonomia (art. 5º, CF/88) e da redução das desigualdades regionais (art. 3º, III, CF/88) e revelam uma outra face desse problema, propriamente ligada a um processo de conformação das cadeias produtivas do agronegócio em atendimento aos interesses de produção comercialização de commodities, financiadas em grande parte por recursos públicos do crédito rural.</w:t>
      </w:r>
    </w:p>
    <w:p w14:paraId="40C279B6" w14:textId="7FC41879" w:rsidR="00BB0244" w:rsidRDefault="00BB0244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</w:p>
    <w:p w14:paraId="20EBE69A" w14:textId="77777777" w:rsidR="00BB0244" w:rsidRPr="00040676" w:rsidRDefault="00BB0244" w:rsidP="0083251D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</w:p>
    <w:p w14:paraId="4F2F7FBB" w14:textId="77777777" w:rsidR="00DE016F" w:rsidRPr="00040676" w:rsidRDefault="00892A94" w:rsidP="00892A94">
      <w:pPr>
        <w:spacing w:line="360" w:lineRule="auto"/>
        <w:jc w:val="center"/>
        <w:rPr>
          <w:rFonts w:ascii="Trebuchet MS" w:eastAsia="Times New Roman" w:hAnsi="Trebuchet MS" w:cs="Times New Roman"/>
          <w:b/>
          <w:color w:val="000000" w:themeColor="text1"/>
          <w:lang w:eastAsia="pt-BR"/>
        </w:rPr>
      </w:pPr>
      <w:r w:rsidRPr="00040676">
        <w:rPr>
          <w:rFonts w:ascii="Trebuchet MS" w:hAnsi="Trebuchet MS" w:cs="Times New Roman"/>
          <w:b/>
          <w:color w:val="000000" w:themeColor="text1"/>
          <w:shd w:val="clear" w:color="auto" w:fill="FFFFFF"/>
        </w:rPr>
        <w:lastRenderedPageBreak/>
        <w:t>Figura 1</w:t>
      </w:r>
      <w:r w:rsidR="00DE016F" w:rsidRPr="00040676">
        <w:rPr>
          <w:rFonts w:ascii="Trebuchet MS" w:hAnsi="Trebuchet MS" w:cs="Times New Roman"/>
          <w:b/>
          <w:color w:val="000000" w:themeColor="text1"/>
          <w:shd w:val="clear" w:color="auto" w:fill="FFFFFF"/>
        </w:rPr>
        <w:t xml:space="preserve"> - Valor de Venda Financiado por Produto da agricultura empresarial - 2016</w:t>
      </w:r>
    </w:p>
    <w:p w14:paraId="44065DF4" w14:textId="5CD0BA5F" w:rsidR="00DE016F" w:rsidRPr="00040676" w:rsidRDefault="00DE016F" w:rsidP="0083251D">
      <w:pPr>
        <w:spacing w:line="360" w:lineRule="auto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noProof/>
          <w:color w:val="000000" w:themeColor="text1"/>
          <w:lang w:eastAsia="pt-BR"/>
        </w:rPr>
        <w:drawing>
          <wp:inline distT="0" distB="0" distL="0" distR="0" wp14:anchorId="6CFE505B" wp14:editId="56629F37">
            <wp:extent cx="5006340" cy="3211195"/>
            <wp:effectExtent l="0" t="0" r="381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68" cy="32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3B59" w14:textId="1E4EB70C" w:rsidR="00DE016F" w:rsidRPr="00040676" w:rsidRDefault="00DE016F" w:rsidP="0083251D">
      <w:pPr>
        <w:spacing w:line="360" w:lineRule="auto"/>
        <w:rPr>
          <w:rStyle w:val="nfase"/>
          <w:rFonts w:ascii="Trebuchet MS" w:hAnsi="Trebuchet MS" w:cs="Times New Roman"/>
          <w:color w:val="000000" w:themeColor="text1"/>
          <w:sz w:val="20"/>
          <w:shd w:val="clear" w:color="auto" w:fill="FFFFFF"/>
        </w:rPr>
      </w:pPr>
      <w:r w:rsidRPr="00040676">
        <w:rPr>
          <w:rStyle w:val="Forte"/>
          <w:rFonts w:ascii="Trebuchet MS" w:hAnsi="Trebuchet MS" w:cs="Times New Roman"/>
          <w:i/>
          <w:iCs/>
          <w:color w:val="000000" w:themeColor="text1"/>
          <w:sz w:val="20"/>
          <w:shd w:val="clear" w:color="auto" w:fill="FFFFFF"/>
        </w:rPr>
        <w:t>Fonte:</w:t>
      </w:r>
      <w:r w:rsidRPr="00040676">
        <w:rPr>
          <w:rStyle w:val="nfase"/>
          <w:rFonts w:ascii="Trebuchet MS" w:hAnsi="Trebuchet MS" w:cs="Times New Roman"/>
          <w:color w:val="000000" w:themeColor="text1"/>
          <w:sz w:val="20"/>
          <w:shd w:val="clear" w:color="auto" w:fill="FFFFFF"/>
        </w:rPr>
        <w:t> </w:t>
      </w:r>
      <w:r w:rsidR="00892A94" w:rsidRPr="00040676">
        <w:rPr>
          <w:rFonts w:ascii="Trebuchet MS" w:hAnsi="Trebuchet MS" w:cs="Times New Roman"/>
          <w:color w:val="000000" w:themeColor="text1"/>
          <w:sz w:val="20"/>
        </w:rPr>
        <w:t>Adaptado</w:t>
      </w:r>
      <w:r w:rsidRPr="00040676">
        <w:rPr>
          <w:rFonts w:ascii="Trebuchet MS" w:hAnsi="Trebuchet MS" w:cs="Times New Roman"/>
          <w:color w:val="000000" w:themeColor="text1"/>
          <w:sz w:val="20"/>
        </w:rPr>
        <w:t xml:space="preserve"> de </w:t>
      </w:r>
      <w:r w:rsidRPr="00040676">
        <w:rPr>
          <w:rStyle w:val="relative"/>
          <w:rFonts w:ascii="Trebuchet MS" w:hAnsi="Trebuchet MS" w:cs="Times New Roman"/>
          <w:color w:val="000000" w:themeColor="text1"/>
          <w:sz w:val="20"/>
        </w:rPr>
        <w:t xml:space="preserve">Souza e Albuquerque (2023), cuja elaboração se deu a partir dos trabalhos da </w:t>
      </w:r>
      <w:r w:rsidRPr="00040676">
        <w:rPr>
          <w:rStyle w:val="nfase"/>
          <w:rFonts w:ascii="Trebuchet MS" w:hAnsi="Trebuchet MS" w:cs="Times New Roman"/>
          <w:color w:val="000000" w:themeColor="text1"/>
          <w:sz w:val="20"/>
          <w:shd w:val="clear" w:color="auto" w:fill="FFFFFF"/>
        </w:rPr>
        <w:t>CPI/PUC-Rio com base nos dados do Sicor/BCB (2016) e do Censo Agropecuário 2017 (IBGE), 2023</w:t>
      </w:r>
    </w:p>
    <w:p w14:paraId="51A499C7" w14:textId="77777777" w:rsidR="00DE016F" w:rsidRPr="00040676" w:rsidRDefault="00DE016F" w:rsidP="0083251D">
      <w:pPr>
        <w:spacing w:line="360" w:lineRule="auto"/>
        <w:jc w:val="both"/>
        <w:rPr>
          <w:rFonts w:ascii="Trebuchet MS" w:eastAsia="Times New Roman" w:hAnsi="Trebuchet MS" w:cs="Times New Roman"/>
          <w:color w:val="000000" w:themeColor="text1"/>
        </w:rPr>
      </w:pPr>
    </w:p>
    <w:p w14:paraId="139F3A4C" w14:textId="54DD5367" w:rsidR="00DE016F" w:rsidRPr="00040676" w:rsidRDefault="00DE016F" w:rsidP="00892A94">
      <w:pPr>
        <w:spacing w:line="360" w:lineRule="auto"/>
        <w:ind w:firstLine="851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>Considerando os dados do último Censo Agropecuário, ainda referente a 2016 e publicado em 2017, já se observava naquele período um processo de concentração do crédito rural voltado ao financiamento de culturas tipicamente associadas ao agronegócio, em detrimento da agricultura familiar.</w:t>
      </w:r>
      <w:r w:rsidR="00BB0244">
        <w:rPr>
          <w:rFonts w:ascii="Trebuchet MS" w:eastAsia="Times New Roman" w:hAnsi="Trebuchet MS" w:cs="Times New Roman"/>
          <w:color w:val="000000" w:themeColor="text1"/>
          <w:lang w:eastAsia="pt-BR"/>
        </w:rPr>
        <w:t xml:space="preserve"> </w:t>
      </w: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>Segundo Souza e Albuquerque (2023), a título de exemplo, a soja apresentou, na agricultura empresarial, um valor de venda de R$ 120,0 bilhões, dos quais 14% foram financiados por crédito rural de custeio. Em seguida, destacam-se a cana-de-açúcar, com R$ 51,6 bilhões e 10% de financiamento; o milho, com R$ 31,4 bilhões; e o café, com R$ 11,33 bilhões, sendo financiados em 28% e 40%, respectivamente.</w:t>
      </w:r>
    </w:p>
    <w:p w14:paraId="5E8C28DC" w14:textId="77777777" w:rsidR="00DE016F" w:rsidRPr="00040676" w:rsidRDefault="00DE016F" w:rsidP="00892A94">
      <w:pPr>
        <w:spacing w:line="360" w:lineRule="auto"/>
        <w:ind w:firstLine="851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 xml:space="preserve">Apenas no caso da soja, o montante financiado foi doze vezes maior que o destinado à agricultura familiar (R$ 9,4 bilhões). No caso do café, o total financiado à agricultura familiar foi de 14% sobre um montante de R$ 5,28 bilhões. Outros produtos característicos da agricultura familiar, embora com relevância produtiva, </w:t>
      </w: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lastRenderedPageBreak/>
        <w:t>apresentam baixos níveis de financiamento. Destaca-se, por exemplo, a mandioca, com um valor de venda de R$ 1,82 bilhão, dos quais apenas 6% foram financiados.</w:t>
      </w:r>
    </w:p>
    <w:p w14:paraId="4208630D" w14:textId="079C0690" w:rsidR="00DE016F" w:rsidRDefault="00DE016F" w:rsidP="00892A94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 xml:space="preserve">A destinação seletiva de recursos públicos, que demonstra nítida preferência por culturas voltadas à exportação, com destaque para soja e milho, em detrimento dos sistemas produtivos diversificados da agricultura familiar, responsável por boa parte dos alimentos consumidos no Brasil. Tal orientação se revela incompatível com os princípios de soberania alimentar </w:t>
      </w:r>
      <w:r w:rsidRPr="00040676">
        <w:rPr>
          <w:rFonts w:ascii="Trebuchet MS" w:hAnsi="Trebuchet MS" w:cs="Times New Roman"/>
          <w:color w:val="000000" w:themeColor="text1"/>
        </w:rPr>
        <w:t xml:space="preserve">reconhecido de forma implícita nos </w:t>
      </w:r>
      <w:r w:rsidR="00BF5C0D" w:rsidRPr="00040676">
        <w:rPr>
          <w:rFonts w:ascii="Trebuchet MS" w:hAnsi="Trebuchet MS" w:cs="Times New Roman"/>
          <w:color w:val="000000" w:themeColor="text1"/>
        </w:rPr>
        <w:t xml:space="preserve">arts. 1º, III; 3º, II; 170, VI </w:t>
      </w:r>
      <w:r w:rsidRPr="00040676">
        <w:rPr>
          <w:rFonts w:ascii="Trebuchet MS" w:hAnsi="Trebuchet MS" w:cs="Times New Roman"/>
          <w:color w:val="000000" w:themeColor="text1"/>
        </w:rPr>
        <w:t xml:space="preserve">da Constituição Federal de 1988, bem como em </w:t>
      </w:r>
      <w:r w:rsidRPr="00040676">
        <w:rPr>
          <w:rFonts w:ascii="Trebuchet MS" w:eastAsia="Times New Roman" w:hAnsi="Trebuchet MS" w:cs="Times New Roman"/>
          <w:color w:val="000000" w:themeColor="text1"/>
          <w:lang w:eastAsia="pt-BR"/>
        </w:rPr>
        <w:t xml:space="preserve">compromissos internacionais assumidos pelo Estado brasileiro, a exemplo da Declaração de Roma sobre a Segurança Alimentar Mundial (FAO/ONU, 1996), que dá bases às diretrizes estabelecidas pela Lei nº 11.346/2006, que institui o Sistema Nacional de Segurança Alimentar e Nutricional (SISAN), especialmente no que se refere à efetivação do Direito Humano à Alimentação Adequada. </w:t>
      </w:r>
    </w:p>
    <w:p w14:paraId="07B47891" w14:textId="31820A44" w:rsidR="00BB0244" w:rsidRDefault="00BB0244" w:rsidP="00892A94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color w:val="000000" w:themeColor="text1"/>
          <w:lang w:eastAsia="pt-BR"/>
        </w:rPr>
      </w:pPr>
    </w:p>
    <w:p w14:paraId="0A40486D" w14:textId="77777777" w:rsidR="00DE016F" w:rsidRPr="00040676" w:rsidRDefault="00DE016F" w:rsidP="0083251D">
      <w:pPr>
        <w:spacing w:line="360" w:lineRule="auto"/>
        <w:jc w:val="both"/>
        <w:rPr>
          <w:rFonts w:ascii="Trebuchet MS" w:eastAsia="Times New Roman" w:hAnsi="Trebuchet MS" w:cs="Times New Roman"/>
          <w:b/>
          <w:color w:val="000000" w:themeColor="text1"/>
        </w:rPr>
      </w:pPr>
      <w:r w:rsidRPr="00040676">
        <w:rPr>
          <w:rFonts w:ascii="Trebuchet MS" w:eastAsia="Times New Roman" w:hAnsi="Trebuchet MS" w:cs="Times New Roman"/>
          <w:b/>
          <w:color w:val="000000" w:themeColor="text1"/>
        </w:rPr>
        <w:t>CONSIDERAÇÕES FINAIS</w:t>
      </w:r>
      <w:bookmarkStart w:id="0" w:name="_GoBack"/>
      <w:bookmarkEnd w:id="0"/>
    </w:p>
    <w:p w14:paraId="58C9CF10" w14:textId="4BAC9057" w:rsidR="00897E14" w:rsidRPr="00040676" w:rsidRDefault="00897E14" w:rsidP="00897E14">
      <w:pPr>
        <w:keepNext/>
        <w:spacing w:line="360" w:lineRule="auto"/>
        <w:ind w:firstLine="708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Ao desconstruir os marcos jurídicos que regulam o crédito rural e questionar sua pretensa neutralidade, propõe-se uma análise crítica de normas como a Constituição de 1988, as Leis Agrícolas e as resoluções do Banco Central. Longe de serem imparciais, esses dispositivos operam como mecanismos de reprodução de desigualdades ao favorecer grupos hegemônicos. Essa perspectiva revela como discursos jurídico-econômicos justific</w:t>
      </w:r>
      <w:r w:rsidR="00490AC4" w:rsidRPr="00040676">
        <w:rPr>
          <w:rFonts w:ascii="Trebuchet MS" w:eastAsia="Times New Roman" w:hAnsi="Trebuchet MS" w:cs="Times New Roman"/>
          <w:color w:val="000000" w:themeColor="text1"/>
        </w:rPr>
        <w:t>am a concentração de recursos para uma elite rural liga ao agronegócio, em detrimento da agricultura familiar</w:t>
      </w:r>
      <w:r w:rsidRPr="00040676">
        <w:rPr>
          <w:rFonts w:ascii="Trebuchet MS" w:eastAsia="Times New Roman" w:hAnsi="Trebuchet MS" w:cs="Times New Roman"/>
          <w:color w:val="000000" w:themeColor="text1"/>
        </w:rPr>
        <w:t>. Também permite identificar contradições e lacunas legais que podem fundamentar propostas de reforma creditícia orientadas pela justiça distributiva.</w:t>
      </w:r>
    </w:p>
    <w:p w14:paraId="0BB111D7" w14:textId="4CC4F98D" w:rsidR="00490AC4" w:rsidRPr="00040676" w:rsidRDefault="00490AC4" w:rsidP="00490AC4">
      <w:pPr>
        <w:keepNext/>
        <w:spacing w:line="360" w:lineRule="auto"/>
        <w:ind w:firstLine="708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 xml:space="preserve">A manutenção do modelo atual fragiliza a diversificação produtiva e reforça a hegemonia do agronegócio exportador, em prejuízo da agricultura familiar. Essa lógica viola o princípio da isonomia (art. 5º, CF/88), ao impor barreiras de acesso ao crédito, e contraria o dever de redução das desigualdades regionais e sociais (art. 3º, III). A alocação seletiva de recursos, voltada a commodities como soja e milho — ignora o papel estratégico da pequena produção na segurança alimentar e colide com os princípios de soberania alimentar implícitos nos arts. 1º, III; 3º, II; e 170, VI da </w:t>
      </w:r>
      <w:r w:rsidRPr="00040676">
        <w:rPr>
          <w:rFonts w:ascii="Trebuchet MS" w:eastAsia="Times New Roman" w:hAnsi="Trebuchet MS" w:cs="Times New Roman"/>
          <w:color w:val="000000" w:themeColor="text1"/>
        </w:rPr>
        <w:lastRenderedPageBreak/>
        <w:t>Constituição. Essa distorção demanda uma revisão urgente dos critérios de fomento público, em nome da equidade e da justiça social.</w:t>
      </w:r>
    </w:p>
    <w:p w14:paraId="589DDED9" w14:textId="6C0D1592" w:rsidR="00897E14" w:rsidRPr="00040676" w:rsidRDefault="00897E14" w:rsidP="00897E14">
      <w:pPr>
        <w:keepNext/>
        <w:spacing w:line="360" w:lineRule="auto"/>
        <w:ind w:firstLine="708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color w:val="000000" w:themeColor="text1"/>
        </w:rPr>
        <w:t>A relevância do tema ultrapassa o campo jurídico, inserindo-se no debate sobre o desenvolvimento nacional</w:t>
      </w:r>
      <w:r w:rsidR="00490AC4" w:rsidRPr="00040676">
        <w:rPr>
          <w:rFonts w:ascii="Trebuchet MS" w:eastAsia="Times New Roman" w:hAnsi="Trebuchet MS" w:cs="Times New Roman"/>
          <w:color w:val="000000" w:themeColor="text1"/>
        </w:rPr>
        <w:t xml:space="preserve">. A política de crédito rural, </w:t>
      </w:r>
      <w:r w:rsidRPr="00040676">
        <w:rPr>
          <w:rFonts w:ascii="Trebuchet MS" w:eastAsia="Times New Roman" w:hAnsi="Trebuchet MS" w:cs="Times New Roman"/>
          <w:color w:val="000000" w:themeColor="text1"/>
        </w:rPr>
        <w:t>principal instrumento de financ</w:t>
      </w:r>
      <w:r w:rsidR="00490AC4" w:rsidRPr="00040676">
        <w:rPr>
          <w:rFonts w:ascii="Trebuchet MS" w:eastAsia="Times New Roman" w:hAnsi="Trebuchet MS" w:cs="Times New Roman"/>
          <w:color w:val="000000" w:themeColor="text1"/>
        </w:rPr>
        <w:t xml:space="preserve">iamento da produção alimentar, </w:t>
      </w:r>
      <w:r w:rsidRPr="00040676">
        <w:rPr>
          <w:rFonts w:ascii="Trebuchet MS" w:eastAsia="Times New Roman" w:hAnsi="Trebuchet MS" w:cs="Times New Roman"/>
          <w:color w:val="000000" w:themeColor="text1"/>
        </w:rPr>
        <w:t>exerce papel estratégico na efetivação dos direitos sociais e na consolidação da democracia. Ao confrontar seus mecanismos com os princípios constitucionais, este estudo busca contribuir com subsídios para políticas públicas mais equitativas, que articulem eficiência econômica e justiça social.</w:t>
      </w:r>
    </w:p>
    <w:p w14:paraId="4A09FDE3" w14:textId="77777777" w:rsidR="00923813" w:rsidRPr="00040676" w:rsidRDefault="00923813" w:rsidP="0083251D">
      <w:pPr>
        <w:keepNext/>
        <w:spacing w:line="360" w:lineRule="auto"/>
        <w:jc w:val="both"/>
        <w:rPr>
          <w:rFonts w:ascii="Trebuchet MS" w:eastAsia="Times New Roman" w:hAnsi="Trebuchet MS" w:cs="Times New Roman"/>
          <w:b/>
          <w:color w:val="000000" w:themeColor="text1"/>
        </w:rPr>
      </w:pPr>
    </w:p>
    <w:p w14:paraId="3DBA6B3A" w14:textId="77777777" w:rsidR="00DE016F" w:rsidRPr="00040676" w:rsidRDefault="00DE016F" w:rsidP="0083251D">
      <w:pPr>
        <w:keepNext/>
        <w:spacing w:line="360" w:lineRule="auto"/>
        <w:jc w:val="both"/>
        <w:rPr>
          <w:rFonts w:ascii="Trebuchet MS" w:eastAsia="Times New Roman" w:hAnsi="Trebuchet MS" w:cs="Times New Roman"/>
          <w:color w:val="000000" w:themeColor="text1"/>
        </w:rPr>
      </w:pPr>
      <w:r w:rsidRPr="00040676">
        <w:rPr>
          <w:rFonts w:ascii="Trebuchet MS" w:eastAsia="Times New Roman" w:hAnsi="Trebuchet MS" w:cs="Times New Roman"/>
          <w:b/>
          <w:color w:val="000000" w:themeColor="text1"/>
        </w:rPr>
        <w:t>REFERÊNCIAS</w:t>
      </w:r>
    </w:p>
    <w:p w14:paraId="3C62507D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BRASIL. </w:t>
      </w:r>
      <w:r w:rsidRPr="00040676">
        <w:rPr>
          <w:rFonts w:ascii="Trebuchet MS" w:hAnsi="Trebuchet MS"/>
          <w:b/>
          <w:color w:val="000000" w:themeColor="text1"/>
        </w:rPr>
        <w:t>Constituição da República Federativa do Brasil</w:t>
      </w:r>
      <w:r w:rsidRPr="00040676">
        <w:rPr>
          <w:rFonts w:ascii="Trebuchet MS" w:hAnsi="Trebuchet MS"/>
          <w:color w:val="000000" w:themeColor="text1"/>
        </w:rPr>
        <w:t>. Disponível em: &lt;http://www.planalto.gov.br/ccivil_03/constituicao/constituicaocompilado.htm&gt;. Acesso em: 25 set. 2017.</w:t>
      </w:r>
    </w:p>
    <w:p w14:paraId="22B6AE78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BRASIL. </w:t>
      </w:r>
      <w:r w:rsidRPr="00040676">
        <w:rPr>
          <w:rFonts w:ascii="Trebuchet MS" w:hAnsi="Trebuchet MS"/>
          <w:b/>
          <w:color w:val="000000" w:themeColor="text1"/>
        </w:rPr>
        <w:t>Lei n.º 11.326, de 24 de julho de 2006</w:t>
      </w:r>
      <w:r w:rsidRPr="00040676">
        <w:rPr>
          <w:rFonts w:ascii="Trebuchet MS" w:hAnsi="Trebuchet MS"/>
          <w:color w:val="000000" w:themeColor="text1"/>
        </w:rPr>
        <w:t>. Estabelece as diretrizes para a formulação da Política Nacional da Agricultura Familiar e Empreendimentos Familiares Rurais. Disponível em: &lt;http://www.planalto.gov.br/ccivil_03/_ato2004-2006/2006/lei/l11326.htm&gt;. Acesso em: 5 out. 2024.</w:t>
      </w:r>
    </w:p>
    <w:p w14:paraId="554FEA04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CANOTILHO, J. J. G. </w:t>
      </w:r>
      <w:r w:rsidRPr="00040676">
        <w:rPr>
          <w:rFonts w:ascii="Trebuchet MS" w:hAnsi="Trebuchet MS"/>
          <w:b/>
          <w:color w:val="000000" w:themeColor="text1"/>
        </w:rPr>
        <w:t>Direito constitucional e teoria da Constituição</w:t>
      </w:r>
      <w:r w:rsidRPr="00040676">
        <w:rPr>
          <w:rFonts w:ascii="Trebuchet MS" w:hAnsi="Trebuchet MS"/>
          <w:color w:val="000000" w:themeColor="text1"/>
        </w:rPr>
        <w:t>. 7. ed. Coimbra: Almedina, 2003.</w:t>
      </w:r>
    </w:p>
    <w:p w14:paraId="75D16CAC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CARVALHO, H. M. </w:t>
      </w:r>
      <w:r w:rsidRPr="00040676">
        <w:rPr>
          <w:rFonts w:ascii="Trebuchet MS" w:hAnsi="Trebuchet MS"/>
          <w:b/>
          <w:color w:val="000000" w:themeColor="text1"/>
        </w:rPr>
        <w:t>Modernização conservadora e desigualdade no campo brasileiro</w:t>
      </w:r>
      <w:r w:rsidRPr="00040676">
        <w:rPr>
          <w:rFonts w:ascii="Trebuchet MS" w:hAnsi="Trebuchet MS"/>
          <w:color w:val="000000" w:themeColor="text1"/>
        </w:rPr>
        <w:t>. São Paulo: Editora UNESP, 2015.</w:t>
      </w:r>
    </w:p>
    <w:p w14:paraId="7E42FEC9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CASTRO, C. N. </w:t>
      </w:r>
      <w:r w:rsidRPr="00040676">
        <w:rPr>
          <w:rFonts w:ascii="Trebuchet MS" w:hAnsi="Trebuchet MS"/>
          <w:b/>
          <w:color w:val="000000" w:themeColor="text1"/>
        </w:rPr>
        <w:t>Agricultura familiar no Brasil, na América Latina e no Caribe: institucionalidade, características e desafios</w:t>
      </w:r>
      <w:r w:rsidRPr="00040676">
        <w:rPr>
          <w:rFonts w:ascii="Trebuchet MS" w:hAnsi="Trebuchet MS"/>
          <w:color w:val="000000" w:themeColor="text1"/>
        </w:rPr>
        <w:t>. Brasília: Ipea, 2024.</w:t>
      </w:r>
    </w:p>
    <w:p w14:paraId="6B357268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DELGADO, G. C. </w:t>
      </w:r>
      <w:r w:rsidRPr="00040676">
        <w:rPr>
          <w:rFonts w:ascii="Trebuchet MS" w:hAnsi="Trebuchet MS"/>
          <w:b/>
          <w:color w:val="000000" w:themeColor="text1"/>
        </w:rPr>
        <w:t>Capital financeiro e agricultura no Brasil</w:t>
      </w:r>
      <w:r w:rsidRPr="00040676">
        <w:rPr>
          <w:rFonts w:ascii="Trebuchet MS" w:hAnsi="Trebuchet MS"/>
          <w:color w:val="000000" w:themeColor="text1"/>
        </w:rPr>
        <w:t>. São Paulo: Ícone, 1985.</w:t>
      </w:r>
    </w:p>
    <w:p w14:paraId="7C72F6B0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DINIZ, J. A. </w:t>
      </w:r>
      <w:r w:rsidRPr="00040676">
        <w:rPr>
          <w:rFonts w:ascii="Trebuchet MS" w:hAnsi="Trebuchet MS"/>
          <w:b/>
          <w:color w:val="000000" w:themeColor="text1"/>
        </w:rPr>
        <w:t>História agrária do Brasil colonial</w:t>
      </w:r>
      <w:r w:rsidRPr="00040676">
        <w:rPr>
          <w:rFonts w:ascii="Trebuchet MS" w:hAnsi="Trebuchet MS"/>
          <w:color w:val="000000" w:themeColor="text1"/>
        </w:rPr>
        <w:t>. Brasília: EdUnB, 2005.</w:t>
      </w:r>
    </w:p>
    <w:p w14:paraId="616EC854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FERNANDES, B. M.; WELCH, C. A.; GONÇALVES, E. C. </w:t>
      </w:r>
      <w:r w:rsidRPr="00040676">
        <w:rPr>
          <w:rFonts w:ascii="Trebuchet MS" w:hAnsi="Trebuchet MS"/>
          <w:b/>
          <w:color w:val="000000" w:themeColor="text1"/>
        </w:rPr>
        <w:t xml:space="preserve">A questão agrária no século XXI. </w:t>
      </w:r>
      <w:r w:rsidRPr="00040676">
        <w:rPr>
          <w:rFonts w:ascii="Trebuchet MS" w:hAnsi="Trebuchet MS"/>
          <w:color w:val="000000" w:themeColor="text1"/>
        </w:rPr>
        <w:t>São Paulo: Expressão Popular, 2014.</w:t>
      </w:r>
    </w:p>
    <w:p w14:paraId="72082B3C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GRACIANO, M. C.; CARVALHO, J. G.; BORSATTO, R. S.; SANTOS, L. L. A força da Bancada do Boi: a Frente Parlamentar da Agropecuária na definição da política fundiária. </w:t>
      </w:r>
      <w:r w:rsidRPr="00040676">
        <w:rPr>
          <w:rFonts w:ascii="Trebuchet MS" w:hAnsi="Trebuchet MS"/>
          <w:b/>
          <w:color w:val="000000" w:themeColor="text1"/>
        </w:rPr>
        <w:t>Revista de Sociologia e Política</w:t>
      </w:r>
      <w:r w:rsidRPr="00040676">
        <w:rPr>
          <w:rFonts w:ascii="Trebuchet MS" w:hAnsi="Trebuchet MS"/>
          <w:color w:val="000000" w:themeColor="text1"/>
        </w:rPr>
        <w:t xml:space="preserve">, v. 31, p. 20, 2023. Disponível em: </w:t>
      </w:r>
      <w:r w:rsidRPr="00040676">
        <w:rPr>
          <w:rFonts w:ascii="Trebuchet MS" w:hAnsi="Trebuchet MS"/>
          <w:color w:val="000000" w:themeColor="text1"/>
        </w:rPr>
        <w:lastRenderedPageBreak/>
        <w:t>&lt;https://www.scielo.br/j/rsocp/a/YY8KHZ8KMTjVLTMdjYWY6RP/?format=pdf&amp;lang=pt&gt;. Acesso em: 18 abr. 2025.</w:t>
      </w:r>
    </w:p>
    <w:p w14:paraId="3E6F8C24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GRISA, C.; SCHNEIDER, S. </w:t>
      </w:r>
      <w:r w:rsidRPr="00040676">
        <w:rPr>
          <w:rFonts w:ascii="Trebuchet MS" w:hAnsi="Trebuchet MS"/>
          <w:b/>
          <w:color w:val="000000" w:themeColor="text1"/>
        </w:rPr>
        <w:t>Políticas públicas de desenvolvimento rural no Brasil</w:t>
      </w:r>
      <w:r w:rsidRPr="00040676">
        <w:rPr>
          <w:rFonts w:ascii="Trebuchet MS" w:hAnsi="Trebuchet MS"/>
          <w:color w:val="000000" w:themeColor="text1"/>
        </w:rPr>
        <w:t>. Porto Alegre: Editora da UFRGS, 2014.</w:t>
      </w:r>
    </w:p>
    <w:p w14:paraId="586017EB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HOFFMANN, R. </w:t>
      </w:r>
      <w:r w:rsidRPr="00040676">
        <w:rPr>
          <w:rFonts w:ascii="Trebuchet MS" w:hAnsi="Trebuchet MS"/>
          <w:b/>
          <w:color w:val="000000" w:themeColor="text1"/>
        </w:rPr>
        <w:t>A distribuição da terra no Brasil e o índice de Gini</w:t>
      </w:r>
      <w:r w:rsidRPr="00040676">
        <w:rPr>
          <w:rFonts w:ascii="Trebuchet MS" w:hAnsi="Trebuchet MS"/>
          <w:color w:val="000000" w:themeColor="text1"/>
        </w:rPr>
        <w:t>. Brasília: Ipea, 2019.</w:t>
      </w:r>
    </w:p>
    <w:p w14:paraId="79828036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IBGE (Instituto Brasileiro de Geografia e Estatística). </w:t>
      </w:r>
      <w:r w:rsidRPr="00040676">
        <w:rPr>
          <w:rFonts w:ascii="Trebuchet MS" w:hAnsi="Trebuchet MS"/>
          <w:b/>
          <w:color w:val="000000" w:themeColor="text1"/>
        </w:rPr>
        <w:t>Censo agropecuário 2017</w:t>
      </w:r>
      <w:r w:rsidRPr="00040676">
        <w:rPr>
          <w:rFonts w:ascii="Trebuchet MS" w:hAnsi="Trebuchet MS"/>
          <w:color w:val="000000" w:themeColor="text1"/>
        </w:rPr>
        <w:t>. Rio de Janeiro: IBGE, 2017.</w:t>
      </w:r>
    </w:p>
    <w:p w14:paraId="1E7DA2C3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MAPA (Ministério da Agricultura, Pecuária e Abastecimento). </w:t>
      </w:r>
      <w:r w:rsidRPr="00040676">
        <w:rPr>
          <w:rFonts w:ascii="Trebuchet MS" w:hAnsi="Trebuchet MS"/>
          <w:b/>
          <w:color w:val="000000" w:themeColor="text1"/>
        </w:rPr>
        <w:t>Plano Safra 2023/2024</w:t>
      </w:r>
      <w:r w:rsidRPr="00040676">
        <w:rPr>
          <w:rFonts w:ascii="Trebuchet MS" w:hAnsi="Trebuchet MS"/>
          <w:color w:val="000000" w:themeColor="text1"/>
        </w:rPr>
        <w:t>. Brasília: MAPA, 2025.</w:t>
      </w:r>
    </w:p>
    <w:p w14:paraId="54D9D227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MONTEIRO NETO, A. </w:t>
      </w:r>
      <w:r w:rsidRPr="00040676">
        <w:rPr>
          <w:rFonts w:ascii="Trebuchet MS" w:hAnsi="Trebuchet MS"/>
          <w:b/>
          <w:color w:val="000000" w:themeColor="text1"/>
        </w:rPr>
        <w:t>A urgência de coordenação de políticas produtivas no território: mirando o enfrentamento da crise institucional e econômica recente, de 2015 a 2022</w:t>
      </w:r>
      <w:r w:rsidRPr="00040676">
        <w:rPr>
          <w:rFonts w:ascii="Trebuchet MS" w:hAnsi="Trebuchet MS"/>
          <w:color w:val="000000" w:themeColor="text1"/>
        </w:rPr>
        <w:t>. Brasília, DF: Ipea, ago. 2024. 89 p. (Texto para Discussão, n. 3036). DOI: &lt;http://dx.doi.org/10.38116/td3036-port&gt;. Disponível em: &lt;https://repositorio.ipea.gov.br/bitstream/11058/14656/1/TD_3036_web.pdf&gt;. Acesso em: 5 abr. 2025.</w:t>
      </w:r>
    </w:p>
    <w:p w14:paraId="43600EAA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SANTOS, L. L.; GRACIANO, M. C.; ARAÚJO, J. C. L.; MELO, P. C.; MARTENSEN, A. C. Agronegócio e a busca por terra e água: uso do solo, supervisão e estrutura fundiária na região do Alto Paranapanema – São Paulo. </w:t>
      </w:r>
      <w:r w:rsidRPr="00040676">
        <w:rPr>
          <w:rFonts w:ascii="Trebuchet MS" w:hAnsi="Trebuchet MS"/>
          <w:b/>
          <w:color w:val="000000" w:themeColor="text1"/>
        </w:rPr>
        <w:t>Estudos Geográficos: Revista Eletrônica de Geografia</w:t>
      </w:r>
      <w:r w:rsidRPr="00040676">
        <w:rPr>
          <w:rFonts w:ascii="Trebuchet MS" w:hAnsi="Trebuchet MS"/>
          <w:color w:val="000000" w:themeColor="text1"/>
        </w:rPr>
        <w:t>, v. 21, n. 3, p. 248–267, 2023. Disponível em: &lt;https://www.periodicos.rc.biblioteca.unesp.br/index.php/estgeo/article/view/17973/12964&gt;. Acesso em: 5 out. 2024.</w:t>
      </w:r>
    </w:p>
    <w:p w14:paraId="571F6A32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SANTOS, L. L.; NEVES, C. B.; LEÃO, C. Uma década de políticas de reforma agrária no Brasil: índice de Gini e estrutura fundiária de 1985 a 1995. In: </w:t>
      </w:r>
      <w:r w:rsidRPr="00040676">
        <w:rPr>
          <w:rFonts w:ascii="Trebuchet MS" w:hAnsi="Trebuchet MS"/>
          <w:b/>
          <w:color w:val="000000" w:themeColor="text1"/>
        </w:rPr>
        <w:t>Anais do 47º Congresso da Sociedade Brasileira de Economia, Administração e Sociologia Rural – SOBER</w:t>
      </w:r>
      <w:r w:rsidRPr="00040676">
        <w:rPr>
          <w:rFonts w:ascii="Trebuchet MS" w:hAnsi="Trebuchet MS"/>
          <w:color w:val="000000" w:themeColor="text1"/>
        </w:rPr>
        <w:t>, 2009.</w:t>
      </w:r>
    </w:p>
    <w:p w14:paraId="6B39E338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SOUZA, M. A. </w:t>
      </w:r>
      <w:r w:rsidRPr="00040676">
        <w:rPr>
          <w:rFonts w:ascii="Trebuchet MS" w:hAnsi="Trebuchet MS"/>
          <w:b/>
          <w:color w:val="000000" w:themeColor="text1"/>
        </w:rPr>
        <w:t>A Lei de Terras de 1850 e a formação da propriedade capitalista no Brasil</w:t>
      </w:r>
      <w:r w:rsidRPr="00040676">
        <w:rPr>
          <w:rFonts w:ascii="Trebuchet MS" w:hAnsi="Trebuchet MS"/>
          <w:color w:val="000000" w:themeColor="text1"/>
        </w:rPr>
        <w:t>. São Paulo: Alameda, 2007.</w:t>
      </w:r>
    </w:p>
    <w:p w14:paraId="26CEBA21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SOUZA, P.; ALBUQUERQUE, A. de. </w:t>
      </w:r>
      <w:r w:rsidRPr="00040676">
        <w:rPr>
          <w:rFonts w:ascii="Trebuchet MS" w:hAnsi="Trebuchet MS"/>
          <w:b/>
          <w:color w:val="000000" w:themeColor="text1"/>
        </w:rPr>
        <w:t>Agricultura familiar brasileira: desigualdades no acesso ao crédito</w:t>
      </w:r>
      <w:r w:rsidRPr="00040676">
        <w:rPr>
          <w:rFonts w:ascii="Trebuchet MS" w:hAnsi="Trebuchet MS"/>
          <w:color w:val="000000" w:themeColor="text1"/>
        </w:rPr>
        <w:t xml:space="preserve">. 2023. Disponível em: </w:t>
      </w:r>
      <w:r w:rsidRPr="00040676">
        <w:rPr>
          <w:rFonts w:ascii="Trebuchet MS" w:hAnsi="Trebuchet MS"/>
          <w:color w:val="000000" w:themeColor="text1"/>
        </w:rPr>
        <w:lastRenderedPageBreak/>
        <w:t>&lt;https://www.climatepolicyinitiative.org/ptbr/publication/agricultura-familiar-brasileira-desigualdades-no-acesso-ao-credito/&gt;. Acesso em: 15 abr. 2025.</w:t>
      </w:r>
    </w:p>
    <w:p w14:paraId="63C75549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TÁRREGA, M. C. V. B.; SOUZA FILHO, C. F. M. </w:t>
      </w:r>
      <w:r w:rsidRPr="00040676">
        <w:rPr>
          <w:rFonts w:ascii="Trebuchet MS" w:hAnsi="Trebuchet MS"/>
          <w:b/>
          <w:color w:val="000000" w:themeColor="text1"/>
        </w:rPr>
        <w:t>Direito à alimentação saudável e sustentável</w:t>
      </w:r>
      <w:r w:rsidRPr="00040676">
        <w:rPr>
          <w:rFonts w:ascii="Trebuchet MS" w:hAnsi="Trebuchet MS"/>
          <w:color w:val="000000" w:themeColor="text1"/>
        </w:rPr>
        <w:t>. In: SILVA, S. T. da; SANTOS, M. D. dos; MENEZES, D. F. N. (orgs.). Direitos, cidadania e desenvolvimento sustentável. 1. ed. São Paulo: Eseni Editora, 2020. p. 135–160.</w:t>
      </w:r>
    </w:p>
    <w:p w14:paraId="711FAE6E" w14:textId="77777777" w:rsidR="001A4A12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TEIXEIRA, J. C. </w:t>
      </w:r>
      <w:r w:rsidRPr="00040676">
        <w:rPr>
          <w:rFonts w:ascii="Trebuchet MS" w:hAnsi="Trebuchet MS"/>
          <w:b/>
          <w:color w:val="000000" w:themeColor="text1"/>
        </w:rPr>
        <w:t>Reforma agrária e desenvolvimento no Brasil</w:t>
      </w:r>
      <w:r w:rsidRPr="00040676">
        <w:rPr>
          <w:rFonts w:ascii="Trebuchet MS" w:hAnsi="Trebuchet MS"/>
          <w:color w:val="000000" w:themeColor="text1"/>
        </w:rPr>
        <w:t>. Brasília: MDA, 2013.</w:t>
      </w:r>
    </w:p>
    <w:p w14:paraId="7A12CA73" w14:textId="581FF9B3" w:rsidR="0053021A" w:rsidRPr="00040676" w:rsidRDefault="001A4A12" w:rsidP="001A4A12">
      <w:pPr>
        <w:spacing w:line="360" w:lineRule="auto"/>
        <w:rPr>
          <w:rFonts w:ascii="Trebuchet MS" w:hAnsi="Trebuchet MS"/>
          <w:color w:val="000000" w:themeColor="text1"/>
        </w:rPr>
      </w:pPr>
      <w:r w:rsidRPr="00040676">
        <w:rPr>
          <w:rFonts w:ascii="Trebuchet MS" w:hAnsi="Trebuchet MS"/>
          <w:color w:val="000000" w:themeColor="text1"/>
        </w:rPr>
        <w:t xml:space="preserve">WARAT, L. A. </w:t>
      </w:r>
      <w:r w:rsidRPr="00040676">
        <w:rPr>
          <w:rFonts w:ascii="Trebuchet MS" w:hAnsi="Trebuchet MS"/>
          <w:b/>
          <w:color w:val="000000" w:themeColor="text1"/>
        </w:rPr>
        <w:t>Teoria crítica do direito</w:t>
      </w:r>
      <w:r w:rsidRPr="00040676">
        <w:rPr>
          <w:rFonts w:ascii="Trebuchet MS" w:hAnsi="Trebuchet MS"/>
          <w:color w:val="000000" w:themeColor="text1"/>
        </w:rPr>
        <w:t>. Porto Alegre: Sérgio Antônio Fabris Editor, 1994.</w:t>
      </w:r>
    </w:p>
    <w:sectPr w:rsidR="0053021A" w:rsidRPr="00040676" w:rsidSect="000A045E">
      <w:headerReference w:type="default" r:id="rId11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7E590" w14:textId="77777777" w:rsidR="00C40E07" w:rsidRDefault="00C40E07" w:rsidP="0027518C">
      <w:r>
        <w:separator/>
      </w:r>
    </w:p>
  </w:endnote>
  <w:endnote w:type="continuationSeparator" w:id="0">
    <w:p w14:paraId="40D371F5" w14:textId="77777777" w:rsidR="00C40E07" w:rsidRDefault="00C40E07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ntonio">
    <w:altName w:val="Cambria"/>
    <w:charset w:val="4D"/>
    <w:family w:val="auto"/>
    <w:pitch w:val="variable"/>
    <w:sig w:usb0="A00000EF" w:usb1="0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F2420" w14:textId="77777777" w:rsidR="00C40E07" w:rsidRDefault="00C40E07" w:rsidP="0027518C">
      <w:r>
        <w:separator/>
      </w:r>
    </w:p>
  </w:footnote>
  <w:footnote w:type="continuationSeparator" w:id="0">
    <w:p w14:paraId="1C723A39" w14:textId="77777777" w:rsidR="00C40E07" w:rsidRDefault="00C40E07" w:rsidP="0027518C">
      <w:r>
        <w:continuationSeparator/>
      </w:r>
    </w:p>
  </w:footnote>
  <w:footnote w:id="1">
    <w:p w14:paraId="1C21C239" w14:textId="6C6F4A24" w:rsidR="006E55C9" w:rsidRPr="00B155EF" w:rsidRDefault="006E55C9" w:rsidP="006E55C9">
      <w:pPr>
        <w:pStyle w:val="Textodenotaderodap"/>
        <w:rPr>
          <w:rFonts w:ascii="Avenir Book" w:hAnsi="Avenir Book"/>
          <w:lang w:val="pt-BR"/>
        </w:rPr>
      </w:pPr>
      <w:r w:rsidRPr="00B155EF">
        <w:rPr>
          <w:rStyle w:val="Refdenotaderodap"/>
          <w:rFonts w:ascii="Avenir Book" w:hAnsi="Avenir Book"/>
        </w:rPr>
        <w:footnoteRef/>
      </w:r>
      <w:r w:rsidRPr="00B155EF">
        <w:rPr>
          <w:rFonts w:ascii="Avenir Book" w:hAnsi="Avenir Book"/>
        </w:rPr>
        <w:t xml:space="preserve"> </w:t>
      </w:r>
      <w:r w:rsidRPr="00B155EF">
        <w:rPr>
          <w:rFonts w:ascii="Avenir Book" w:hAnsi="Avenir Book"/>
          <w:lang w:val="pt-BR"/>
        </w:rPr>
        <w:t xml:space="preserve">Centro Universitário Uniaraguaia, </w:t>
      </w:r>
      <w:hyperlink r:id="rId1" w:history="1">
        <w:r w:rsidRPr="00B155EF">
          <w:rPr>
            <w:rStyle w:val="Hyperlink"/>
            <w:rFonts w:ascii="Avenir Book" w:hAnsi="Avenir Book"/>
            <w:lang w:val="pt-BR"/>
          </w:rPr>
          <w:t>monyelegraciano@gmail.com</w:t>
        </w:r>
      </w:hyperlink>
    </w:p>
  </w:footnote>
  <w:footnote w:id="2">
    <w:p w14:paraId="13314BA8" w14:textId="62749F5F" w:rsidR="006E55C9" w:rsidRPr="00B155EF" w:rsidRDefault="006E55C9" w:rsidP="006E55C9">
      <w:pPr>
        <w:pStyle w:val="Textodenotaderodap"/>
        <w:rPr>
          <w:rFonts w:ascii="Avenir Book" w:hAnsi="Avenir Book"/>
        </w:rPr>
      </w:pPr>
      <w:r w:rsidRPr="00B155EF">
        <w:rPr>
          <w:rStyle w:val="Refdenotaderodap"/>
          <w:rFonts w:ascii="Avenir Book" w:hAnsi="Avenir Book"/>
        </w:rPr>
        <w:footnoteRef/>
      </w:r>
      <w:r w:rsidRPr="00B155EF">
        <w:rPr>
          <w:rFonts w:ascii="Avenir Book" w:hAnsi="Avenir Book"/>
        </w:rPr>
        <w:t xml:space="preserve"> </w:t>
      </w:r>
      <w:r w:rsidRPr="00B155EF">
        <w:rPr>
          <w:rFonts w:ascii="Avenir Book" w:hAnsi="Avenir Book"/>
          <w:lang w:val="pt-BR"/>
        </w:rPr>
        <w:t xml:space="preserve">Universidade Federal de Goiás - UFG, </w:t>
      </w:r>
      <w:hyperlink r:id="rId2" w:history="1">
        <w:r w:rsidRPr="00B155EF">
          <w:rPr>
            <w:rStyle w:val="Hyperlink"/>
            <w:rFonts w:ascii="Avenir Book" w:hAnsi="Avenir Book"/>
          </w:rPr>
          <w:t>mariacristinavidotte@ufg.br</w:t>
        </w:r>
      </w:hyperlink>
    </w:p>
  </w:footnote>
  <w:footnote w:id="3">
    <w:p w14:paraId="18ED6CFC" w14:textId="39072CBE" w:rsidR="006E55C9" w:rsidRPr="006E55C9" w:rsidRDefault="006E55C9">
      <w:pPr>
        <w:pStyle w:val="Textodenotaderodap"/>
        <w:rPr>
          <w:lang w:val="pt-BR"/>
        </w:rPr>
      </w:pPr>
      <w:r w:rsidRPr="00B155EF">
        <w:rPr>
          <w:rStyle w:val="Refdenotaderodap"/>
          <w:rFonts w:ascii="Avenir Book" w:hAnsi="Avenir Book"/>
        </w:rPr>
        <w:footnoteRef/>
      </w:r>
      <w:r w:rsidRPr="00B155EF">
        <w:rPr>
          <w:rFonts w:ascii="Avenir Book" w:hAnsi="Avenir Book"/>
        </w:rPr>
        <w:t xml:space="preserve"> </w:t>
      </w:r>
      <w:r w:rsidRPr="00B155EF">
        <w:rPr>
          <w:rFonts w:ascii="Avenir Book" w:hAnsi="Avenir Book"/>
          <w:lang w:val="pt-BR"/>
        </w:rPr>
        <w:t xml:space="preserve">Universidade Federal de Goiás - UFG, </w:t>
      </w:r>
      <w:hyperlink r:id="rId3" w:history="1">
        <w:r w:rsidRPr="00B155EF">
          <w:rPr>
            <w:rStyle w:val="Hyperlink"/>
            <w:rFonts w:ascii="Avenir Book" w:hAnsi="Avenir Book"/>
          </w:rPr>
          <w:t>leandro.santos@ufg.br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793B8" w14:textId="61EE7B04" w:rsidR="00B74D0D" w:rsidRDefault="00BB02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288206B" wp14:editId="7693F5B2">
          <wp:simplePos x="0" y="0"/>
          <wp:positionH relativeFrom="column">
            <wp:posOffset>-948055</wp:posOffset>
          </wp:positionH>
          <wp:positionV relativeFrom="page">
            <wp:posOffset>-9525</wp:posOffset>
          </wp:positionV>
          <wp:extent cx="7543800" cy="1438275"/>
          <wp:effectExtent l="0" t="0" r="0" b="9525"/>
          <wp:wrapTopAndBottom/>
          <wp:docPr id="5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FB"/>
    <w:rsid w:val="00024412"/>
    <w:rsid w:val="00040676"/>
    <w:rsid w:val="0005124E"/>
    <w:rsid w:val="0007399C"/>
    <w:rsid w:val="000A045E"/>
    <w:rsid w:val="00170C6C"/>
    <w:rsid w:val="00195085"/>
    <w:rsid w:val="001A4A12"/>
    <w:rsid w:val="0021089E"/>
    <w:rsid w:val="00215887"/>
    <w:rsid w:val="00216EFF"/>
    <w:rsid w:val="0027518C"/>
    <w:rsid w:val="00284CE3"/>
    <w:rsid w:val="00295FBE"/>
    <w:rsid w:val="002B2423"/>
    <w:rsid w:val="00304062"/>
    <w:rsid w:val="0031590B"/>
    <w:rsid w:val="0032757F"/>
    <w:rsid w:val="004906DE"/>
    <w:rsid w:val="00490AC4"/>
    <w:rsid w:val="00507B98"/>
    <w:rsid w:val="0053021A"/>
    <w:rsid w:val="0054247D"/>
    <w:rsid w:val="005617DC"/>
    <w:rsid w:val="00607958"/>
    <w:rsid w:val="00634370"/>
    <w:rsid w:val="00644353"/>
    <w:rsid w:val="00680A10"/>
    <w:rsid w:val="00692EEB"/>
    <w:rsid w:val="00696E2D"/>
    <w:rsid w:val="006E55C9"/>
    <w:rsid w:val="00716AF0"/>
    <w:rsid w:val="00733AFB"/>
    <w:rsid w:val="0073461A"/>
    <w:rsid w:val="00757F24"/>
    <w:rsid w:val="007867A9"/>
    <w:rsid w:val="0083251D"/>
    <w:rsid w:val="00892A94"/>
    <w:rsid w:val="00897E14"/>
    <w:rsid w:val="008C627F"/>
    <w:rsid w:val="008D62A4"/>
    <w:rsid w:val="008E7A76"/>
    <w:rsid w:val="009127B4"/>
    <w:rsid w:val="00923813"/>
    <w:rsid w:val="00B155EF"/>
    <w:rsid w:val="00B61734"/>
    <w:rsid w:val="00B74D0D"/>
    <w:rsid w:val="00BB0244"/>
    <w:rsid w:val="00BF5C0D"/>
    <w:rsid w:val="00C23EF4"/>
    <w:rsid w:val="00C40E07"/>
    <w:rsid w:val="00C85025"/>
    <w:rsid w:val="00CD7981"/>
    <w:rsid w:val="00D15DC3"/>
    <w:rsid w:val="00D31A9F"/>
    <w:rsid w:val="00D34AA5"/>
    <w:rsid w:val="00D46408"/>
    <w:rsid w:val="00D87DBC"/>
    <w:rsid w:val="00DA7880"/>
    <w:rsid w:val="00DE016F"/>
    <w:rsid w:val="00E13FCD"/>
    <w:rsid w:val="00F4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customStyle="1" w:styleId="ds-markdown-paragraph">
    <w:name w:val="ds-markdown-paragraph"/>
    <w:basedOn w:val="Normal"/>
    <w:rsid w:val="00DE016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E016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customStyle="1" w:styleId="relative">
    <w:name w:val="relative"/>
    <w:rsid w:val="00DE016F"/>
  </w:style>
  <w:style w:type="character" w:styleId="nfase">
    <w:name w:val="Emphasis"/>
    <w:uiPriority w:val="20"/>
    <w:qFormat/>
    <w:rsid w:val="00DE016F"/>
    <w:rPr>
      <w:i/>
      <w:iCs/>
    </w:rPr>
  </w:style>
  <w:style w:type="character" w:styleId="Hyperlink">
    <w:name w:val="Hyperlink"/>
    <w:basedOn w:val="Fontepargpadro"/>
    <w:uiPriority w:val="99"/>
    <w:unhideWhenUsed/>
    <w:rsid w:val="0083251D"/>
    <w:rPr>
      <w:color w:val="467886" w:themeColor="hyperlink"/>
      <w:u w:val="single"/>
    </w:rPr>
  </w:style>
  <w:style w:type="character" w:customStyle="1" w:styleId="fontstyle01">
    <w:name w:val="fontstyle01"/>
    <w:basedOn w:val="Fontepargpadro"/>
    <w:rsid w:val="006E55C9"/>
    <w:rPr>
      <w:rFonts w:ascii="Arial-BoldMT" w:hAnsi="Arial-BoldMT" w:hint="default"/>
      <w:b/>
      <w:bCs/>
      <w:i w:val="0"/>
      <w:iCs w:val="0"/>
      <w:color w:val="00000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6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eandro.santos@ufg.br" TargetMode="External"/><Relationship Id="rId2" Type="http://schemas.openxmlformats.org/officeDocument/2006/relationships/hyperlink" Target="mailto:mariacristinavidotte@ufg.br" TargetMode="External"/><Relationship Id="rId1" Type="http://schemas.openxmlformats.org/officeDocument/2006/relationships/hyperlink" Target="mailto:monyelegracian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D716C3-D262-4668-ACD5-31534F7A6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3935</Words>
  <Characters>21252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Parecerista</cp:lastModifiedBy>
  <cp:revision>12</cp:revision>
  <dcterms:created xsi:type="dcterms:W3CDTF">2025-05-09T19:28:00Z</dcterms:created>
  <dcterms:modified xsi:type="dcterms:W3CDTF">2025-05-11T00:18:00Z</dcterms:modified>
</cp:coreProperties>
</file>