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52CE" w14:textId="77777777" w:rsidR="009D2138" w:rsidRDefault="009D2138" w:rsidP="00F935A2">
      <w:pPr>
        <w:rPr>
          <w:b/>
          <w:bCs/>
        </w:rPr>
      </w:pPr>
    </w:p>
    <w:p w14:paraId="4B2FA9DA" w14:textId="1A1F4B79" w:rsidR="00D26D5B" w:rsidRPr="0030166F" w:rsidRDefault="00D26D5B" w:rsidP="00D26D5B">
      <w:pPr>
        <w:shd w:val="clear" w:color="auto" w:fill="FFFFFF"/>
        <w:tabs>
          <w:tab w:val="left" w:pos="2500"/>
        </w:tabs>
        <w:spacing w:line="360" w:lineRule="auto"/>
        <w:jc w:val="center"/>
        <w:rPr>
          <w:b/>
          <w:sz w:val="28"/>
          <w:szCs w:val="28"/>
        </w:rPr>
      </w:pPr>
      <w:r w:rsidRPr="00D26D5B">
        <w:rPr>
          <w:b/>
          <w:sz w:val="28"/>
          <w:szCs w:val="28"/>
        </w:rPr>
        <w:t>PERFIL EPIDEMIOLOGICO DA FEBRE TIFOIDE N</w:t>
      </w:r>
      <w:r w:rsidR="0030166F">
        <w:rPr>
          <w:b/>
          <w:sz w:val="28"/>
          <w:szCs w:val="28"/>
        </w:rPr>
        <w:t>A REGIÃO NORTE DO</w:t>
      </w:r>
      <w:r w:rsidRPr="00D26D5B">
        <w:rPr>
          <w:b/>
          <w:sz w:val="28"/>
          <w:szCs w:val="28"/>
        </w:rPr>
        <w:t xml:space="preserve"> BRASIL</w:t>
      </w:r>
      <w:r w:rsidR="0030166F">
        <w:rPr>
          <w:b/>
          <w:sz w:val="28"/>
          <w:szCs w:val="28"/>
        </w:rPr>
        <w:t>.</w:t>
      </w:r>
    </w:p>
    <w:p w14:paraId="728CA2B8" w14:textId="7E93DE58" w:rsidR="0023645A" w:rsidRPr="002F6D83" w:rsidRDefault="0023645A" w:rsidP="0023645A">
      <w:pPr>
        <w:shd w:val="clear" w:color="auto" w:fill="FFFFFF"/>
        <w:tabs>
          <w:tab w:val="left" w:pos="2500"/>
        </w:tabs>
        <w:spacing w:line="360" w:lineRule="auto"/>
        <w:jc w:val="center"/>
        <w:rPr>
          <w:b/>
          <w:sz w:val="28"/>
          <w:szCs w:val="28"/>
        </w:rPr>
      </w:pPr>
    </w:p>
    <w:p w14:paraId="184B6CC0" w14:textId="77777777" w:rsidR="0023645A" w:rsidRPr="00FD46AA" w:rsidRDefault="0023645A" w:rsidP="0023645A">
      <w:pPr>
        <w:shd w:val="clear" w:color="auto" w:fill="FFFFFF"/>
        <w:tabs>
          <w:tab w:val="left" w:pos="2500"/>
        </w:tabs>
        <w:spacing w:line="360" w:lineRule="auto"/>
        <w:rPr>
          <w:color w:val="FF0000"/>
          <w:sz w:val="24"/>
          <w:szCs w:val="24"/>
        </w:rPr>
      </w:pPr>
    </w:p>
    <w:p w14:paraId="2097B7A0" w14:textId="61B0D47A" w:rsidR="0023645A" w:rsidRPr="00D454C2" w:rsidRDefault="00E96FEC" w:rsidP="0023645A">
      <w:pPr>
        <w:shd w:val="clear" w:color="auto" w:fill="FFFFFF"/>
        <w:tabs>
          <w:tab w:val="left" w:pos="2500"/>
        </w:tabs>
        <w:spacing w:line="360" w:lineRule="auto"/>
        <w:jc w:val="center"/>
        <w:rPr>
          <w:color w:val="FF0000"/>
          <w:sz w:val="24"/>
          <w:szCs w:val="24"/>
          <w:vertAlign w:val="superscript"/>
        </w:rPr>
      </w:pPr>
      <w:r>
        <w:rPr>
          <w:sz w:val="24"/>
          <w:szCs w:val="24"/>
        </w:rPr>
        <w:t>Ana Deuza da Silva Soares</w:t>
      </w:r>
      <w:r w:rsidR="0023645A">
        <w:rPr>
          <w:sz w:val="24"/>
          <w:szCs w:val="24"/>
          <w:vertAlign w:val="superscript"/>
        </w:rPr>
        <w:t>1</w:t>
      </w:r>
      <w:r w:rsidR="0023645A">
        <w:rPr>
          <w:sz w:val="24"/>
          <w:szCs w:val="24"/>
        </w:rPr>
        <w:t xml:space="preserve">; </w:t>
      </w:r>
      <w:r>
        <w:rPr>
          <w:sz w:val="24"/>
          <w:szCs w:val="24"/>
        </w:rPr>
        <w:t>Patrícia Leal Pereira Xavier</w:t>
      </w:r>
      <w:r w:rsidR="0023645A">
        <w:rPr>
          <w:sz w:val="24"/>
          <w:szCs w:val="24"/>
          <w:vertAlign w:val="superscript"/>
        </w:rPr>
        <w:t>2</w:t>
      </w:r>
      <w:r w:rsidR="0023645A">
        <w:rPr>
          <w:sz w:val="24"/>
          <w:szCs w:val="24"/>
        </w:rPr>
        <w:t xml:space="preserve">; </w:t>
      </w:r>
      <w:r w:rsidR="00D454C2">
        <w:rPr>
          <w:sz w:val="24"/>
          <w:szCs w:val="24"/>
        </w:rPr>
        <w:t>Giovanna da Silva Frota</w:t>
      </w:r>
      <w:r w:rsidR="0023645A">
        <w:rPr>
          <w:sz w:val="24"/>
          <w:szCs w:val="24"/>
          <w:vertAlign w:val="superscript"/>
        </w:rPr>
        <w:t>3</w:t>
      </w:r>
      <w:r w:rsidR="00D454C2">
        <w:rPr>
          <w:sz w:val="24"/>
          <w:szCs w:val="24"/>
        </w:rPr>
        <w:t>; Nilson Veloso Bezerra</w:t>
      </w:r>
      <w:r w:rsidR="00D454C2">
        <w:rPr>
          <w:sz w:val="24"/>
          <w:szCs w:val="24"/>
          <w:vertAlign w:val="superscript"/>
        </w:rPr>
        <w:t>4</w:t>
      </w:r>
    </w:p>
    <w:p w14:paraId="0ED0E5EB" w14:textId="77777777" w:rsidR="0023645A" w:rsidRPr="002F6D83" w:rsidRDefault="0023645A" w:rsidP="0023645A">
      <w:pPr>
        <w:shd w:val="clear" w:color="auto" w:fill="FFFFFF"/>
        <w:tabs>
          <w:tab w:val="left" w:pos="2500"/>
        </w:tabs>
        <w:spacing w:after="240"/>
        <w:jc w:val="center"/>
        <w:rPr>
          <w:color w:val="0070C0"/>
          <w:sz w:val="24"/>
          <w:szCs w:val="24"/>
          <w:u w:val="single"/>
        </w:rPr>
      </w:pPr>
    </w:p>
    <w:p w14:paraId="17473373" w14:textId="6E309113" w:rsidR="00FA7BB4" w:rsidRDefault="0023645A" w:rsidP="00FA7BB4">
      <w:pPr>
        <w:shd w:val="clear" w:color="auto" w:fill="FFFFFF"/>
        <w:tabs>
          <w:tab w:val="left" w:pos="2500"/>
        </w:tabs>
        <w:spacing w:after="240" w:line="360" w:lineRule="auto"/>
        <w:jc w:val="center"/>
        <w:rPr>
          <w:sz w:val="20"/>
          <w:szCs w:val="20"/>
        </w:rPr>
      </w:pPr>
      <w:r w:rsidRPr="0020472C">
        <w:rPr>
          <w:sz w:val="20"/>
          <w:szCs w:val="20"/>
          <w:vertAlign w:val="superscript"/>
        </w:rPr>
        <w:t xml:space="preserve">1 </w:t>
      </w:r>
      <w:r w:rsidRPr="0020472C">
        <w:rPr>
          <w:sz w:val="20"/>
          <w:szCs w:val="20"/>
        </w:rPr>
        <w:t>M</w:t>
      </w:r>
      <w:r w:rsidR="00D26D5B">
        <w:rPr>
          <w:sz w:val="20"/>
          <w:szCs w:val="20"/>
        </w:rPr>
        <w:t xml:space="preserve">estre em </w:t>
      </w:r>
      <w:r w:rsidR="00D26D5B" w:rsidRPr="00D26D5B">
        <w:rPr>
          <w:sz w:val="20"/>
          <w:szCs w:val="20"/>
        </w:rPr>
        <w:t>Docência em Educação em Ciências e Matemáticas</w:t>
      </w:r>
      <w:r w:rsidR="008D06B6">
        <w:rPr>
          <w:sz w:val="20"/>
          <w:szCs w:val="20"/>
        </w:rPr>
        <w:t xml:space="preserve"> - </w:t>
      </w:r>
      <w:r w:rsidR="00D26D5B">
        <w:rPr>
          <w:sz w:val="20"/>
          <w:szCs w:val="20"/>
        </w:rPr>
        <w:t>UFPA. adeuza.soares@gmail.com</w:t>
      </w:r>
      <w:r w:rsidRPr="0020472C">
        <w:rPr>
          <w:sz w:val="20"/>
          <w:szCs w:val="20"/>
        </w:rPr>
        <w:t>.</w:t>
      </w:r>
    </w:p>
    <w:p w14:paraId="4E7764BA" w14:textId="355D3FBF" w:rsidR="0023645A" w:rsidRDefault="0023645A" w:rsidP="00FA7BB4">
      <w:pPr>
        <w:shd w:val="clear" w:color="auto" w:fill="FFFFFF"/>
        <w:tabs>
          <w:tab w:val="left" w:pos="2500"/>
        </w:tabs>
        <w:spacing w:after="240" w:line="360" w:lineRule="auto"/>
        <w:jc w:val="center"/>
        <w:rPr>
          <w:sz w:val="20"/>
          <w:szCs w:val="20"/>
        </w:rPr>
      </w:pPr>
      <w:r w:rsidRPr="005C3E8B">
        <w:rPr>
          <w:sz w:val="20"/>
          <w:szCs w:val="20"/>
          <w:vertAlign w:val="superscript"/>
        </w:rPr>
        <w:t xml:space="preserve">2 </w:t>
      </w:r>
      <w:r w:rsidR="003D1513">
        <w:rPr>
          <w:sz w:val="20"/>
          <w:szCs w:val="20"/>
        </w:rPr>
        <w:t>Grad</w:t>
      </w:r>
      <w:r w:rsidR="009B1C06">
        <w:rPr>
          <w:sz w:val="20"/>
          <w:szCs w:val="20"/>
        </w:rPr>
        <w:t>uada</w:t>
      </w:r>
      <w:r w:rsidR="003D1513">
        <w:rPr>
          <w:sz w:val="20"/>
          <w:szCs w:val="20"/>
        </w:rPr>
        <w:t xml:space="preserve"> em </w:t>
      </w:r>
      <w:r w:rsidR="009B1C06">
        <w:rPr>
          <w:sz w:val="20"/>
          <w:szCs w:val="20"/>
        </w:rPr>
        <w:t>Tecnologia em Alimentos</w:t>
      </w:r>
      <w:r w:rsidR="008D06B6">
        <w:rPr>
          <w:sz w:val="20"/>
          <w:szCs w:val="20"/>
        </w:rPr>
        <w:t xml:space="preserve"> - </w:t>
      </w:r>
      <w:r w:rsidR="00E6233C">
        <w:rPr>
          <w:sz w:val="20"/>
          <w:szCs w:val="20"/>
        </w:rPr>
        <w:t>UEPA</w:t>
      </w:r>
      <w:r w:rsidRPr="005C3E8B">
        <w:rPr>
          <w:sz w:val="20"/>
          <w:szCs w:val="20"/>
        </w:rPr>
        <w:t>.</w:t>
      </w:r>
      <w:r w:rsidR="00974B2A">
        <w:rPr>
          <w:sz w:val="20"/>
          <w:szCs w:val="20"/>
        </w:rPr>
        <w:t xml:space="preserve"> </w:t>
      </w:r>
      <w:r w:rsidR="009B1C06" w:rsidRPr="009B1C06">
        <w:rPr>
          <w:sz w:val="20"/>
          <w:szCs w:val="20"/>
        </w:rPr>
        <w:t>patricialealta2@gmail.com</w:t>
      </w:r>
      <w:r w:rsidR="00974B2A">
        <w:rPr>
          <w:sz w:val="20"/>
          <w:szCs w:val="20"/>
        </w:rPr>
        <w:t>.</w:t>
      </w:r>
    </w:p>
    <w:p w14:paraId="55601A99" w14:textId="077E9CA1" w:rsidR="0023645A" w:rsidRDefault="0023645A" w:rsidP="00FA7BB4">
      <w:pPr>
        <w:shd w:val="clear" w:color="auto" w:fill="FFFFFF"/>
        <w:tabs>
          <w:tab w:val="left" w:pos="2500"/>
        </w:tabs>
        <w:spacing w:line="360" w:lineRule="auto"/>
        <w:jc w:val="center"/>
        <w:rPr>
          <w:sz w:val="20"/>
          <w:szCs w:val="20"/>
        </w:rPr>
      </w:pPr>
      <w:r w:rsidRPr="005D0958">
        <w:rPr>
          <w:sz w:val="20"/>
          <w:szCs w:val="20"/>
          <w:vertAlign w:val="superscript"/>
        </w:rPr>
        <w:t>3</w:t>
      </w:r>
      <w:r w:rsidR="009B1C06">
        <w:rPr>
          <w:sz w:val="20"/>
          <w:szCs w:val="20"/>
          <w:vertAlign w:val="superscript"/>
        </w:rPr>
        <w:t xml:space="preserve"> </w:t>
      </w:r>
      <w:r w:rsidR="00FA7BB4">
        <w:rPr>
          <w:sz w:val="20"/>
          <w:szCs w:val="20"/>
        </w:rPr>
        <w:t>Graduada em Licenciatura em Ciências Biológicas</w:t>
      </w:r>
      <w:r w:rsidR="008D06B6">
        <w:rPr>
          <w:sz w:val="20"/>
          <w:szCs w:val="20"/>
        </w:rPr>
        <w:t xml:space="preserve"> - UFPA</w:t>
      </w:r>
      <w:r>
        <w:rPr>
          <w:sz w:val="20"/>
          <w:szCs w:val="20"/>
        </w:rPr>
        <w:t>.</w:t>
      </w:r>
      <w:r w:rsidR="00974B2A">
        <w:rPr>
          <w:sz w:val="20"/>
          <w:szCs w:val="20"/>
        </w:rPr>
        <w:t xml:space="preserve"> </w:t>
      </w:r>
      <w:r w:rsidR="00FA7BB4">
        <w:rPr>
          <w:sz w:val="20"/>
          <w:szCs w:val="20"/>
        </w:rPr>
        <w:t>diovannaferreira92@gmail.com</w:t>
      </w:r>
      <w:r w:rsidR="00974B2A">
        <w:rPr>
          <w:sz w:val="20"/>
          <w:szCs w:val="20"/>
        </w:rPr>
        <w:t>.</w:t>
      </w:r>
    </w:p>
    <w:p w14:paraId="47E4BB65" w14:textId="77777777" w:rsidR="00FA7BB4" w:rsidRDefault="00FA7BB4" w:rsidP="00FA7BB4">
      <w:pPr>
        <w:shd w:val="clear" w:color="auto" w:fill="FFFFFF"/>
        <w:tabs>
          <w:tab w:val="left" w:pos="2500"/>
        </w:tabs>
        <w:spacing w:line="360" w:lineRule="auto"/>
        <w:jc w:val="center"/>
        <w:rPr>
          <w:sz w:val="20"/>
          <w:szCs w:val="20"/>
        </w:rPr>
      </w:pPr>
    </w:p>
    <w:p w14:paraId="295E670A" w14:textId="0AA7D430" w:rsidR="00FA7BB4" w:rsidRPr="00FA7BB4" w:rsidRDefault="00FA7BB4" w:rsidP="00FA7BB4">
      <w:pPr>
        <w:shd w:val="clear" w:color="auto" w:fill="FFFFFF"/>
        <w:tabs>
          <w:tab w:val="left" w:pos="2500"/>
        </w:tabs>
        <w:spacing w:line="360" w:lineRule="auto"/>
        <w:jc w:val="center"/>
        <w:rPr>
          <w:sz w:val="20"/>
          <w:szCs w:val="20"/>
        </w:rPr>
      </w:pPr>
      <w:r>
        <w:rPr>
          <w:sz w:val="20"/>
          <w:szCs w:val="20"/>
          <w:vertAlign w:val="superscript"/>
        </w:rPr>
        <w:t>4</w:t>
      </w:r>
      <w:r w:rsidRPr="00FA7BB4">
        <w:rPr>
          <w:sz w:val="20"/>
          <w:szCs w:val="20"/>
          <w:vertAlign w:val="superscript"/>
        </w:rPr>
        <w:t xml:space="preserve"> </w:t>
      </w:r>
      <w:r w:rsidR="008D06B6" w:rsidRPr="008D06B6">
        <w:rPr>
          <w:sz w:val="20"/>
          <w:szCs w:val="20"/>
        </w:rPr>
        <w:t>Doutor em Entomologia com ênfase em Controle Microbiano de Insetos - UNESP</w:t>
      </w:r>
      <w:r w:rsidRPr="00FA7BB4">
        <w:rPr>
          <w:sz w:val="20"/>
          <w:szCs w:val="20"/>
        </w:rPr>
        <w:t xml:space="preserve">. </w:t>
      </w:r>
      <w:r w:rsidR="008D06B6">
        <w:rPr>
          <w:sz w:val="20"/>
          <w:szCs w:val="20"/>
        </w:rPr>
        <w:t>nbezerra</w:t>
      </w:r>
      <w:r w:rsidRPr="00FA7BB4">
        <w:rPr>
          <w:sz w:val="20"/>
          <w:szCs w:val="20"/>
        </w:rPr>
        <w:t>@</w:t>
      </w:r>
      <w:r w:rsidR="008D06B6">
        <w:rPr>
          <w:sz w:val="20"/>
          <w:szCs w:val="20"/>
        </w:rPr>
        <w:t>yahoo</w:t>
      </w:r>
      <w:r w:rsidRPr="00FA7BB4">
        <w:rPr>
          <w:sz w:val="20"/>
          <w:szCs w:val="20"/>
        </w:rPr>
        <w:t>.com.</w:t>
      </w:r>
    </w:p>
    <w:p w14:paraId="54E6928E" w14:textId="77777777" w:rsidR="00FA7BB4" w:rsidRPr="005C3E8B" w:rsidRDefault="00FA7BB4" w:rsidP="00FA7BB4">
      <w:pPr>
        <w:shd w:val="clear" w:color="auto" w:fill="FFFFFF"/>
        <w:tabs>
          <w:tab w:val="left" w:pos="2500"/>
        </w:tabs>
        <w:spacing w:line="360" w:lineRule="auto"/>
        <w:jc w:val="center"/>
        <w:rPr>
          <w:sz w:val="20"/>
          <w:szCs w:val="20"/>
        </w:rPr>
      </w:pPr>
    </w:p>
    <w:p w14:paraId="4989AA56" w14:textId="77777777" w:rsidR="0023645A" w:rsidRDefault="0023645A" w:rsidP="0023645A">
      <w:pPr>
        <w:shd w:val="clear" w:color="auto" w:fill="FFFFFF"/>
        <w:tabs>
          <w:tab w:val="left" w:pos="2500"/>
        </w:tabs>
        <w:spacing w:after="240" w:line="360" w:lineRule="auto"/>
        <w:jc w:val="center"/>
        <w:rPr>
          <w:b/>
          <w:sz w:val="24"/>
          <w:szCs w:val="24"/>
        </w:rPr>
      </w:pPr>
      <w:r>
        <w:rPr>
          <w:b/>
          <w:sz w:val="24"/>
          <w:szCs w:val="24"/>
        </w:rPr>
        <w:t>RESUMO</w:t>
      </w:r>
    </w:p>
    <w:p w14:paraId="4158915D" w14:textId="1F892783" w:rsidR="0023645A" w:rsidRDefault="0023645A" w:rsidP="0023645A">
      <w:pPr>
        <w:shd w:val="clear" w:color="auto" w:fill="FFFFFF"/>
        <w:tabs>
          <w:tab w:val="left" w:pos="0"/>
        </w:tabs>
        <w:spacing w:after="240" w:line="360" w:lineRule="auto"/>
        <w:jc w:val="both"/>
        <w:rPr>
          <w:sz w:val="24"/>
          <w:szCs w:val="24"/>
        </w:rPr>
      </w:pPr>
      <w:r w:rsidRPr="00F76969">
        <w:rPr>
          <w:b/>
          <w:bCs/>
          <w:sz w:val="24"/>
          <w:szCs w:val="24"/>
        </w:rPr>
        <w:t>Introdução:</w:t>
      </w:r>
      <w:r>
        <w:rPr>
          <w:sz w:val="24"/>
          <w:szCs w:val="24"/>
        </w:rPr>
        <w:t xml:space="preserve"> </w:t>
      </w:r>
      <w:r w:rsidR="00EF04E1" w:rsidRPr="00EF04E1">
        <w:rPr>
          <w:sz w:val="24"/>
          <w:szCs w:val="24"/>
        </w:rPr>
        <w:t>A febre tifoide é uma doença infecciosa potencialmente grave</w:t>
      </w:r>
      <w:r w:rsidR="0094341F">
        <w:rPr>
          <w:sz w:val="24"/>
          <w:szCs w:val="24"/>
        </w:rPr>
        <w:t xml:space="preserve"> que vem se mostrando com comportamento emergente e reemergente</w:t>
      </w:r>
      <w:r w:rsidR="00EF04E1" w:rsidRPr="00EF04E1">
        <w:rPr>
          <w:sz w:val="24"/>
          <w:szCs w:val="24"/>
        </w:rPr>
        <w:t xml:space="preserve">, causada pela bactéria, </w:t>
      </w:r>
      <w:r w:rsidR="00EF04E1" w:rsidRPr="00EF04E1">
        <w:rPr>
          <w:i/>
          <w:iCs/>
          <w:sz w:val="24"/>
          <w:szCs w:val="24"/>
        </w:rPr>
        <w:t>Salmonella entérica</w:t>
      </w:r>
      <w:r w:rsidR="00EF04E1" w:rsidRPr="00EF04E1">
        <w:rPr>
          <w:iCs/>
          <w:sz w:val="24"/>
          <w:szCs w:val="24"/>
        </w:rPr>
        <w:t>sorotipo Typhi</w:t>
      </w:r>
      <w:r w:rsidR="00EF04E1" w:rsidRPr="00EF04E1">
        <w:rPr>
          <w:sz w:val="24"/>
          <w:szCs w:val="24"/>
        </w:rPr>
        <w:t>, manifestada por quadro de febre prolongada acompanhada de distúrbios intestinais, que podem evoluir com complicações como perfuração intestinal podendo levar ao óbito. A transmissão é por via fecal-oral, através do consumo de água e alimentos contaminados, com maior prevalência em regiões com precárias condições de saneamento básico. No Estado do Pará, surtos de febre tifoide vêm sendo frequentemente registrados, por se tratar de área endêmica para a doença.</w:t>
      </w:r>
      <w:r w:rsidR="00C51CE4" w:rsidRPr="00C51CE4">
        <w:rPr>
          <w:rFonts w:ascii="Arial" w:eastAsia="MS Mincho" w:hAnsi="Arial" w:cs="Arial"/>
          <w:sz w:val="24"/>
          <w:szCs w:val="24"/>
          <w:lang w:eastAsia="ja-JP"/>
        </w:rPr>
        <w:t xml:space="preserve"> </w:t>
      </w:r>
      <w:r w:rsidR="00C51CE4" w:rsidRPr="00C51CE4">
        <w:rPr>
          <w:sz w:val="24"/>
          <w:szCs w:val="24"/>
        </w:rPr>
        <w:t>A doença acomete com maior frequência indivíduos entre 15 e 45 anos de idade em área endêmica, e está diretamente relacionada com as condições sanitárias precárias e aos hábitos de higienização, como manuseio de alimentos e água contaminados com as fezes de portadores assintomáticos e, mais raramente, de doentes (</w:t>
      </w:r>
      <w:r w:rsidR="00C51CE4" w:rsidRPr="00C51CE4">
        <w:rPr>
          <w:bCs/>
          <w:iCs/>
          <w:sz w:val="24"/>
          <w:szCs w:val="24"/>
        </w:rPr>
        <w:t>SHINOHARA et al., 2008)</w:t>
      </w:r>
      <w:r w:rsidR="00C51CE4" w:rsidRPr="00C51CE4">
        <w:rPr>
          <w:sz w:val="24"/>
          <w:szCs w:val="24"/>
        </w:rPr>
        <w:t xml:space="preserve">. </w:t>
      </w:r>
      <w:r w:rsidR="0027559C">
        <w:rPr>
          <w:sz w:val="24"/>
          <w:szCs w:val="24"/>
        </w:rPr>
        <w:t>No Estado do Pará o</w:t>
      </w:r>
      <w:r w:rsidR="0087311F" w:rsidRPr="0087311F">
        <w:rPr>
          <w:sz w:val="24"/>
          <w:szCs w:val="24"/>
        </w:rPr>
        <w:t xml:space="preserve">s primeiros registros da doença foram feitos </w:t>
      </w:r>
      <w:r w:rsidR="00B95973">
        <w:rPr>
          <w:sz w:val="24"/>
          <w:szCs w:val="24"/>
        </w:rPr>
        <w:t>no ano de 1985</w:t>
      </w:r>
      <w:r w:rsidR="0087311F" w:rsidRPr="0087311F">
        <w:rPr>
          <w:sz w:val="24"/>
          <w:szCs w:val="24"/>
        </w:rPr>
        <w:t xml:space="preserve"> com 281 </w:t>
      </w:r>
      <w:r w:rsidR="0087311F" w:rsidRPr="0087311F">
        <w:rPr>
          <w:sz w:val="24"/>
          <w:szCs w:val="24"/>
        </w:rPr>
        <w:lastRenderedPageBreak/>
        <w:t xml:space="preserve">casos </w:t>
      </w:r>
      <w:r w:rsidR="00B95973">
        <w:rPr>
          <w:sz w:val="24"/>
          <w:szCs w:val="24"/>
        </w:rPr>
        <w:t>notificados</w:t>
      </w:r>
      <w:r w:rsidR="0087311F" w:rsidRPr="0087311F">
        <w:rPr>
          <w:sz w:val="24"/>
          <w:szCs w:val="24"/>
        </w:rPr>
        <w:t xml:space="preserve">. Em seguida, no final da década de 1980, ocorreram surtos nos municípios de Marabá e Abaetetuba seguido de outros relatos nos municípios de Óbidos em 1997, Mojú em 1999 e Anajás em 2001 com 61, 72 e 79 casos identificados da doença, respectivamente (LOUREIRO et al., 2000). No período de 1991 a 2008 identificaram-se 835 casos de salmonelose em 43 municípios do Estado do Pará, dos quais 492 (58,9%) representaram casos de febre tifoide. Dos 47 sorotipos de </w:t>
      </w:r>
      <w:r w:rsidR="0087311F" w:rsidRPr="0087311F">
        <w:rPr>
          <w:i/>
          <w:sz w:val="24"/>
          <w:szCs w:val="24"/>
        </w:rPr>
        <w:t>Salmonella</w:t>
      </w:r>
      <w:r w:rsidR="0087311F" w:rsidRPr="0087311F">
        <w:rPr>
          <w:sz w:val="24"/>
          <w:szCs w:val="24"/>
        </w:rPr>
        <w:t xml:space="preserve"> identificados, a </w:t>
      </w:r>
      <w:r w:rsidR="0087311F" w:rsidRPr="0087311F">
        <w:rPr>
          <w:i/>
          <w:iCs/>
          <w:sz w:val="24"/>
          <w:szCs w:val="24"/>
        </w:rPr>
        <w:t>S</w:t>
      </w:r>
      <w:r w:rsidR="0087311F" w:rsidRPr="0087311F">
        <w:rPr>
          <w:sz w:val="24"/>
          <w:szCs w:val="24"/>
        </w:rPr>
        <w:t xml:space="preserve">. Typhi foi a mais frequente com 77,8%, demonstrando assim a importância epidemiológica da febre tifoide na região (LOUREIRO et al., 2010). </w:t>
      </w:r>
      <w:r w:rsidRPr="00F76969">
        <w:rPr>
          <w:b/>
          <w:bCs/>
          <w:sz w:val="24"/>
          <w:szCs w:val="24"/>
        </w:rPr>
        <w:t>Objetivo:</w:t>
      </w:r>
      <w:r>
        <w:rPr>
          <w:sz w:val="24"/>
          <w:szCs w:val="24"/>
        </w:rPr>
        <w:t xml:space="preserve"> </w:t>
      </w:r>
      <w:r w:rsidR="00C51CE4" w:rsidRPr="00C51CE4">
        <w:rPr>
          <w:sz w:val="24"/>
          <w:szCs w:val="24"/>
        </w:rPr>
        <w:t>O objetivo do trabalho foi analisar o perfil epidemiológico da febre tifoide</w:t>
      </w:r>
      <w:r w:rsidR="00C51CE4">
        <w:rPr>
          <w:sz w:val="24"/>
          <w:szCs w:val="24"/>
        </w:rPr>
        <w:t xml:space="preserve"> no Brasil</w:t>
      </w:r>
      <w:r>
        <w:rPr>
          <w:sz w:val="24"/>
          <w:szCs w:val="24"/>
        </w:rPr>
        <w:t xml:space="preserve">. </w:t>
      </w:r>
      <w:r w:rsidRPr="00F76969">
        <w:rPr>
          <w:b/>
          <w:bCs/>
          <w:sz w:val="24"/>
          <w:szCs w:val="24"/>
        </w:rPr>
        <w:t>Metodologia:</w:t>
      </w:r>
      <w:r>
        <w:rPr>
          <w:sz w:val="24"/>
          <w:szCs w:val="24"/>
        </w:rPr>
        <w:t xml:space="preserve"> </w:t>
      </w:r>
      <w:r w:rsidR="0087311F">
        <w:rPr>
          <w:sz w:val="24"/>
          <w:szCs w:val="24"/>
        </w:rPr>
        <w:t>Trata-se de um estudo descritivo</w:t>
      </w:r>
      <w:r w:rsidR="006A628F">
        <w:rPr>
          <w:sz w:val="24"/>
          <w:szCs w:val="24"/>
        </w:rPr>
        <w:t xml:space="preserve"> comparativo</w:t>
      </w:r>
      <w:r w:rsidR="0087311F">
        <w:rPr>
          <w:sz w:val="24"/>
          <w:szCs w:val="24"/>
        </w:rPr>
        <w:t xml:space="preserve"> a partir do levantamento de informações sobre </w:t>
      </w:r>
      <w:r w:rsidR="0030166F">
        <w:rPr>
          <w:sz w:val="24"/>
          <w:szCs w:val="24"/>
        </w:rPr>
        <w:t>a febre tifoide na Região Norte do Brasil</w:t>
      </w:r>
      <w:r w:rsidR="005C3D3D">
        <w:rPr>
          <w:sz w:val="24"/>
          <w:szCs w:val="24"/>
        </w:rPr>
        <w:t xml:space="preserve"> </w:t>
      </w:r>
      <w:r w:rsidR="005C3D3D" w:rsidRPr="005C3D3D">
        <w:rPr>
          <w:sz w:val="24"/>
          <w:szCs w:val="24"/>
        </w:rPr>
        <w:t>com base nos dados do Ministério da Saúde/SVS - Sistema de Informação de Agravos de Notificação - Sinan Net, vinculado ao Centro de Vigilância Epidemiológica</w:t>
      </w:r>
      <w:r w:rsidR="005C3D3D">
        <w:rPr>
          <w:sz w:val="24"/>
          <w:szCs w:val="24"/>
        </w:rPr>
        <w:t xml:space="preserve">, </w:t>
      </w:r>
      <w:r w:rsidR="006A628F">
        <w:rPr>
          <w:sz w:val="24"/>
          <w:szCs w:val="24"/>
        </w:rPr>
        <w:t>consider</w:t>
      </w:r>
      <w:r w:rsidR="0027559C">
        <w:rPr>
          <w:sz w:val="24"/>
          <w:szCs w:val="24"/>
        </w:rPr>
        <w:t>ando</w:t>
      </w:r>
      <w:r w:rsidR="006A628F">
        <w:rPr>
          <w:sz w:val="24"/>
          <w:szCs w:val="24"/>
        </w:rPr>
        <w:t xml:space="preserve"> também, a faixa etária como filtro.</w:t>
      </w:r>
      <w:r>
        <w:rPr>
          <w:sz w:val="24"/>
          <w:szCs w:val="24"/>
        </w:rPr>
        <w:t xml:space="preserve"> </w:t>
      </w:r>
      <w:r w:rsidRPr="0023388A">
        <w:rPr>
          <w:b/>
          <w:bCs/>
          <w:sz w:val="24"/>
          <w:szCs w:val="24"/>
        </w:rPr>
        <w:t>Resultados e Discussão:</w:t>
      </w:r>
      <w:r>
        <w:rPr>
          <w:sz w:val="24"/>
          <w:szCs w:val="24"/>
        </w:rPr>
        <w:t xml:space="preserve"> </w:t>
      </w:r>
      <w:r w:rsidR="001D1E4B" w:rsidRPr="001D1E4B">
        <w:rPr>
          <w:sz w:val="24"/>
          <w:szCs w:val="24"/>
        </w:rPr>
        <w:t xml:space="preserve">Foram analisados 773 casos confirmados de febre tifoide no Brasil durante o período de 2010 a 2015, sendo no Estado do Pará 297 casos positivos desse total. </w:t>
      </w:r>
      <w:r w:rsidR="001D1E4B">
        <w:rPr>
          <w:sz w:val="24"/>
          <w:szCs w:val="24"/>
        </w:rPr>
        <w:t xml:space="preserve">Quando comparados com dados atuais entre 2019 – 2023 foi possível observar que na Região Norte foram notificados 118 casos de febre </w:t>
      </w:r>
      <w:r w:rsidR="00BA5DE4">
        <w:rPr>
          <w:sz w:val="24"/>
          <w:szCs w:val="24"/>
        </w:rPr>
        <w:t>tifoide, dos quais 62 foram de notificação apenas no Pará</w:t>
      </w:r>
      <w:r w:rsidR="006A628F">
        <w:rPr>
          <w:sz w:val="24"/>
          <w:szCs w:val="24"/>
        </w:rPr>
        <w:t xml:space="preserve">, o que representa 52,54% de casos notificados. </w:t>
      </w:r>
      <w:r w:rsidRPr="0023388A">
        <w:rPr>
          <w:b/>
          <w:bCs/>
          <w:sz w:val="24"/>
          <w:szCs w:val="24"/>
        </w:rPr>
        <w:t>Conclusão:</w:t>
      </w:r>
      <w:r>
        <w:rPr>
          <w:sz w:val="24"/>
          <w:szCs w:val="24"/>
        </w:rPr>
        <w:t xml:space="preserve"> </w:t>
      </w:r>
      <w:r w:rsidR="006A628F" w:rsidRPr="006A628F">
        <w:rPr>
          <w:sz w:val="24"/>
          <w:szCs w:val="24"/>
        </w:rPr>
        <w:t>A maioria dos casos ocorreu entre os adultos jovens, na faixa etária de 20 a 39 anos. A maior prevalência foi</w:t>
      </w:r>
      <w:r w:rsidR="006A628F">
        <w:rPr>
          <w:sz w:val="24"/>
          <w:szCs w:val="24"/>
        </w:rPr>
        <w:t xml:space="preserve"> no Pará com 62 casos. Entretanto quando comparamos os dois períodos</w:t>
      </w:r>
      <w:r w:rsidR="001212F4">
        <w:rPr>
          <w:sz w:val="24"/>
          <w:szCs w:val="24"/>
        </w:rPr>
        <w:t xml:space="preserve">, é possível perceber que </w:t>
      </w:r>
      <w:r w:rsidR="00CD7E10">
        <w:rPr>
          <w:sz w:val="24"/>
          <w:szCs w:val="24"/>
        </w:rPr>
        <w:t>a</w:t>
      </w:r>
      <w:r w:rsidR="001212F4">
        <w:rPr>
          <w:sz w:val="24"/>
          <w:szCs w:val="24"/>
        </w:rPr>
        <w:t xml:space="preserve"> infecção vem declinando o número de casos notificados, o que pode estar associados a melhores condições de vida a população, com maior aumento de acesso a saneamento básico, </w:t>
      </w:r>
      <w:r w:rsidR="001212F4" w:rsidRPr="001212F4">
        <w:rPr>
          <w:sz w:val="24"/>
          <w:szCs w:val="24"/>
        </w:rPr>
        <w:t>pois desempenham um papel vital na prevenção de doenças e na preservação do meio ambiente</w:t>
      </w:r>
      <w:r w:rsidR="00CD7E10">
        <w:rPr>
          <w:sz w:val="24"/>
          <w:szCs w:val="24"/>
        </w:rPr>
        <w:t>, demonstrando necessidade de mais estudos sobre está temática.</w:t>
      </w:r>
    </w:p>
    <w:p w14:paraId="7DCD7ABE" w14:textId="406C51A7" w:rsidR="0023645A" w:rsidRPr="00EF04E1" w:rsidRDefault="0023645A" w:rsidP="0023645A">
      <w:pPr>
        <w:shd w:val="clear" w:color="auto" w:fill="FFFFFF"/>
        <w:tabs>
          <w:tab w:val="left" w:pos="2500"/>
        </w:tabs>
        <w:spacing w:after="240" w:line="360" w:lineRule="auto"/>
        <w:jc w:val="both"/>
        <w:rPr>
          <w:bCs/>
          <w:color w:val="FF0000"/>
          <w:sz w:val="24"/>
          <w:szCs w:val="24"/>
        </w:rPr>
      </w:pPr>
      <w:r>
        <w:rPr>
          <w:b/>
          <w:sz w:val="24"/>
          <w:szCs w:val="24"/>
        </w:rPr>
        <w:t xml:space="preserve">Palavras-chave: </w:t>
      </w:r>
      <w:r w:rsidR="00EF04E1" w:rsidRPr="00EF04E1">
        <w:rPr>
          <w:bCs/>
          <w:sz w:val="24"/>
          <w:szCs w:val="24"/>
        </w:rPr>
        <w:t>Febre</w:t>
      </w:r>
      <w:r w:rsidR="00EF04E1">
        <w:rPr>
          <w:bCs/>
          <w:sz w:val="24"/>
          <w:szCs w:val="24"/>
        </w:rPr>
        <w:t>;</w:t>
      </w:r>
      <w:r w:rsidR="00EF04E1" w:rsidRPr="00EF04E1">
        <w:rPr>
          <w:bCs/>
          <w:sz w:val="24"/>
          <w:szCs w:val="24"/>
        </w:rPr>
        <w:t xml:space="preserve"> </w:t>
      </w:r>
      <w:r w:rsidR="00EF04E1" w:rsidRPr="00EF04E1">
        <w:rPr>
          <w:bCs/>
          <w:i/>
          <w:sz w:val="24"/>
          <w:szCs w:val="24"/>
        </w:rPr>
        <w:t xml:space="preserve">Salmonella </w:t>
      </w:r>
      <w:r w:rsidR="00EF04E1" w:rsidRPr="00EF04E1">
        <w:rPr>
          <w:bCs/>
          <w:sz w:val="24"/>
          <w:szCs w:val="24"/>
        </w:rPr>
        <w:t>Typhi</w:t>
      </w:r>
      <w:r w:rsidR="00EF04E1">
        <w:rPr>
          <w:bCs/>
          <w:sz w:val="24"/>
          <w:szCs w:val="24"/>
        </w:rPr>
        <w:t xml:space="preserve">; </w:t>
      </w:r>
      <w:r w:rsidR="00B675F5">
        <w:rPr>
          <w:bCs/>
          <w:sz w:val="24"/>
          <w:szCs w:val="24"/>
        </w:rPr>
        <w:t xml:space="preserve">Transmissão; </w:t>
      </w:r>
      <w:r w:rsidR="001636B1">
        <w:rPr>
          <w:bCs/>
          <w:sz w:val="24"/>
          <w:szCs w:val="24"/>
        </w:rPr>
        <w:t>Doença reemergente.</w:t>
      </w:r>
    </w:p>
    <w:p w14:paraId="2996200D" w14:textId="77777777" w:rsidR="00200132" w:rsidRDefault="00200132" w:rsidP="0023645A">
      <w:pPr>
        <w:shd w:val="clear" w:color="auto" w:fill="FFFFFF"/>
        <w:tabs>
          <w:tab w:val="left" w:pos="2500"/>
        </w:tabs>
        <w:spacing w:line="360" w:lineRule="auto"/>
        <w:jc w:val="both"/>
        <w:rPr>
          <w:b/>
          <w:bCs/>
          <w:sz w:val="24"/>
          <w:szCs w:val="24"/>
        </w:rPr>
      </w:pPr>
    </w:p>
    <w:p w14:paraId="790E1E3F" w14:textId="77777777" w:rsidR="00200132" w:rsidRDefault="00200132" w:rsidP="0023645A">
      <w:pPr>
        <w:shd w:val="clear" w:color="auto" w:fill="FFFFFF"/>
        <w:tabs>
          <w:tab w:val="left" w:pos="2500"/>
        </w:tabs>
        <w:spacing w:line="360" w:lineRule="auto"/>
        <w:jc w:val="both"/>
        <w:rPr>
          <w:b/>
          <w:bCs/>
          <w:sz w:val="24"/>
          <w:szCs w:val="24"/>
        </w:rPr>
      </w:pPr>
    </w:p>
    <w:p w14:paraId="217DDC00" w14:textId="77777777" w:rsidR="00200132" w:rsidRDefault="00200132" w:rsidP="0023645A">
      <w:pPr>
        <w:shd w:val="clear" w:color="auto" w:fill="FFFFFF"/>
        <w:tabs>
          <w:tab w:val="left" w:pos="2500"/>
        </w:tabs>
        <w:spacing w:line="360" w:lineRule="auto"/>
        <w:jc w:val="both"/>
        <w:rPr>
          <w:b/>
          <w:bCs/>
          <w:sz w:val="24"/>
          <w:szCs w:val="24"/>
        </w:rPr>
      </w:pPr>
    </w:p>
    <w:p w14:paraId="5899AF26" w14:textId="2DAB58E4" w:rsidR="007449E8" w:rsidRPr="00CC1F4C" w:rsidRDefault="007449E8" w:rsidP="0023645A">
      <w:pPr>
        <w:shd w:val="clear" w:color="auto" w:fill="FFFFFF"/>
        <w:tabs>
          <w:tab w:val="left" w:pos="2500"/>
        </w:tabs>
        <w:spacing w:line="360" w:lineRule="auto"/>
        <w:jc w:val="both"/>
        <w:rPr>
          <w:b/>
          <w:bCs/>
          <w:sz w:val="24"/>
          <w:szCs w:val="24"/>
        </w:rPr>
      </w:pPr>
      <w:r w:rsidRPr="00CC1F4C">
        <w:rPr>
          <w:b/>
          <w:bCs/>
          <w:sz w:val="24"/>
          <w:szCs w:val="24"/>
        </w:rPr>
        <w:lastRenderedPageBreak/>
        <w:t>REFERÊNCIAS:</w:t>
      </w:r>
    </w:p>
    <w:p w14:paraId="78A2ECA5" w14:textId="77777777" w:rsidR="00200132" w:rsidRPr="00200132" w:rsidRDefault="00200132" w:rsidP="00200132">
      <w:pPr>
        <w:pStyle w:val="NormalWeb"/>
        <w:spacing w:before="0" w:after="0" w:line="276" w:lineRule="auto"/>
        <w:jc w:val="both"/>
        <w:rPr>
          <w:shd w:val="clear" w:color="auto" w:fill="FFFFFF"/>
        </w:rPr>
      </w:pPr>
    </w:p>
    <w:p w14:paraId="59637455" w14:textId="54F3B396" w:rsidR="00200132" w:rsidRDefault="00200132" w:rsidP="00200132">
      <w:pPr>
        <w:pStyle w:val="NormalWeb"/>
        <w:spacing w:before="0" w:after="0" w:line="276" w:lineRule="auto"/>
        <w:jc w:val="both"/>
        <w:rPr>
          <w:shd w:val="clear" w:color="auto" w:fill="FFFFFF"/>
        </w:rPr>
      </w:pPr>
      <w:r w:rsidRPr="00200132">
        <w:rPr>
          <w:shd w:val="clear" w:color="auto" w:fill="FFFFFF"/>
        </w:rPr>
        <w:t>LOUREIRO, E.C.B.; SÁ, L.L.C.; RAMOS, F.L.I.P.; VICENTE, A.C.P. Diagnóstico de</w:t>
      </w:r>
      <w:r w:rsidRPr="00200132">
        <w:rPr>
          <w:rStyle w:val="apple-converted-space"/>
          <w:shd w:val="clear" w:color="auto" w:fill="FFFFFF"/>
        </w:rPr>
        <w:t> </w:t>
      </w:r>
      <w:r w:rsidRPr="00200132">
        <w:rPr>
          <w:i/>
          <w:iCs/>
          <w:shd w:val="clear" w:color="auto" w:fill="FFFFFF"/>
        </w:rPr>
        <w:t>Salmonella</w:t>
      </w:r>
      <w:r w:rsidRPr="00200132">
        <w:rPr>
          <w:rStyle w:val="apple-converted-space"/>
          <w:i/>
          <w:iCs/>
          <w:shd w:val="clear" w:color="auto" w:fill="FFFFFF"/>
        </w:rPr>
        <w:t> </w:t>
      </w:r>
      <w:r w:rsidRPr="00200132">
        <w:rPr>
          <w:shd w:val="clear" w:color="auto" w:fill="FFFFFF"/>
        </w:rPr>
        <w:t xml:space="preserve">Typhi em amostras ambientais por PCR, durante surto de febre tifoide ocorrido em Moju-Pa. </w:t>
      </w:r>
      <w:r w:rsidRPr="00200132">
        <w:rPr>
          <w:b/>
          <w:shd w:val="clear" w:color="auto" w:fill="FFFFFF"/>
        </w:rPr>
        <w:t>RevSocBrasMed Trop</w:t>
      </w:r>
      <w:r>
        <w:rPr>
          <w:shd w:val="clear" w:color="auto" w:fill="FFFFFF"/>
        </w:rPr>
        <w:t>,</w:t>
      </w:r>
      <w:r w:rsidRPr="00200132">
        <w:rPr>
          <w:shd w:val="clear" w:color="auto" w:fill="FFFFFF"/>
        </w:rPr>
        <w:t xml:space="preserve"> p. 33</w:t>
      </w:r>
      <w:r>
        <w:rPr>
          <w:shd w:val="clear" w:color="auto" w:fill="FFFFFF"/>
        </w:rPr>
        <w:t xml:space="preserve">, </w:t>
      </w:r>
      <w:r w:rsidRPr="00200132">
        <w:rPr>
          <w:shd w:val="clear" w:color="auto" w:fill="FFFFFF"/>
        </w:rPr>
        <w:t xml:space="preserve">2000. </w:t>
      </w:r>
    </w:p>
    <w:p w14:paraId="243D5E41" w14:textId="6155B881" w:rsidR="00200132" w:rsidRDefault="00200132" w:rsidP="00200132">
      <w:pPr>
        <w:pStyle w:val="NormalWeb"/>
        <w:spacing w:before="0" w:after="0" w:line="276" w:lineRule="auto"/>
        <w:jc w:val="both"/>
        <w:rPr>
          <w:shd w:val="clear" w:color="auto" w:fill="FFFFFF"/>
        </w:rPr>
      </w:pPr>
    </w:p>
    <w:p w14:paraId="30942559" w14:textId="3E69A42B" w:rsidR="00200132" w:rsidRDefault="00200132" w:rsidP="00200132">
      <w:pPr>
        <w:pStyle w:val="NormalWeb"/>
        <w:spacing w:before="0" w:after="0" w:line="276" w:lineRule="auto"/>
        <w:jc w:val="both"/>
        <w:rPr>
          <w:shd w:val="clear" w:color="auto" w:fill="FFFFFF"/>
        </w:rPr>
      </w:pPr>
      <w:r w:rsidRPr="00200132">
        <w:rPr>
          <w:shd w:val="clear" w:color="auto" w:fill="FFFFFF"/>
        </w:rPr>
        <w:t>LOUREIRO, E.C.B.; MARQUES, N.D.B.; RAMOS, F.L.P.; REIS, E.M.F.; RODRIGUES, D.P.; HOFER, E. Sorovares de</w:t>
      </w:r>
      <w:r w:rsidRPr="00200132">
        <w:rPr>
          <w:rStyle w:val="apple-converted-space"/>
          <w:shd w:val="clear" w:color="auto" w:fill="FFFFFF"/>
        </w:rPr>
        <w:t> </w:t>
      </w:r>
      <w:r w:rsidRPr="00200132">
        <w:rPr>
          <w:i/>
          <w:iCs/>
          <w:shd w:val="clear" w:color="auto" w:fill="FFFFFF"/>
        </w:rPr>
        <w:t>Salmonella</w:t>
      </w:r>
      <w:r w:rsidRPr="00200132">
        <w:rPr>
          <w:rStyle w:val="apple-converted-space"/>
          <w:i/>
          <w:iCs/>
          <w:shd w:val="clear" w:color="auto" w:fill="FFFFFF"/>
        </w:rPr>
        <w:t> </w:t>
      </w:r>
      <w:r w:rsidRPr="00200132">
        <w:rPr>
          <w:shd w:val="clear" w:color="auto" w:fill="FFFFFF"/>
        </w:rPr>
        <w:t xml:space="preserve">de origem humana identificados no Estado do Pará, Brasil, no período de 1991 a 2008. </w:t>
      </w:r>
      <w:r w:rsidRPr="00200132">
        <w:rPr>
          <w:b/>
          <w:shd w:val="clear" w:color="auto" w:fill="FFFFFF"/>
        </w:rPr>
        <w:t>RevPan-AmazSaude</w:t>
      </w:r>
      <w:r>
        <w:rPr>
          <w:b/>
          <w:shd w:val="clear" w:color="auto" w:fill="FFFFFF"/>
        </w:rPr>
        <w:t>,</w:t>
      </w:r>
      <w:r w:rsidRPr="00200132">
        <w:rPr>
          <w:shd w:val="clear" w:color="auto" w:fill="FFFFFF"/>
        </w:rPr>
        <w:t xml:space="preserve"> </w:t>
      </w:r>
      <w:r w:rsidRPr="00200132">
        <w:rPr>
          <w:rStyle w:val="apple-converted-space"/>
          <w:shd w:val="clear" w:color="auto" w:fill="FFFFFF"/>
        </w:rPr>
        <w:t>p. 93-100</w:t>
      </w:r>
      <w:r>
        <w:rPr>
          <w:rStyle w:val="apple-converted-space"/>
          <w:shd w:val="clear" w:color="auto" w:fill="FFFFFF"/>
        </w:rPr>
        <w:t xml:space="preserve">, </w:t>
      </w:r>
      <w:r w:rsidRPr="00200132">
        <w:rPr>
          <w:shd w:val="clear" w:color="auto" w:fill="FFFFFF"/>
        </w:rPr>
        <w:t>2010</w:t>
      </w:r>
      <w:r w:rsidRPr="00200132">
        <w:rPr>
          <w:rStyle w:val="apple-converted-space"/>
          <w:shd w:val="clear" w:color="auto" w:fill="FFFFFF"/>
        </w:rPr>
        <w:t>.</w:t>
      </w:r>
    </w:p>
    <w:p w14:paraId="0A0E413E" w14:textId="77777777" w:rsidR="00200132" w:rsidRPr="00200132" w:rsidRDefault="00200132" w:rsidP="00200132">
      <w:pPr>
        <w:pStyle w:val="NormalWeb"/>
        <w:jc w:val="both"/>
        <w:rPr>
          <w:shd w:val="clear" w:color="auto" w:fill="FFFFFF"/>
        </w:rPr>
      </w:pPr>
      <w:r w:rsidRPr="00200132">
        <w:rPr>
          <w:bCs/>
          <w:iCs/>
          <w:shd w:val="clear" w:color="auto" w:fill="FFFFFF"/>
        </w:rPr>
        <w:t>SHINOHARA, N.K.S.; BARROS, V.B.; JIMENEZ, S.M.C.; MACHADO, E.C.L.; DUTRAS, R.A.F.; LIMA, J.L.F.</w:t>
      </w:r>
      <w:r w:rsidRPr="00200132">
        <w:rPr>
          <w:bCs/>
          <w:i/>
          <w:iCs/>
          <w:shd w:val="clear" w:color="auto" w:fill="FFFFFF"/>
        </w:rPr>
        <w:t>Salmonella</w:t>
      </w:r>
      <w:r w:rsidRPr="00200132">
        <w:rPr>
          <w:shd w:val="clear" w:color="auto" w:fill="FFFFFF"/>
        </w:rPr>
        <w:t> </w:t>
      </w:r>
      <w:r w:rsidRPr="00200132">
        <w:rPr>
          <w:bCs/>
          <w:shd w:val="clear" w:color="auto" w:fill="FFFFFF"/>
        </w:rPr>
        <w:t>spp., importante agente patogênico veiculado em alimentos.</w:t>
      </w:r>
      <w:r w:rsidRPr="00200132">
        <w:rPr>
          <w:b/>
          <w:shd w:val="clear" w:color="auto" w:fill="FFFFFF"/>
        </w:rPr>
        <w:t>Ciênc. Saúde coletiva</w:t>
      </w:r>
      <w:r w:rsidRPr="00200132">
        <w:rPr>
          <w:shd w:val="clear" w:color="auto" w:fill="FFFFFF"/>
        </w:rPr>
        <w:t> vol.13 no.5 Rio de Janeiro Sept./Oct. 2008.</w:t>
      </w:r>
    </w:p>
    <w:p w14:paraId="6815CF24" w14:textId="77777777" w:rsidR="00200132" w:rsidRPr="00200132" w:rsidRDefault="00200132" w:rsidP="00200132">
      <w:pPr>
        <w:pStyle w:val="NormalWeb"/>
        <w:spacing w:before="0" w:after="0" w:line="276" w:lineRule="auto"/>
        <w:jc w:val="both"/>
        <w:rPr>
          <w:shd w:val="clear" w:color="auto" w:fill="FFFFFF"/>
        </w:rPr>
      </w:pPr>
    </w:p>
    <w:p w14:paraId="285B138D" w14:textId="77777777" w:rsidR="0019073B" w:rsidRDefault="0019073B" w:rsidP="007449E8">
      <w:pPr>
        <w:shd w:val="clear" w:color="auto" w:fill="FFFFFF"/>
        <w:tabs>
          <w:tab w:val="left" w:pos="2500"/>
        </w:tabs>
        <w:rPr>
          <w:color w:val="0070C0"/>
          <w:sz w:val="24"/>
          <w:szCs w:val="24"/>
        </w:rPr>
      </w:pPr>
    </w:p>
    <w:p w14:paraId="62D4FEDA" w14:textId="77777777" w:rsidR="007449E8" w:rsidRDefault="007449E8" w:rsidP="007449E8">
      <w:pPr>
        <w:shd w:val="clear" w:color="auto" w:fill="FFFFFF"/>
        <w:tabs>
          <w:tab w:val="left" w:pos="2500"/>
        </w:tabs>
        <w:rPr>
          <w:color w:val="0070C0"/>
          <w:sz w:val="24"/>
          <w:szCs w:val="24"/>
        </w:rPr>
      </w:pPr>
    </w:p>
    <w:p w14:paraId="17088A97" w14:textId="77777777" w:rsidR="007449E8" w:rsidRDefault="007449E8" w:rsidP="007449E8">
      <w:pPr>
        <w:shd w:val="clear" w:color="auto" w:fill="FFFFFF"/>
        <w:tabs>
          <w:tab w:val="left" w:pos="2500"/>
        </w:tabs>
      </w:pPr>
    </w:p>
    <w:p w14:paraId="4A1997AF" w14:textId="68276F37" w:rsidR="002A5AD6" w:rsidRDefault="002A5AD6" w:rsidP="0023645A">
      <w:pPr>
        <w:spacing w:line="360" w:lineRule="auto"/>
        <w:jc w:val="both"/>
      </w:pPr>
    </w:p>
    <w:sectPr w:rsidR="002A5AD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1F27" w14:textId="77777777" w:rsidR="002921F5" w:rsidRDefault="002921F5" w:rsidP="00495569">
      <w:r>
        <w:separator/>
      </w:r>
    </w:p>
  </w:endnote>
  <w:endnote w:type="continuationSeparator" w:id="0">
    <w:p w14:paraId="23BA3F6B" w14:textId="77777777" w:rsidR="002921F5" w:rsidRDefault="002921F5" w:rsidP="0049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5FFE" w14:textId="0EBE063E" w:rsidR="00290F74" w:rsidRDefault="009E7A7D">
    <w:pPr>
      <w:pStyle w:val="Rodap"/>
    </w:pPr>
    <w:r>
      <w:rPr>
        <w:noProof/>
      </w:rPr>
      <mc:AlternateContent>
        <mc:Choice Requires="wps">
          <w:drawing>
            <wp:anchor distT="0" distB="0" distL="114300" distR="114300" simplePos="0" relativeHeight="251664384" behindDoc="0" locked="0" layoutInCell="1" allowOverlap="1" wp14:anchorId="327A1558" wp14:editId="14787454">
              <wp:simplePos x="0" y="0"/>
              <wp:positionH relativeFrom="column">
                <wp:posOffset>4360545</wp:posOffset>
              </wp:positionH>
              <wp:positionV relativeFrom="paragraph">
                <wp:posOffset>64135</wp:posOffset>
              </wp:positionV>
              <wp:extent cx="929640" cy="304800"/>
              <wp:effectExtent l="0" t="0" r="3810" b="0"/>
              <wp:wrapNone/>
              <wp:docPr id="429833106" name="Caixa de Texto 2"/>
              <wp:cNvGraphicFramePr/>
              <a:graphic xmlns:a="http://schemas.openxmlformats.org/drawingml/2006/main">
                <a:graphicData uri="http://schemas.microsoft.com/office/word/2010/wordprocessingShape">
                  <wps:wsp>
                    <wps:cNvSpPr txBox="1"/>
                    <wps:spPr>
                      <a:xfrm>
                        <a:off x="0" y="0"/>
                        <a:ext cx="929640" cy="304800"/>
                      </a:xfrm>
                      <a:prstGeom prst="rect">
                        <a:avLst/>
                      </a:prstGeom>
                      <a:solidFill>
                        <a:schemeClr val="lt1"/>
                      </a:solidFill>
                      <a:ln w="6350">
                        <a:noFill/>
                      </a:ln>
                    </wps:spPr>
                    <wps:txbx>
                      <w:txbxContent>
                        <w:p w14:paraId="1EBB26C4" w14:textId="6FFFB501" w:rsidR="00290F74" w:rsidRPr="00290F74" w:rsidRDefault="00290F74" w:rsidP="00290F74">
                          <w:pPr>
                            <w:jc w:val="center"/>
                            <w:rPr>
                              <w:b/>
                              <w:bCs/>
                              <w:color w:val="385623" w:themeColor="accent6" w:themeShade="80"/>
                            </w:rPr>
                          </w:pPr>
                          <w:r w:rsidRPr="00290F74">
                            <w:rPr>
                              <w:b/>
                              <w:bCs/>
                              <w:color w:val="385623" w:themeColor="accent6" w:themeShade="80"/>
                            </w:rPr>
                            <w:t>Apoio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7A1558" id="_x0000_t202" coordsize="21600,21600" o:spt="202" path="m,l,21600r21600,l21600,xe">
              <v:stroke joinstyle="miter"/>
              <v:path gradientshapeok="t" o:connecttype="rect"/>
            </v:shapetype>
            <v:shape id="Caixa de Texto 2" o:spid="_x0000_s1026" type="#_x0000_t202" style="position:absolute;margin-left:343.35pt;margin-top:5.05pt;width:73.2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" fillcolor="white [3201]" stroked="f" strokeweight=".5pt">
              <v:textbox>
                <w:txbxContent>
                  <w:p w14:paraId="1EBB26C4" w14:textId="6FFFB501" w:rsidR="00290F74" w:rsidRPr="00290F74" w:rsidRDefault="00290F74" w:rsidP="00290F74">
                    <w:pPr>
                      <w:jc w:val="center"/>
                      <w:rPr>
                        <w:b/>
                        <w:bCs/>
                        <w:color w:val="385623" w:themeColor="accent6" w:themeShade="80"/>
                      </w:rPr>
                    </w:pPr>
                    <w:r w:rsidRPr="00290F74">
                      <w:rPr>
                        <w:b/>
                        <w:bCs/>
                        <w:color w:val="385623" w:themeColor="accent6" w:themeShade="80"/>
                      </w:rPr>
                      <w:t>Apoio</w:t>
                    </w:r>
                  </w:p>
                </w:txbxContent>
              </v:textbox>
            </v:shape>
          </w:pict>
        </mc:Fallback>
      </mc:AlternateContent>
    </w:r>
    <w:r w:rsidR="00290F74">
      <w:rPr>
        <w:noProof/>
      </w:rPr>
      <mc:AlternateContent>
        <mc:Choice Requires="wps">
          <w:drawing>
            <wp:anchor distT="0" distB="0" distL="114300" distR="114300" simplePos="0" relativeHeight="251662336" behindDoc="0" locked="0" layoutInCell="1" allowOverlap="1" wp14:anchorId="5A4B882B" wp14:editId="2B022CFA">
              <wp:simplePos x="0" y="0"/>
              <wp:positionH relativeFrom="column">
                <wp:posOffset>62865</wp:posOffset>
              </wp:positionH>
              <wp:positionV relativeFrom="paragraph">
                <wp:posOffset>74930</wp:posOffset>
              </wp:positionV>
              <wp:extent cx="998220" cy="304800"/>
              <wp:effectExtent l="0" t="0" r="0" b="0"/>
              <wp:wrapNone/>
              <wp:docPr id="18869843" name="Caixa de Texto 2"/>
              <wp:cNvGraphicFramePr/>
              <a:graphic xmlns:a="http://schemas.openxmlformats.org/drawingml/2006/main">
                <a:graphicData uri="http://schemas.microsoft.com/office/word/2010/wordprocessingShape">
                  <wps:wsp>
                    <wps:cNvSpPr txBox="1"/>
                    <wps:spPr>
                      <a:xfrm>
                        <a:off x="0" y="0"/>
                        <a:ext cx="998220" cy="304800"/>
                      </a:xfrm>
                      <a:prstGeom prst="rect">
                        <a:avLst/>
                      </a:prstGeom>
                      <a:solidFill>
                        <a:schemeClr val="lt1"/>
                      </a:solidFill>
                      <a:ln w="6350">
                        <a:noFill/>
                      </a:ln>
                    </wps:spPr>
                    <wps:txbx>
                      <w:txbxContent>
                        <w:p w14:paraId="70270EED" w14:textId="236DFA8C" w:rsidR="00290F74" w:rsidRPr="00290F74" w:rsidRDefault="00290F74" w:rsidP="00290F74">
                          <w:pPr>
                            <w:jc w:val="center"/>
                            <w:rPr>
                              <w:b/>
                              <w:bCs/>
                              <w:color w:val="385623" w:themeColor="accent6" w:themeShade="80"/>
                            </w:rPr>
                          </w:pPr>
                          <w:r w:rsidRPr="00290F74">
                            <w:rPr>
                              <w:b/>
                              <w:bCs/>
                              <w:color w:val="385623" w:themeColor="accent6" w:themeShade="80"/>
                            </w:rPr>
                            <w:t>Realização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B882B" id="_x0000_s1027" type="#_x0000_t202" style="position:absolute;margin-left:4.95pt;margin-top:5.9pt;width:78.6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" fillcolor="white [3201]" stroked="f" strokeweight=".5pt">
              <v:textbox>
                <w:txbxContent>
                  <w:p w14:paraId="70270EED" w14:textId="236DFA8C" w:rsidR="00290F74" w:rsidRPr="00290F74" w:rsidRDefault="00290F74" w:rsidP="00290F74">
                    <w:pPr>
                      <w:jc w:val="center"/>
                      <w:rPr>
                        <w:b/>
                        <w:bCs/>
                        <w:color w:val="385623" w:themeColor="accent6" w:themeShade="80"/>
                      </w:rPr>
                    </w:pPr>
                    <w:r w:rsidRPr="00290F74">
                      <w:rPr>
                        <w:b/>
                        <w:bCs/>
                        <w:color w:val="385623" w:themeColor="accent6" w:themeShade="80"/>
                      </w:rPr>
                      <w:t>Realização</w:t>
                    </w:r>
                  </w:p>
                </w:txbxContent>
              </v:textbox>
            </v:shape>
          </w:pict>
        </mc:Fallback>
      </mc:AlternateContent>
    </w:r>
  </w:p>
  <w:p w14:paraId="4A0F682F" w14:textId="5C7C10AB" w:rsidR="00290F74" w:rsidRDefault="00290F74">
    <w:pPr>
      <w:pStyle w:val="Rodap"/>
    </w:pPr>
    <w:r>
      <w:rPr>
        <w:noProof/>
      </w:rPr>
      <w:drawing>
        <wp:anchor distT="0" distB="0" distL="114300" distR="114300" simplePos="0" relativeHeight="251665408" behindDoc="0" locked="0" layoutInCell="1" allowOverlap="1" wp14:anchorId="6CED012C" wp14:editId="1553050E">
          <wp:simplePos x="0" y="0"/>
          <wp:positionH relativeFrom="column">
            <wp:posOffset>-188595</wp:posOffset>
          </wp:positionH>
          <wp:positionV relativeFrom="paragraph">
            <wp:posOffset>181610</wp:posOffset>
          </wp:positionV>
          <wp:extent cx="682625" cy="623864"/>
          <wp:effectExtent l="0" t="0" r="3175" b="5080"/>
          <wp:wrapNone/>
          <wp:docPr id="1461525837"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25837" name="Imagem 1" descr="Diagrama&#10;&#10;Descrição gerada automaticamente"/>
                  <pic:cNvPicPr/>
                </pic:nvPicPr>
                <pic:blipFill rotWithShape="1">
                  <a:blip r:embed="rId1">
                    <a:extLst>
                      <a:ext uri="{28A0092B-C50C-407E-A947-70E740481C1C}">
                        <a14:useLocalDpi xmlns:a14="http://schemas.microsoft.com/office/drawing/2010/main" val="0"/>
                      </a:ext>
                    </a:extLst>
                  </a:blip>
                  <a:srcRect l="33443" t="13157" r="31985" b="9290"/>
                  <a:stretch/>
                </pic:blipFill>
                <pic:spPr bwMode="auto">
                  <a:xfrm>
                    <a:off x="0" y="0"/>
                    <a:ext cx="687463" cy="628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C48F5CF" wp14:editId="4FEB5DC5">
          <wp:simplePos x="0" y="0"/>
          <wp:positionH relativeFrom="column">
            <wp:posOffset>565785</wp:posOffset>
          </wp:positionH>
          <wp:positionV relativeFrom="paragraph">
            <wp:posOffset>166370</wp:posOffset>
          </wp:positionV>
          <wp:extent cx="655320" cy="655320"/>
          <wp:effectExtent l="0" t="0" r="0" b="0"/>
          <wp:wrapNone/>
          <wp:docPr id="52295986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59865" name="Imagem 522959865"/>
                  <pic:cNvPicPr/>
                </pic:nvPicPr>
                <pic:blipFill>
                  <a:blip r:embed="rId2">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p>
  <w:p w14:paraId="035BDC19" w14:textId="08A69E94" w:rsidR="00290F74" w:rsidRDefault="009E7A7D">
    <w:pPr>
      <w:pStyle w:val="Rodap"/>
    </w:pPr>
    <w:r>
      <w:rPr>
        <w:noProof/>
      </w:rPr>
      <w:drawing>
        <wp:anchor distT="0" distB="0" distL="114300" distR="114300" simplePos="0" relativeHeight="251669504" behindDoc="0" locked="0" layoutInCell="1" allowOverlap="1" wp14:anchorId="4424CC92" wp14:editId="668C6CAB">
          <wp:simplePos x="0" y="0"/>
          <wp:positionH relativeFrom="column">
            <wp:posOffset>3766185</wp:posOffset>
          </wp:positionH>
          <wp:positionV relativeFrom="paragraph">
            <wp:posOffset>44450</wp:posOffset>
          </wp:positionV>
          <wp:extent cx="640080" cy="664845"/>
          <wp:effectExtent l="0" t="0" r="7620" b="1905"/>
          <wp:wrapNone/>
          <wp:docPr id="1772955727" name="Imagem 7"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55727" name="Imagem 7" descr="Logotipo, Ícone&#10;&#10;Descrição gerada automaticamente"/>
                  <pic:cNvPicPr/>
                </pic:nvPicPr>
                <pic:blipFill rotWithShape="1">
                  <a:blip r:embed="rId3">
                    <a:extLst>
                      <a:ext uri="{28A0092B-C50C-407E-A947-70E740481C1C}">
                        <a14:useLocalDpi xmlns:a14="http://schemas.microsoft.com/office/drawing/2010/main" val="0"/>
                      </a:ext>
                    </a:extLst>
                  </a:blip>
                  <a:srcRect l="14418" r="14338"/>
                  <a:stretch/>
                </pic:blipFill>
                <pic:spPr bwMode="auto">
                  <a:xfrm>
                    <a:off x="0" y="0"/>
                    <a:ext cx="640080" cy="66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318F1F5" wp14:editId="43D56FA0">
          <wp:simplePos x="0" y="0"/>
          <wp:positionH relativeFrom="column">
            <wp:posOffset>4505325</wp:posOffset>
          </wp:positionH>
          <wp:positionV relativeFrom="paragraph">
            <wp:posOffset>86360</wp:posOffset>
          </wp:positionV>
          <wp:extent cx="678180" cy="583565"/>
          <wp:effectExtent l="0" t="0" r="7620" b="6985"/>
          <wp:wrapNone/>
          <wp:docPr id="1714090675" name="Imagem 6" descr="Uma imagem contendo quar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90675" name="Imagem 6" descr="Uma imagem contendo quart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78180" cy="5835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1F165B0" wp14:editId="7B1E424B">
          <wp:simplePos x="0" y="0"/>
          <wp:positionH relativeFrom="rightMargin">
            <wp:posOffset>-83820</wp:posOffset>
          </wp:positionH>
          <wp:positionV relativeFrom="paragraph">
            <wp:posOffset>137160</wp:posOffset>
          </wp:positionV>
          <wp:extent cx="998220" cy="460375"/>
          <wp:effectExtent l="0" t="0" r="0" b="0"/>
          <wp:wrapNone/>
          <wp:docPr id="1601915140" name="Imagem 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15140" name="Imagem 5" descr="Logotipo, nome da empresa&#10;&#10;Descrição gerada automaticamente"/>
                  <pic:cNvPicPr/>
                </pic:nvPicPr>
                <pic:blipFill rotWithShape="1">
                  <a:blip r:embed="rId5">
                    <a:extLst>
                      <a:ext uri="{28A0092B-C50C-407E-A947-70E740481C1C}">
                        <a14:useLocalDpi xmlns:a14="http://schemas.microsoft.com/office/drawing/2010/main" val="0"/>
                      </a:ext>
                    </a:extLst>
                  </a:blip>
                  <a:srcRect l="20038" t="30040" r="23378" b="27537"/>
                  <a:stretch/>
                </pic:blipFill>
                <pic:spPr bwMode="auto">
                  <a:xfrm>
                    <a:off x="0" y="0"/>
                    <a:ext cx="998220" cy="46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A7B039" w14:textId="5686C64B" w:rsidR="00290F74" w:rsidRDefault="00290F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980A" w14:textId="77777777" w:rsidR="002921F5" w:rsidRDefault="002921F5" w:rsidP="00495569">
      <w:r>
        <w:separator/>
      </w:r>
    </w:p>
  </w:footnote>
  <w:footnote w:type="continuationSeparator" w:id="0">
    <w:p w14:paraId="0759B687" w14:textId="77777777" w:rsidR="002921F5" w:rsidRDefault="002921F5" w:rsidP="0049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BBEE" w14:textId="4777E59A" w:rsidR="00495569" w:rsidRDefault="0023645A" w:rsidP="0023645A">
    <w:pPr>
      <w:pStyle w:val="Cabealho"/>
      <w:jc w:val="center"/>
    </w:pPr>
    <w:r>
      <w:rPr>
        <w:rFonts w:ascii="Calibri" w:eastAsia="Calibri" w:hAnsi="Calibri" w:cs="Calibri"/>
        <w:noProof/>
        <w:color w:val="000000"/>
      </w:rPr>
      <w:drawing>
        <wp:inline distT="0" distB="0" distL="0" distR="0" wp14:anchorId="5DB012B8" wp14:editId="46CB0B83">
          <wp:extent cx="2834640" cy="1191706"/>
          <wp:effectExtent l="0" t="0" r="3810" b="8890"/>
          <wp:docPr id="308590144"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90144"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l="1322" t="13641" r="1444" b="13680"/>
                  <a:stretch/>
                </pic:blipFill>
                <pic:spPr bwMode="auto">
                  <a:xfrm>
                    <a:off x="0" y="0"/>
                    <a:ext cx="2860065" cy="12023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4F0"/>
    <w:multiLevelType w:val="hybridMultilevel"/>
    <w:tmpl w:val="B6B864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5F"/>
    <w:rsid w:val="000F2CB7"/>
    <w:rsid w:val="001212F4"/>
    <w:rsid w:val="001636B1"/>
    <w:rsid w:val="0019073B"/>
    <w:rsid w:val="001949CA"/>
    <w:rsid w:val="001A0475"/>
    <w:rsid w:val="001D1E4B"/>
    <w:rsid w:val="00200132"/>
    <w:rsid w:val="0020390A"/>
    <w:rsid w:val="0023102C"/>
    <w:rsid w:val="0023645A"/>
    <w:rsid w:val="0027559C"/>
    <w:rsid w:val="00290F74"/>
    <w:rsid w:val="002921F5"/>
    <w:rsid w:val="002A5AD6"/>
    <w:rsid w:val="0030166F"/>
    <w:rsid w:val="003D1513"/>
    <w:rsid w:val="003E216E"/>
    <w:rsid w:val="00453A53"/>
    <w:rsid w:val="00480B52"/>
    <w:rsid w:val="00495569"/>
    <w:rsid w:val="004E2728"/>
    <w:rsid w:val="00541EFD"/>
    <w:rsid w:val="005A6D9F"/>
    <w:rsid w:val="005C3D3D"/>
    <w:rsid w:val="005D56AB"/>
    <w:rsid w:val="006A628F"/>
    <w:rsid w:val="007449E8"/>
    <w:rsid w:val="00793030"/>
    <w:rsid w:val="007B141C"/>
    <w:rsid w:val="008279AA"/>
    <w:rsid w:val="0087311F"/>
    <w:rsid w:val="00890F30"/>
    <w:rsid w:val="008D06B6"/>
    <w:rsid w:val="00922F1A"/>
    <w:rsid w:val="0094341F"/>
    <w:rsid w:val="0094775F"/>
    <w:rsid w:val="00974B2A"/>
    <w:rsid w:val="00996395"/>
    <w:rsid w:val="009B1C06"/>
    <w:rsid w:val="009D2138"/>
    <w:rsid w:val="009E112D"/>
    <w:rsid w:val="009E7A7D"/>
    <w:rsid w:val="00A40A9E"/>
    <w:rsid w:val="00A7490C"/>
    <w:rsid w:val="00AE1F12"/>
    <w:rsid w:val="00B675F5"/>
    <w:rsid w:val="00B95973"/>
    <w:rsid w:val="00BA5DE4"/>
    <w:rsid w:val="00C51CE4"/>
    <w:rsid w:val="00CC1F4C"/>
    <w:rsid w:val="00CD7E10"/>
    <w:rsid w:val="00CF3F1D"/>
    <w:rsid w:val="00D26D5B"/>
    <w:rsid w:val="00D454C2"/>
    <w:rsid w:val="00DC7F14"/>
    <w:rsid w:val="00DD2C49"/>
    <w:rsid w:val="00DF0B3A"/>
    <w:rsid w:val="00E6233C"/>
    <w:rsid w:val="00E96FEC"/>
    <w:rsid w:val="00EF04E1"/>
    <w:rsid w:val="00F263BF"/>
    <w:rsid w:val="00F712BF"/>
    <w:rsid w:val="00F83A25"/>
    <w:rsid w:val="00F935A2"/>
    <w:rsid w:val="00FA7BB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799D"/>
  <w15:chartTrackingRefBased/>
  <w15:docId w15:val="{A8337A17-3A06-42E4-BD52-A8CC533A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5A"/>
    <w:pPr>
      <w:widowControl w:val="0"/>
      <w:spacing w:after="0" w:line="240" w:lineRule="auto"/>
    </w:pPr>
    <w:rPr>
      <w:rFonts w:ascii="Times New Roman" w:eastAsia="Times New Roman" w:hAnsi="Times New Roman" w:cs="Times New Roman"/>
      <w:kern w:val="0"/>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2138"/>
    <w:rPr>
      <w:color w:val="0563C1" w:themeColor="hyperlink"/>
      <w:u w:val="single"/>
    </w:rPr>
  </w:style>
  <w:style w:type="character" w:styleId="MenoPendente">
    <w:name w:val="Unresolved Mention"/>
    <w:basedOn w:val="Fontepargpadro"/>
    <w:uiPriority w:val="99"/>
    <w:semiHidden/>
    <w:unhideWhenUsed/>
    <w:rsid w:val="009D2138"/>
    <w:rPr>
      <w:color w:val="605E5C"/>
      <w:shd w:val="clear" w:color="auto" w:fill="E1DFDD"/>
    </w:rPr>
  </w:style>
  <w:style w:type="paragraph" w:styleId="Cabealho">
    <w:name w:val="header"/>
    <w:basedOn w:val="Normal"/>
    <w:link w:val="CabealhoChar"/>
    <w:uiPriority w:val="99"/>
    <w:unhideWhenUsed/>
    <w:rsid w:val="00495569"/>
    <w:pPr>
      <w:widowControl/>
      <w:tabs>
        <w:tab w:val="center" w:pos="4252"/>
        <w:tab w:val="right" w:pos="8504"/>
      </w:tabs>
    </w:pPr>
    <w:rPr>
      <w:rFonts w:eastAsiaTheme="minorHAnsi" w:cstheme="minorBidi"/>
      <w:kern w:val="2"/>
      <w:sz w:val="24"/>
      <w:lang w:eastAsia="en-US"/>
      <w14:ligatures w14:val="standardContextual"/>
    </w:rPr>
  </w:style>
  <w:style w:type="character" w:customStyle="1" w:styleId="CabealhoChar">
    <w:name w:val="Cabeçalho Char"/>
    <w:basedOn w:val="Fontepargpadro"/>
    <w:link w:val="Cabealho"/>
    <w:uiPriority w:val="99"/>
    <w:rsid w:val="00495569"/>
    <w:rPr>
      <w:rFonts w:ascii="Times New Roman" w:hAnsi="Times New Roman"/>
      <w:sz w:val="24"/>
    </w:rPr>
  </w:style>
  <w:style w:type="paragraph" w:styleId="Rodap">
    <w:name w:val="footer"/>
    <w:basedOn w:val="Normal"/>
    <w:link w:val="RodapChar"/>
    <w:uiPriority w:val="99"/>
    <w:unhideWhenUsed/>
    <w:rsid w:val="00495569"/>
    <w:pPr>
      <w:widowControl/>
      <w:tabs>
        <w:tab w:val="center" w:pos="4252"/>
        <w:tab w:val="right" w:pos="8504"/>
      </w:tabs>
    </w:pPr>
    <w:rPr>
      <w:rFonts w:eastAsiaTheme="minorHAnsi" w:cstheme="minorBidi"/>
      <w:kern w:val="2"/>
      <w:sz w:val="24"/>
      <w:lang w:eastAsia="en-US"/>
      <w14:ligatures w14:val="standardContextual"/>
    </w:rPr>
  </w:style>
  <w:style w:type="character" w:customStyle="1" w:styleId="RodapChar">
    <w:name w:val="Rodapé Char"/>
    <w:basedOn w:val="Fontepargpadro"/>
    <w:link w:val="Rodap"/>
    <w:uiPriority w:val="99"/>
    <w:rsid w:val="00495569"/>
    <w:rPr>
      <w:rFonts w:ascii="Times New Roman" w:hAnsi="Times New Roman"/>
      <w:sz w:val="24"/>
    </w:rPr>
  </w:style>
  <w:style w:type="paragraph" w:styleId="PargrafodaLista">
    <w:name w:val="List Paragraph"/>
    <w:basedOn w:val="Normal"/>
    <w:uiPriority w:val="34"/>
    <w:qFormat/>
    <w:rsid w:val="00922F1A"/>
    <w:pPr>
      <w:widowControl/>
      <w:spacing w:after="160" w:line="259" w:lineRule="auto"/>
      <w:ind w:left="720"/>
      <w:contextualSpacing/>
    </w:pPr>
    <w:rPr>
      <w:rFonts w:eastAsiaTheme="minorHAnsi" w:cstheme="minorBidi"/>
      <w:kern w:val="2"/>
      <w:sz w:val="24"/>
      <w:lang w:eastAsia="en-US"/>
      <w14:ligatures w14:val="standardContextual"/>
    </w:rPr>
  </w:style>
  <w:style w:type="character" w:customStyle="1" w:styleId="apple-converted-space">
    <w:name w:val="apple-converted-space"/>
    <w:basedOn w:val="Fontepargpadro"/>
    <w:rsid w:val="00200132"/>
  </w:style>
  <w:style w:type="paragraph" w:styleId="NormalWeb">
    <w:name w:val="Normal (Web)"/>
    <w:basedOn w:val="Normal"/>
    <w:uiPriority w:val="99"/>
    <w:unhideWhenUsed/>
    <w:rsid w:val="00200132"/>
    <w:pPr>
      <w:widowControl/>
      <w:suppressAutoHyphens/>
      <w:spacing w:before="280" w:after="280"/>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696</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Ferreira</dc:creator>
  <cp:keywords/>
  <dc:description/>
  <cp:lastModifiedBy>Ana Deuza Soares</cp:lastModifiedBy>
  <cp:revision>5</cp:revision>
  <cp:lastPrinted>2023-09-05T17:02:00Z</cp:lastPrinted>
  <dcterms:created xsi:type="dcterms:W3CDTF">2023-11-14T23:46:00Z</dcterms:created>
  <dcterms:modified xsi:type="dcterms:W3CDTF">2023-11-15T02:43:00Z</dcterms:modified>
</cp:coreProperties>
</file>