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29DAF" w14:textId="77777777" w:rsidR="00BA14A7" w:rsidRDefault="00BA14A7" w:rsidP="00CC75E9">
      <w:pPr>
        <w:pStyle w:val="01Title"/>
        <w:spacing w:before="0" w:after="0" w:line="240" w:lineRule="auto"/>
        <w:rPr>
          <w:sz w:val="24"/>
          <w:szCs w:val="24"/>
        </w:rPr>
      </w:pPr>
    </w:p>
    <w:p w14:paraId="3B10EA87" w14:textId="4DB85734" w:rsidR="00CC75E9" w:rsidRPr="00CC75E9" w:rsidRDefault="00F62960" w:rsidP="00CC75E9">
      <w:pPr>
        <w:pStyle w:val="02Author"/>
        <w:spacing w:before="0" w:after="0"/>
        <w:rPr>
          <w:sz w:val="24"/>
          <w:szCs w:val="24"/>
          <w:lang w:val="en-US"/>
        </w:rPr>
      </w:pPr>
      <w:r w:rsidRPr="3319FF44">
        <w:rPr>
          <w:sz w:val="24"/>
          <w:szCs w:val="24"/>
          <w:lang w:val="en-US"/>
        </w:rPr>
        <w:t xml:space="preserve">Comparison of Yeast Cell Viability Assessment Techniques Post-Fermentation in </w:t>
      </w:r>
      <w:r w:rsidRPr="3319FF44">
        <w:rPr>
          <w:i/>
          <w:sz w:val="24"/>
          <w:szCs w:val="24"/>
          <w:lang w:val="en-US"/>
        </w:rPr>
        <w:t xml:space="preserve">Agave </w:t>
      </w:r>
      <w:r w:rsidR="1736E339" w:rsidRPr="3319FF44">
        <w:rPr>
          <w:i/>
          <w:iCs/>
          <w:sz w:val="24"/>
          <w:szCs w:val="24"/>
          <w:lang w:val="en-US"/>
        </w:rPr>
        <w:t xml:space="preserve">sisalana </w:t>
      </w:r>
      <w:r w:rsidRPr="3319FF44">
        <w:rPr>
          <w:sz w:val="24"/>
          <w:szCs w:val="24"/>
          <w:lang w:val="en-US"/>
        </w:rPr>
        <w:t>Juice</w:t>
      </w:r>
    </w:p>
    <w:p w14:paraId="13020700" w14:textId="7B26C600" w:rsidR="00FE40B5" w:rsidRPr="007711F5" w:rsidRDefault="00DC04BD" w:rsidP="007711F5">
      <w:pPr>
        <w:pStyle w:val="02Author"/>
      </w:pPr>
      <w:r w:rsidRPr="003B73FA">
        <w:t>Paloma Freitas Araujo</w:t>
      </w:r>
      <w:r w:rsidR="00FE40B5" w:rsidRPr="003B73FA">
        <w:rPr>
          <w:vertAlign w:val="superscript"/>
        </w:rPr>
        <w:t>1</w:t>
      </w:r>
      <w:r w:rsidR="00CC75E9" w:rsidRPr="003B73FA">
        <w:rPr>
          <w:vertAlign w:val="superscript"/>
        </w:rPr>
        <w:t>*</w:t>
      </w:r>
      <w:r w:rsidR="0033583F" w:rsidRPr="003B73FA">
        <w:rPr>
          <w:rFonts w:hint="eastAsia"/>
        </w:rPr>
        <w:t>,</w:t>
      </w:r>
      <w:r w:rsidR="00FE40B5" w:rsidRPr="003B73FA">
        <w:t xml:space="preserve"> </w:t>
      </w:r>
      <w:r w:rsidR="00600235">
        <w:t>Aura Lacerda Crepaldi</w:t>
      </w:r>
      <w:r w:rsidR="00BC5398">
        <w:t xml:space="preserve"> </w:t>
      </w:r>
      <w:r w:rsidR="00BC5398" w:rsidRPr="003B73FA">
        <w:rPr>
          <w:vertAlign w:val="superscript"/>
        </w:rPr>
        <w:t>1</w:t>
      </w:r>
      <w:r w:rsidR="00600235">
        <w:t>,</w:t>
      </w:r>
      <w:r w:rsidR="002176CD">
        <w:t xml:space="preserve"> </w:t>
      </w:r>
      <w:r w:rsidR="002176CD" w:rsidRPr="003B73FA">
        <w:t>Ary Rocha Bezerra</w:t>
      </w:r>
      <w:r w:rsidR="002176CD">
        <w:t xml:space="preserve"> </w:t>
      </w:r>
      <w:r w:rsidR="002176CD" w:rsidRPr="003B73FA">
        <w:rPr>
          <w:vertAlign w:val="superscript"/>
        </w:rPr>
        <w:t>1</w:t>
      </w:r>
      <w:r w:rsidR="002176CD" w:rsidRPr="003B73FA">
        <w:rPr>
          <w:rFonts w:hint="eastAsia"/>
        </w:rPr>
        <w:t>,</w:t>
      </w:r>
      <w:r w:rsidR="002176CD">
        <w:t xml:space="preserve"> </w:t>
      </w:r>
      <w:r w:rsidR="000C2C7F" w:rsidRPr="000C2C7F">
        <w:t>Júlia Alves Gribel de Oliveir</w:t>
      </w:r>
      <w:r w:rsidR="000C2C7F">
        <w:t>a</w:t>
      </w:r>
      <w:r w:rsidR="00BC5398">
        <w:rPr>
          <w:vertAlign w:val="superscript"/>
        </w:rPr>
        <w:t>2</w:t>
      </w:r>
      <w:r w:rsidR="000C2C7F">
        <w:t>,</w:t>
      </w:r>
      <w:r w:rsidR="00210D2B" w:rsidRPr="003B73FA">
        <w:t xml:space="preserve"> </w:t>
      </w:r>
      <w:r w:rsidR="003B73FA">
        <w:t>Ana Lucia Barbosa de Souza</w:t>
      </w:r>
      <w:r w:rsidR="00BC5398" w:rsidRPr="003B73FA">
        <w:rPr>
          <w:vertAlign w:val="superscript"/>
        </w:rPr>
        <w:t>1</w:t>
      </w:r>
      <w:r w:rsidR="00D73A24">
        <w:t>, Tatiana Oliveira do Vale</w:t>
      </w:r>
      <w:r w:rsidR="00BC5398" w:rsidRPr="003B73FA">
        <w:rPr>
          <w:vertAlign w:val="superscript"/>
        </w:rPr>
        <w:t>1</w:t>
      </w:r>
      <w:r w:rsidR="007711F5">
        <w:t>,</w:t>
      </w:r>
      <w:r w:rsidR="003608A7">
        <w:t xml:space="preserve"> </w:t>
      </w:r>
      <w:r w:rsidR="00BC5398">
        <w:t>Claudia Ramos da Silva</w:t>
      </w:r>
      <w:r w:rsidR="00BC5398">
        <w:rPr>
          <w:vertAlign w:val="superscript"/>
        </w:rPr>
        <w:t>2</w:t>
      </w:r>
    </w:p>
    <w:p w14:paraId="4FD34931" w14:textId="4682B588" w:rsidR="002B7B99" w:rsidRPr="001B4DF4" w:rsidRDefault="002B7B99" w:rsidP="00CC75E9">
      <w:pPr>
        <w:pStyle w:val="03AuthorAffiliation"/>
        <w:spacing w:line="240" w:lineRule="auto"/>
        <w:rPr>
          <w:i/>
          <w:sz w:val="20"/>
        </w:rPr>
      </w:pPr>
      <w:r w:rsidRPr="001B4DF4">
        <w:rPr>
          <w:sz w:val="20"/>
          <w:vertAlign w:val="superscript"/>
        </w:rPr>
        <w:t>1</w:t>
      </w:r>
      <w:r w:rsidR="00CC3C86" w:rsidRPr="001B4DF4">
        <w:rPr>
          <w:sz w:val="20"/>
        </w:rPr>
        <w:t xml:space="preserve"> </w:t>
      </w:r>
      <w:r w:rsidR="00D60F29" w:rsidRPr="001B4DF4">
        <w:rPr>
          <w:i/>
          <w:sz w:val="20"/>
        </w:rPr>
        <w:t>SENAI CIMATEC University</w:t>
      </w:r>
      <w:r w:rsidR="00CC3C86" w:rsidRPr="001B4DF4">
        <w:rPr>
          <w:i/>
          <w:sz w:val="20"/>
        </w:rPr>
        <w:t xml:space="preserve">, </w:t>
      </w:r>
      <w:r w:rsidR="001B4DF4" w:rsidRPr="001B4DF4">
        <w:rPr>
          <w:i/>
          <w:sz w:val="20"/>
        </w:rPr>
        <w:t>Industrial Microbiology</w:t>
      </w:r>
      <w:r w:rsidRPr="001B4DF4">
        <w:rPr>
          <w:i/>
          <w:sz w:val="20"/>
        </w:rPr>
        <w:t xml:space="preserve">, </w:t>
      </w:r>
      <w:r w:rsidR="001B4DF4" w:rsidRPr="001B4DF4">
        <w:rPr>
          <w:i/>
          <w:sz w:val="20"/>
        </w:rPr>
        <w:t>Salvador</w:t>
      </w:r>
      <w:r w:rsidRPr="001B4DF4">
        <w:rPr>
          <w:rFonts w:hint="eastAsia"/>
          <w:i/>
          <w:sz w:val="20"/>
        </w:rPr>
        <w:t>,</w:t>
      </w:r>
      <w:r w:rsidR="00CC3C86" w:rsidRPr="001B4DF4">
        <w:rPr>
          <w:i/>
          <w:sz w:val="20"/>
        </w:rPr>
        <w:t xml:space="preserve"> </w:t>
      </w:r>
      <w:r w:rsidR="001B4DF4" w:rsidRPr="001B4DF4">
        <w:rPr>
          <w:i/>
          <w:sz w:val="20"/>
        </w:rPr>
        <w:t>Bahia</w:t>
      </w:r>
      <w:r w:rsidR="00CC3C86" w:rsidRPr="001B4DF4">
        <w:rPr>
          <w:i/>
          <w:sz w:val="20"/>
        </w:rPr>
        <w:t>,</w:t>
      </w:r>
      <w:r w:rsidRPr="001B4DF4">
        <w:rPr>
          <w:rFonts w:hint="eastAsia"/>
          <w:i/>
          <w:sz w:val="20"/>
        </w:rPr>
        <w:t xml:space="preserve"> </w:t>
      </w:r>
      <w:r w:rsidR="001B4DF4" w:rsidRPr="001B4DF4">
        <w:rPr>
          <w:i/>
          <w:sz w:val="20"/>
        </w:rPr>
        <w:t>B</w:t>
      </w:r>
      <w:r w:rsidR="001B4DF4">
        <w:rPr>
          <w:i/>
          <w:sz w:val="20"/>
        </w:rPr>
        <w:t>rasil</w:t>
      </w:r>
    </w:p>
    <w:p w14:paraId="77ABAD7F" w14:textId="5A165024" w:rsidR="00CC3C86" w:rsidRPr="002E214D" w:rsidRDefault="002B7B99" w:rsidP="002E214D">
      <w:pPr>
        <w:pStyle w:val="03AuthorAffiliation"/>
        <w:rPr>
          <w:i/>
          <w:sz w:val="20"/>
          <w:lang w:val="en-US"/>
        </w:rPr>
      </w:pPr>
      <w:r w:rsidRPr="4531FB25">
        <w:rPr>
          <w:rFonts w:hint="eastAsia"/>
          <w:i/>
          <w:sz w:val="20"/>
          <w:vertAlign w:val="superscript"/>
          <w:lang w:val="en-US"/>
        </w:rPr>
        <w:t>2</w:t>
      </w:r>
      <w:r w:rsidR="00CC3C86" w:rsidRPr="4531FB25">
        <w:rPr>
          <w:i/>
          <w:sz w:val="20"/>
          <w:lang w:val="en-US"/>
        </w:rPr>
        <w:t xml:space="preserve"> </w:t>
      </w:r>
      <w:r w:rsidR="001B4DF4" w:rsidRPr="4531FB25">
        <w:rPr>
          <w:i/>
          <w:sz w:val="20"/>
          <w:lang w:val="en-US"/>
        </w:rPr>
        <w:t>SENAI CIMATEC University</w:t>
      </w:r>
      <w:r w:rsidR="00CC3C86" w:rsidRPr="4531FB25">
        <w:rPr>
          <w:i/>
          <w:sz w:val="20"/>
          <w:lang w:val="en-US"/>
        </w:rPr>
        <w:t xml:space="preserve">, </w:t>
      </w:r>
      <w:r w:rsidR="002E214D" w:rsidRPr="4531FB25">
        <w:rPr>
          <w:i/>
          <w:sz w:val="20"/>
          <w:lang w:val="en-US"/>
        </w:rPr>
        <w:t>Chemical Processes, Petrochemicals and Biotechnology</w:t>
      </w:r>
      <w:r w:rsidR="00CC3C86" w:rsidRPr="4531FB25">
        <w:rPr>
          <w:i/>
          <w:sz w:val="20"/>
          <w:lang w:val="en-US"/>
        </w:rPr>
        <w:t xml:space="preserve">, </w:t>
      </w:r>
      <w:r w:rsidR="00E463E4" w:rsidRPr="4531FB25">
        <w:rPr>
          <w:i/>
          <w:sz w:val="20"/>
          <w:lang w:val="en-US"/>
        </w:rPr>
        <w:t>Salvador</w:t>
      </w:r>
      <w:r w:rsidR="00E463E4" w:rsidRPr="4531FB25">
        <w:rPr>
          <w:rFonts w:hint="eastAsia"/>
          <w:i/>
          <w:sz w:val="20"/>
          <w:lang w:val="en-US"/>
        </w:rPr>
        <w:t>,</w:t>
      </w:r>
      <w:r w:rsidR="00E463E4" w:rsidRPr="4531FB25">
        <w:rPr>
          <w:i/>
          <w:sz w:val="20"/>
          <w:lang w:val="en-US"/>
        </w:rPr>
        <w:t xml:space="preserve"> Bahia,</w:t>
      </w:r>
      <w:r w:rsidR="00E463E4" w:rsidRPr="4531FB25">
        <w:rPr>
          <w:rFonts w:hint="eastAsia"/>
          <w:i/>
          <w:sz w:val="20"/>
          <w:lang w:val="en-US"/>
        </w:rPr>
        <w:t xml:space="preserve"> </w:t>
      </w:r>
      <w:r w:rsidR="00E463E4" w:rsidRPr="4531FB25">
        <w:rPr>
          <w:i/>
          <w:sz w:val="20"/>
          <w:lang w:val="en-US"/>
        </w:rPr>
        <w:t>Brasil</w:t>
      </w:r>
    </w:p>
    <w:p w14:paraId="7C4B90FA" w14:textId="381A1B07" w:rsidR="00FE40B5" w:rsidRPr="00BF2977" w:rsidRDefault="00FE40B5" w:rsidP="00CC3C86">
      <w:pPr>
        <w:pStyle w:val="03AuthorAffiliation"/>
        <w:rPr>
          <w:i/>
          <w:sz w:val="20"/>
          <w:lang w:val="en-US" w:eastAsia="zh-CN"/>
        </w:rPr>
      </w:pPr>
      <w:r w:rsidRPr="00BF2977">
        <w:rPr>
          <w:i/>
          <w:sz w:val="20"/>
          <w:lang w:val="en-US"/>
        </w:rPr>
        <w:t xml:space="preserve">*Corresponding author: </w:t>
      </w:r>
      <w:r w:rsidR="00E2180C" w:rsidRPr="00BF2977">
        <w:rPr>
          <w:i/>
          <w:sz w:val="20"/>
          <w:lang w:val="en-US"/>
        </w:rPr>
        <w:t>paloma.araujo@fieb.org.br</w:t>
      </w:r>
    </w:p>
    <w:p w14:paraId="7A05B410" w14:textId="77777777" w:rsidR="00BA14A7" w:rsidRPr="00BF2977" w:rsidRDefault="00BA14A7" w:rsidP="00CF1FCC">
      <w:pPr>
        <w:pStyle w:val="06Abstract"/>
        <w:spacing w:line="240" w:lineRule="auto"/>
        <w:rPr>
          <w:b/>
          <w:lang w:val="en-US" w:eastAsia="zh-CN"/>
        </w:rPr>
      </w:pPr>
    </w:p>
    <w:p w14:paraId="47D9C3B8" w14:textId="04876601" w:rsidR="00783199" w:rsidRPr="00BF2977" w:rsidRDefault="00625996" w:rsidP="00783199">
      <w:pPr>
        <w:pStyle w:val="06Abstract"/>
        <w:spacing w:line="240" w:lineRule="auto"/>
        <w:rPr>
          <w:b/>
          <w:lang w:val="en-US" w:eastAsia="zh-TW"/>
        </w:rPr>
      </w:pPr>
      <w:r w:rsidRPr="00BF2977">
        <w:rPr>
          <w:b/>
          <w:lang w:val="en-US" w:eastAsia="zh-CN"/>
        </w:rPr>
        <w:t>Abstract</w:t>
      </w:r>
      <w:r w:rsidR="00B972A6" w:rsidRPr="00BF2977">
        <w:rPr>
          <w:b/>
          <w:lang w:val="en-US" w:eastAsia="zh-CN"/>
        </w:rPr>
        <w:t>:</w:t>
      </w:r>
      <w:r w:rsidRPr="00BF2977">
        <w:rPr>
          <w:b/>
          <w:lang w:val="en-US" w:eastAsia="zh-CN"/>
        </w:rPr>
        <w:t xml:space="preserve"> </w:t>
      </w:r>
      <w:r w:rsidR="00730EEB" w:rsidRPr="00BF2977">
        <w:rPr>
          <w:b/>
          <w:lang w:val="en-US"/>
        </w:rPr>
        <w:t xml:space="preserve">This study compares different methods for assessing yeast cell viability in </w:t>
      </w:r>
      <w:r w:rsidR="00730EEB" w:rsidRPr="00BF2977">
        <w:rPr>
          <w:b/>
          <w:i/>
          <w:lang w:val="en-US"/>
        </w:rPr>
        <w:t>Agave sisalana</w:t>
      </w:r>
      <w:r w:rsidR="00730EEB" w:rsidRPr="00BF2977">
        <w:rPr>
          <w:b/>
          <w:lang w:val="en-US"/>
        </w:rPr>
        <w:t xml:space="preserve"> juice fermentation, focusing on first-generation ethanol production. Methylene blue staining, CFU counting, and resazurin assays were employed to evaluate cell viability. The results indicated a significant decrease in CFU of yeasts cultivated in </w:t>
      </w:r>
      <w:r w:rsidR="00730EEB" w:rsidRPr="00BF2977">
        <w:rPr>
          <w:b/>
          <w:i/>
          <w:lang w:val="en-US"/>
        </w:rPr>
        <w:t>Agave</w:t>
      </w:r>
      <w:r w:rsidR="00730EEB" w:rsidRPr="00BF2977">
        <w:rPr>
          <w:b/>
          <w:lang w:val="en-US"/>
        </w:rPr>
        <w:t xml:space="preserve"> juice compared to the standard YPD medium. Methylene blue staining did not show a clear difference in viability between the two media. However, resazurin assays revealed a 90% reduction in viability at the 10</w:t>
      </w:r>
      <w:r w:rsidR="00730EEB" w:rsidRPr="00BF2977">
        <w:rPr>
          <w:b/>
          <w:vertAlign w:val="superscript"/>
          <w:lang w:val="en-US"/>
        </w:rPr>
        <w:t>-3</w:t>
      </w:r>
      <w:r w:rsidR="00730EEB" w:rsidRPr="00BF2977">
        <w:rPr>
          <w:b/>
          <w:lang w:val="en-US"/>
        </w:rPr>
        <w:t xml:space="preserve"> dilution. The study highlights the interference of </w:t>
      </w:r>
      <w:r w:rsidR="00730EEB" w:rsidRPr="00BF2977">
        <w:rPr>
          <w:b/>
          <w:i/>
          <w:lang w:val="en-US"/>
        </w:rPr>
        <w:t>Agave</w:t>
      </w:r>
      <w:r w:rsidR="00730EEB" w:rsidRPr="00BF2977">
        <w:rPr>
          <w:b/>
          <w:lang w:val="en-US"/>
        </w:rPr>
        <w:t xml:space="preserve"> juice particles, color, and other compounds in the traditional viability assays. Despite these challenges, new methods demonstrated potential for rapid and accurate determination of yeast viability, offering a promising approach for optimizing biotechnological processes in </w:t>
      </w:r>
      <w:r w:rsidR="00730EEB" w:rsidRPr="00BF2977">
        <w:rPr>
          <w:b/>
          <w:i/>
          <w:lang w:val="en-US"/>
        </w:rPr>
        <w:t>Agave</w:t>
      </w:r>
      <w:r w:rsidR="00730EEB" w:rsidRPr="00BF2977">
        <w:rPr>
          <w:b/>
          <w:lang w:val="en-US"/>
        </w:rPr>
        <w:t xml:space="preserve"> juice fermentation. Further research is needed to develop a customized, efficient, and industrially applicable protocol for cell viability assessment in Agave juice.</w:t>
      </w:r>
    </w:p>
    <w:p w14:paraId="27DD3F12" w14:textId="7A15DD1E" w:rsidR="002E4361" w:rsidRPr="009F40D4" w:rsidRDefault="00625996" w:rsidP="00DF0257">
      <w:pPr>
        <w:pStyle w:val="07KeyWords"/>
        <w:spacing w:before="0" w:after="0"/>
        <w:rPr>
          <w:b/>
          <w:i w:val="0"/>
          <w:lang w:val="en-US" w:eastAsia="zh-CN"/>
        </w:rPr>
      </w:pPr>
      <w:r w:rsidRPr="009F40D4">
        <w:rPr>
          <w:b/>
          <w:i w:val="0"/>
          <w:lang w:val="en-US"/>
        </w:rPr>
        <w:t>Keywords:</w:t>
      </w:r>
      <w:r w:rsidR="00272F6E" w:rsidRPr="009F40D4">
        <w:rPr>
          <w:b/>
          <w:i w:val="0"/>
          <w:lang w:val="en-US"/>
        </w:rPr>
        <w:t xml:space="preserve"> </w:t>
      </w:r>
      <w:r w:rsidR="00272F6E" w:rsidRPr="009F40D4">
        <w:rPr>
          <w:b/>
          <w:lang w:val="en-US" w:eastAsia="zh-TW"/>
        </w:rPr>
        <w:t>Agave sisalana</w:t>
      </w:r>
      <w:r w:rsidR="00272F6E" w:rsidRPr="009F40D4">
        <w:rPr>
          <w:b/>
          <w:i w:val="0"/>
          <w:lang w:val="en-US" w:eastAsia="zh-TW"/>
        </w:rPr>
        <w:t>;</w:t>
      </w:r>
      <w:r w:rsidR="00D60F29" w:rsidRPr="009F40D4">
        <w:rPr>
          <w:b/>
          <w:i w:val="0"/>
          <w:lang w:val="en-US" w:eastAsia="zh-TW"/>
        </w:rPr>
        <w:t xml:space="preserve"> Yeast viability; Fermentation; </w:t>
      </w:r>
      <w:r w:rsidR="009F40D4" w:rsidRPr="009F40D4">
        <w:rPr>
          <w:b/>
          <w:i w:val="0"/>
          <w:lang w:val="en-US" w:eastAsia="zh-TW"/>
        </w:rPr>
        <w:t>biofu</w:t>
      </w:r>
      <w:r w:rsidR="009F40D4">
        <w:rPr>
          <w:b/>
          <w:i w:val="0"/>
          <w:lang w:val="en-US" w:eastAsia="zh-TW"/>
        </w:rPr>
        <w:t>e</w:t>
      </w:r>
      <w:r w:rsidR="009F40D4" w:rsidRPr="009F40D4">
        <w:rPr>
          <w:b/>
          <w:i w:val="0"/>
          <w:lang w:val="en-US" w:eastAsia="zh-TW"/>
        </w:rPr>
        <w:t>ls</w:t>
      </w:r>
      <w:r w:rsidR="00B972A6" w:rsidRPr="009F40D4">
        <w:rPr>
          <w:b/>
          <w:i w:val="0"/>
          <w:lang w:val="en-US" w:eastAsia="zh-TW"/>
        </w:rPr>
        <w:t xml:space="preserve">. </w:t>
      </w:r>
    </w:p>
    <w:p w14:paraId="6DC96689" w14:textId="77777777" w:rsidR="00916AB4" w:rsidRPr="009F40D4" w:rsidRDefault="00916AB4" w:rsidP="00CF1FCC">
      <w:pPr>
        <w:pStyle w:val="07KeyWords"/>
        <w:spacing w:before="0" w:after="0"/>
        <w:rPr>
          <w:b/>
          <w:i w:val="0"/>
          <w:lang w:val="en-US" w:eastAsia="zh-CN"/>
        </w:rPr>
      </w:pPr>
    </w:p>
    <w:p w14:paraId="626F7D2B" w14:textId="77777777" w:rsidR="00CF1FCC" w:rsidRPr="009F40D4" w:rsidRDefault="00CF1FCC" w:rsidP="006B3AF1">
      <w:pPr>
        <w:pStyle w:val="09BodyIndent"/>
        <w:rPr>
          <w:lang w:val="en-US"/>
        </w:rPr>
      </w:pPr>
    </w:p>
    <w:p w14:paraId="2DE63892" w14:textId="77777777" w:rsidR="00920A8B" w:rsidRPr="009F40D4" w:rsidRDefault="00920A8B" w:rsidP="006B3AF1">
      <w:pPr>
        <w:pStyle w:val="09BodyIndent"/>
        <w:rPr>
          <w:lang w:val="en-US"/>
        </w:rPr>
        <w:sectPr w:rsidR="00920A8B" w:rsidRPr="009F40D4" w:rsidSect="00DB0A02">
          <w:headerReference w:type="default" r:id="rId8"/>
          <w:footerReference w:type="default" r:id="rId9"/>
          <w:pgSz w:w="11907" w:h="16839" w:code="9"/>
          <w:pgMar w:top="851" w:right="992" w:bottom="851" w:left="1134" w:header="720" w:footer="720" w:gutter="0"/>
          <w:cols w:space="720"/>
          <w:docGrid w:linePitch="360"/>
        </w:sectPr>
      </w:pPr>
    </w:p>
    <w:p w14:paraId="50C663E2" w14:textId="19EB86FE" w:rsidR="00916AB4" w:rsidRPr="007F59D7" w:rsidRDefault="00022FA6" w:rsidP="00BF2977">
      <w:pPr>
        <w:pStyle w:val="09BodyIndent"/>
        <w:numPr>
          <w:ilvl w:val="0"/>
          <w:numId w:val="31"/>
        </w:numPr>
        <w:spacing w:line="480" w:lineRule="auto"/>
        <w:rPr>
          <w:b/>
        </w:rPr>
      </w:pPr>
      <w:r w:rsidRPr="007F59D7">
        <w:rPr>
          <w:b/>
        </w:rPr>
        <w:t>Introduction</w:t>
      </w:r>
    </w:p>
    <w:p w14:paraId="0E1B2A23" w14:textId="31FA2732" w:rsidR="00D608B1" w:rsidRPr="00BF2977" w:rsidRDefault="00022FA6" w:rsidP="00BF2977">
      <w:pPr>
        <w:pStyle w:val="09BodyIndent"/>
        <w:spacing w:line="480" w:lineRule="auto"/>
        <w:rPr>
          <w:lang w:val="en-US"/>
        </w:rPr>
      </w:pPr>
      <w:r w:rsidRPr="4531FB25">
        <w:rPr>
          <w:lang w:val="en-US"/>
        </w:rPr>
        <w:t>The determination of yeast cell viability is a critical step in monitoring and controlling alcoholic fermentation, particularly in industrial processes for bioethanol production. Accurate assessment of the physiological state of yeast cells directly impacts the efficiency of fermentation, alcohol yield, and the need for operational interventions such as the replacement of viable strains</w:t>
      </w:r>
      <w:r w:rsidR="002176CD" w:rsidRPr="4531FB25">
        <w:rPr>
          <w:lang w:val="en-US"/>
        </w:rPr>
        <w:t xml:space="preserve"> [1]</w:t>
      </w:r>
      <w:r w:rsidRPr="4531FB25">
        <w:rPr>
          <w:lang w:val="en-US"/>
        </w:rPr>
        <w:t xml:space="preserve">. </w:t>
      </w:r>
    </w:p>
    <w:p w14:paraId="706D88D3" w14:textId="56C8B84D" w:rsidR="00022FA6" w:rsidRPr="00BF2977" w:rsidRDefault="00022FA6" w:rsidP="00BF2977">
      <w:pPr>
        <w:pStyle w:val="09BodyIndent"/>
        <w:spacing w:line="480" w:lineRule="auto"/>
        <w:rPr>
          <w:lang w:val="en-US"/>
        </w:rPr>
      </w:pPr>
      <w:r w:rsidRPr="4531FB25">
        <w:rPr>
          <w:lang w:val="en-US"/>
        </w:rPr>
        <w:t xml:space="preserve">Viability studies are fundamental because they allow for the early diagnosis of physiological alterations that compromise fermentative performance, including membrane integrity loss, metabolic decline, and cell death. Through these </w:t>
      </w:r>
      <w:r w:rsidRPr="4531FB25">
        <w:rPr>
          <w:lang w:val="en-US"/>
        </w:rPr>
        <w:t>analyses, it is possible to determine the proportion of live and dead cells, the degree of cellular stress, reproductive capacity, and the metabolic vitality of the yeast biomass</w:t>
      </w:r>
      <w:r w:rsidR="001B7244" w:rsidRPr="4531FB25">
        <w:rPr>
          <w:lang w:val="en-US"/>
        </w:rPr>
        <w:t xml:space="preserve">, </w:t>
      </w:r>
      <w:r w:rsidRPr="4531FB25">
        <w:rPr>
          <w:lang w:val="en-US"/>
        </w:rPr>
        <w:t>providing essential data for real-time decision-making</w:t>
      </w:r>
      <w:r w:rsidR="002176CD" w:rsidRPr="4531FB25">
        <w:rPr>
          <w:lang w:val="en-US"/>
        </w:rPr>
        <w:t xml:space="preserve"> [1</w:t>
      </w:r>
      <w:r w:rsidR="00C43DC8" w:rsidRPr="4531FB25">
        <w:rPr>
          <w:lang w:val="en-US"/>
        </w:rPr>
        <w:t>-</w:t>
      </w:r>
      <w:r w:rsidR="002176CD" w:rsidRPr="4531FB25">
        <w:rPr>
          <w:lang w:val="en-US"/>
        </w:rPr>
        <w:t>2]</w:t>
      </w:r>
      <w:r w:rsidRPr="4531FB25">
        <w:rPr>
          <w:lang w:val="en-US"/>
        </w:rPr>
        <w:t>.</w:t>
      </w:r>
    </w:p>
    <w:p w14:paraId="16418B60" w14:textId="56D9936D" w:rsidR="00D608B1" w:rsidRPr="00BF2977" w:rsidRDefault="00022FA6" w:rsidP="00BF2977">
      <w:pPr>
        <w:pStyle w:val="09BodyIndent"/>
        <w:spacing w:line="480" w:lineRule="auto"/>
        <w:rPr>
          <w:lang w:val="en-US"/>
        </w:rPr>
      </w:pPr>
      <w:r w:rsidRPr="00BF2977">
        <w:rPr>
          <w:lang w:val="en-US"/>
        </w:rPr>
        <w:t>Several factors</w:t>
      </w:r>
      <w:r w:rsidR="001B7244" w:rsidRPr="00BF2977">
        <w:rPr>
          <w:lang w:val="en-US"/>
        </w:rPr>
        <w:t xml:space="preserve">, </w:t>
      </w:r>
      <w:r w:rsidRPr="00BF2977">
        <w:rPr>
          <w:lang w:val="en-US"/>
        </w:rPr>
        <w:t>such as bacterial contamination, temperature fluctuations, improper nutrient dosing, and unfavorable physicochemical conditions</w:t>
      </w:r>
      <w:r w:rsidR="001B7244" w:rsidRPr="00BF2977">
        <w:rPr>
          <w:lang w:val="en-US"/>
        </w:rPr>
        <w:t xml:space="preserve">, </w:t>
      </w:r>
      <w:r w:rsidRPr="00BF2977">
        <w:rPr>
          <w:lang w:val="en-US"/>
        </w:rPr>
        <w:t>negatively affect yeast viability throughout the production cycle, as reported in Brazilian industrial ethanol plants using sugarcane juice</w:t>
      </w:r>
      <w:r w:rsidR="002176CD" w:rsidRPr="00BF2977">
        <w:rPr>
          <w:lang w:val="en-US"/>
        </w:rPr>
        <w:t xml:space="preserve"> [3]</w:t>
      </w:r>
      <w:r w:rsidRPr="00BF2977">
        <w:rPr>
          <w:lang w:val="en-US"/>
        </w:rPr>
        <w:t>.</w:t>
      </w:r>
    </w:p>
    <w:p w14:paraId="427D2D04" w14:textId="6B8CA203" w:rsidR="00022FA6" w:rsidRPr="00BF2977" w:rsidRDefault="00022FA6" w:rsidP="00BF2977">
      <w:pPr>
        <w:pStyle w:val="09BodyIndent"/>
        <w:spacing w:line="480" w:lineRule="auto"/>
        <w:rPr>
          <w:lang w:val="en-US"/>
        </w:rPr>
      </w:pPr>
      <w:r w:rsidRPr="4531FB25">
        <w:rPr>
          <w:lang w:val="en-US"/>
        </w:rPr>
        <w:t xml:space="preserve">In the context of ethanol production from </w:t>
      </w:r>
      <w:r w:rsidRPr="4531FB25">
        <w:rPr>
          <w:i/>
          <w:lang w:val="en-US"/>
        </w:rPr>
        <w:t>Agave sisalana</w:t>
      </w:r>
      <w:r w:rsidRPr="4531FB25">
        <w:rPr>
          <w:lang w:val="en-US"/>
        </w:rPr>
        <w:t xml:space="preserve"> juice, a promising biomass in Brazil’s </w:t>
      </w:r>
      <w:r w:rsidRPr="4531FB25">
        <w:rPr>
          <w:lang w:val="en-US"/>
        </w:rPr>
        <w:lastRenderedPageBreak/>
        <w:t>semiarid region, assessing yeast cell viability becomes even more strategic due to the substrate's distinct chemical composition and the scarcity of studies on its fermentative behavior. Selecting an appropriate analytical method is therefore essential to ensure accurate evaluation of both cell population dynamics and metabolic conditions during bioconversion.</w:t>
      </w:r>
    </w:p>
    <w:p w14:paraId="5734CFBD" w14:textId="43DC97F7" w:rsidR="00022FA6" w:rsidRPr="00BF2977" w:rsidRDefault="00022FA6" w:rsidP="00BF2977">
      <w:pPr>
        <w:pStyle w:val="09BodyIndent"/>
        <w:spacing w:line="480" w:lineRule="auto"/>
        <w:rPr>
          <w:lang w:val="en-US"/>
        </w:rPr>
      </w:pPr>
      <w:r w:rsidRPr="00BF2977">
        <w:rPr>
          <w:lang w:val="en-US"/>
        </w:rPr>
        <w:t xml:space="preserve">This study aims to compare different techniques for assessing yeast cell viability used in the fermentation of </w:t>
      </w:r>
      <w:r w:rsidRPr="00BF2977">
        <w:rPr>
          <w:i/>
          <w:lang w:val="en-US"/>
        </w:rPr>
        <w:t>Agave sisalana</w:t>
      </w:r>
      <w:r w:rsidRPr="00BF2977">
        <w:rPr>
          <w:lang w:val="en-US"/>
        </w:rPr>
        <w:t xml:space="preserve"> juice, focusing on the production of first-generation (1G) ethanol. The </w:t>
      </w:r>
      <w:r w:rsidR="00564872" w:rsidRPr="00BF2977">
        <w:rPr>
          <w:lang w:val="en-US"/>
        </w:rPr>
        <w:t xml:space="preserve">methods </w:t>
      </w:r>
      <w:r w:rsidRPr="00BF2977">
        <w:rPr>
          <w:lang w:val="en-US"/>
        </w:rPr>
        <w:t xml:space="preserve">investigated include methylene blue staining, colony-forming unit (CFU) counting, and </w:t>
      </w:r>
      <w:r w:rsidR="007205D6" w:rsidRPr="00BF2977">
        <w:rPr>
          <w:lang w:val="en-US"/>
        </w:rPr>
        <w:t>spectrophotometry,</w:t>
      </w:r>
      <w:r w:rsidRPr="00BF2977">
        <w:rPr>
          <w:lang w:val="en-US"/>
        </w:rPr>
        <w:t xml:space="preserve"> with emphasis on their accuracy, sensitivity, and applicability in this biotechnological context.</w:t>
      </w:r>
    </w:p>
    <w:p w14:paraId="7B48FBC9" w14:textId="5D476913" w:rsidR="00603E9A" w:rsidRPr="00916AB4" w:rsidRDefault="003745B0" w:rsidP="00BF2977">
      <w:pPr>
        <w:pStyle w:val="21Heading2"/>
        <w:numPr>
          <w:ilvl w:val="0"/>
          <w:numId w:val="31"/>
        </w:numPr>
        <w:spacing w:line="480" w:lineRule="auto"/>
      </w:pPr>
      <w:r w:rsidRPr="00830497">
        <w:rPr>
          <w:rFonts w:hint="eastAsia"/>
          <w:lang w:val="en-US"/>
        </w:rPr>
        <w:t xml:space="preserve"> </w:t>
      </w:r>
      <w:r w:rsidR="002176CD">
        <w:t>Methodology</w:t>
      </w:r>
    </w:p>
    <w:p w14:paraId="7BEA1DAF" w14:textId="77777777" w:rsidR="00554BBC" w:rsidRPr="00BF2977" w:rsidRDefault="00564872" w:rsidP="00BF2977">
      <w:pPr>
        <w:pStyle w:val="09BodyIndent"/>
        <w:spacing w:line="480" w:lineRule="auto"/>
        <w:rPr>
          <w:lang w:val="en-US"/>
        </w:rPr>
      </w:pPr>
      <w:r w:rsidRPr="00BF2977">
        <w:rPr>
          <w:lang w:val="en-US"/>
        </w:rPr>
        <w:t xml:space="preserve">To assess yeast cell viability, two cultivation conditions were applied. The inoculation in YPD broth (Yeast Extract, Peptone, and Dextrose) and the inoculation in Agave blend broth (1:1 mixture of </w:t>
      </w:r>
      <w:r w:rsidRPr="00BF2977">
        <w:rPr>
          <w:i/>
          <w:lang w:val="en-US"/>
        </w:rPr>
        <w:t>Agave</w:t>
      </w:r>
      <w:r w:rsidRPr="00BF2977">
        <w:rPr>
          <w:lang w:val="en-US"/>
        </w:rPr>
        <w:t xml:space="preserve"> pinha juice and </w:t>
      </w:r>
      <w:r w:rsidRPr="00BF2977">
        <w:rPr>
          <w:i/>
          <w:lang w:val="en-US"/>
        </w:rPr>
        <w:t>Agave sisalana</w:t>
      </w:r>
      <w:r w:rsidRPr="00BF2977">
        <w:rPr>
          <w:lang w:val="en-US"/>
        </w:rPr>
        <w:t xml:space="preserve"> leaf juice) (Figure 1). </w:t>
      </w:r>
    </w:p>
    <w:p w14:paraId="5983A6C1" w14:textId="233E7216" w:rsidR="00E74FF9" w:rsidRDefault="00564872" w:rsidP="00BF2977">
      <w:pPr>
        <w:pStyle w:val="09BodyIndent"/>
        <w:spacing w:line="480" w:lineRule="auto"/>
        <w:rPr>
          <w:lang w:val="en-US"/>
        </w:rPr>
      </w:pPr>
      <w:r w:rsidRPr="00BF2977">
        <w:rPr>
          <w:lang w:val="en-US"/>
        </w:rPr>
        <w:t xml:space="preserve">The inoculation in YPD aimed to observe yeast growth in an ideal medium, which was used as a control. A second control was also used, consisting only of </w:t>
      </w:r>
      <w:r w:rsidRPr="00BF2977">
        <w:rPr>
          <w:i/>
          <w:lang w:val="en-US"/>
        </w:rPr>
        <w:t>Agave</w:t>
      </w:r>
      <w:r w:rsidRPr="00BF2977">
        <w:rPr>
          <w:lang w:val="en-US"/>
        </w:rPr>
        <w:t xml:space="preserve"> blend broth (1:1 mixture of </w:t>
      </w:r>
      <w:r w:rsidRPr="00BF2977">
        <w:rPr>
          <w:i/>
          <w:lang w:val="en-US"/>
        </w:rPr>
        <w:t>Agave</w:t>
      </w:r>
      <w:r w:rsidRPr="00BF2977">
        <w:rPr>
          <w:lang w:val="en-US"/>
        </w:rPr>
        <w:t xml:space="preserve"> pinha juice and </w:t>
      </w:r>
      <w:r w:rsidRPr="00BF2977">
        <w:rPr>
          <w:i/>
          <w:lang w:val="en-US"/>
        </w:rPr>
        <w:t>Agave sisalana</w:t>
      </w:r>
      <w:r w:rsidRPr="00BF2977">
        <w:rPr>
          <w:lang w:val="en-US"/>
        </w:rPr>
        <w:t xml:space="preserve"> leaf juice) without the yeast addition, </w:t>
      </w:r>
      <w:r w:rsidR="00FA7B84" w:rsidRPr="00BF2977">
        <w:rPr>
          <w:lang w:val="en-US"/>
        </w:rPr>
        <w:t>to</w:t>
      </w:r>
      <w:r w:rsidRPr="00BF2977">
        <w:rPr>
          <w:lang w:val="en-US"/>
        </w:rPr>
        <w:t xml:space="preserve"> measure the interference of the </w:t>
      </w:r>
      <w:r w:rsidR="007160E5" w:rsidRPr="00BF2977">
        <w:rPr>
          <w:i/>
          <w:lang w:val="en-US"/>
        </w:rPr>
        <w:t>“</w:t>
      </w:r>
      <w:r w:rsidRPr="00BF2977">
        <w:rPr>
          <w:i/>
          <w:lang w:val="en-US"/>
        </w:rPr>
        <w:t>color</w:t>
      </w:r>
      <w:r w:rsidR="007160E5" w:rsidRPr="00BF2977">
        <w:rPr>
          <w:i/>
          <w:lang w:val="en-US"/>
        </w:rPr>
        <w:t xml:space="preserve">” </w:t>
      </w:r>
      <w:r w:rsidRPr="00BF2977">
        <w:rPr>
          <w:lang w:val="en-US"/>
        </w:rPr>
        <w:t>factor of the broth in the analyses.</w:t>
      </w:r>
    </w:p>
    <w:p w14:paraId="76364B50" w14:textId="77777777" w:rsidR="00CD3897" w:rsidRPr="00BF2977" w:rsidRDefault="00CD3897" w:rsidP="00BF2977">
      <w:pPr>
        <w:pStyle w:val="09BodyIndent"/>
        <w:spacing w:line="480" w:lineRule="auto"/>
        <w:rPr>
          <w:lang w:val="en-US"/>
        </w:rPr>
      </w:pPr>
    </w:p>
    <w:p w14:paraId="2F654E98" w14:textId="563C160B" w:rsidR="00564872" w:rsidRPr="00BF2977" w:rsidRDefault="00564872" w:rsidP="00BF2977">
      <w:pPr>
        <w:pStyle w:val="09BodyIndent"/>
        <w:spacing w:line="480" w:lineRule="auto"/>
        <w:rPr>
          <w:lang w:val="en-US"/>
        </w:rPr>
      </w:pPr>
      <w:r w:rsidRPr="00BF2977">
        <w:rPr>
          <w:b/>
          <w:lang w:val="en-US"/>
        </w:rPr>
        <w:t>Figure 1</w:t>
      </w:r>
      <w:r w:rsidR="004B287A" w:rsidRPr="00BF2977">
        <w:rPr>
          <w:lang w:val="en-US"/>
        </w:rPr>
        <w:t xml:space="preserve">. </w:t>
      </w:r>
      <w:r w:rsidRPr="00BF2977">
        <w:rPr>
          <w:lang w:val="en-US"/>
        </w:rPr>
        <w:t xml:space="preserve">Experiment with YPD and Agave </w:t>
      </w:r>
      <w:r w:rsidR="733D0C3A" w:rsidRPr="00A8548C">
        <w:rPr>
          <w:lang w:val="en-US"/>
        </w:rPr>
        <w:t>b</w:t>
      </w:r>
      <w:r w:rsidRPr="00A8548C">
        <w:rPr>
          <w:lang w:val="en-US"/>
        </w:rPr>
        <w:t>roth</w:t>
      </w:r>
      <w:r w:rsidRPr="00BF2977">
        <w:rPr>
          <w:lang w:val="en-US"/>
        </w:rPr>
        <w:t xml:space="preserve"> using the commercial yeast CAT-1.</w:t>
      </w:r>
    </w:p>
    <w:p w14:paraId="45EF4342" w14:textId="770D92E2" w:rsidR="00564872" w:rsidRDefault="00390CE9" w:rsidP="00260725">
      <w:pPr>
        <w:pStyle w:val="09BodyIndent"/>
        <w:spacing w:line="480" w:lineRule="auto"/>
        <w:jc w:val="center"/>
        <w:rPr>
          <w:lang w:val="en-US"/>
        </w:rPr>
      </w:pPr>
      <w:r>
        <w:rPr>
          <w:noProof/>
        </w:rPr>
        <w:drawing>
          <wp:inline distT="0" distB="0" distL="0" distR="0" wp14:anchorId="1F00B656" wp14:editId="1CCC6674">
            <wp:extent cx="2377440" cy="1755647"/>
            <wp:effectExtent l="0" t="0" r="3810" b="0"/>
            <wp:docPr id="71" name="Imagem 5" descr="Linha do tem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Linha do tempo&#10;&#10;O conteúdo gerado por IA pode estar incorre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00798" cy="1772896"/>
                    </a:xfrm>
                    <a:prstGeom prst="rect">
                      <a:avLst/>
                    </a:prstGeom>
                    <a:noFill/>
                    <a:ln>
                      <a:noFill/>
                    </a:ln>
                  </pic:spPr>
                </pic:pic>
              </a:graphicData>
            </a:graphic>
          </wp:inline>
        </w:drawing>
      </w:r>
    </w:p>
    <w:p w14:paraId="4EE5B56E" w14:textId="3E6BBAEF" w:rsidR="00564872" w:rsidRPr="00BF2977" w:rsidRDefault="00564872" w:rsidP="00260725">
      <w:pPr>
        <w:pStyle w:val="09BodyIndent"/>
        <w:spacing w:line="480" w:lineRule="auto"/>
        <w:jc w:val="center"/>
        <w:rPr>
          <w:sz w:val="20"/>
          <w:szCs w:val="20"/>
          <w:lang w:val="en-US"/>
        </w:rPr>
      </w:pPr>
      <w:r w:rsidRPr="00BF2977">
        <w:rPr>
          <w:sz w:val="20"/>
          <w:szCs w:val="20"/>
          <w:lang w:val="en-US"/>
        </w:rPr>
        <w:t>Source: authors.</w:t>
      </w:r>
    </w:p>
    <w:p w14:paraId="5D6E1646" w14:textId="77777777" w:rsidR="00564872" w:rsidRPr="00BF2977" w:rsidRDefault="00564872" w:rsidP="00BF2977">
      <w:pPr>
        <w:pStyle w:val="09BodyIndent"/>
        <w:spacing w:line="480" w:lineRule="auto"/>
        <w:rPr>
          <w:lang w:val="en-US"/>
        </w:rPr>
      </w:pPr>
      <w:r w:rsidRPr="00BF2977">
        <w:rPr>
          <w:lang w:val="en-US"/>
        </w:rPr>
        <w:t>The experiment was conducted by inoculating the commercial yeast CAT-1 (</w:t>
      </w:r>
      <w:r w:rsidRPr="00BF2977">
        <w:rPr>
          <w:i/>
          <w:lang w:val="en-US"/>
        </w:rPr>
        <w:t>Saccharomyces cerevisiae</w:t>
      </w:r>
      <w:r w:rsidRPr="00BF2977">
        <w:rPr>
          <w:lang w:val="en-US"/>
        </w:rPr>
        <w:t>) in tubes containing 5 mL of YPD or Agave broth, at a 10% (w/v) yeast proportion, and incubating them in a thermostatic chamber at 32ºC without agitation for a period of 4 hours.</w:t>
      </w:r>
    </w:p>
    <w:p w14:paraId="0E511288" w14:textId="77777777" w:rsidR="00554BBC" w:rsidRPr="00BF2977" w:rsidRDefault="00564872" w:rsidP="00BF2977">
      <w:pPr>
        <w:pStyle w:val="09BodyIndent"/>
        <w:spacing w:line="480" w:lineRule="auto"/>
        <w:rPr>
          <w:lang w:val="en-US"/>
        </w:rPr>
      </w:pPr>
      <w:r w:rsidRPr="00BF2977">
        <w:rPr>
          <w:lang w:val="en-US"/>
        </w:rPr>
        <w:t xml:space="preserve">After this period, a 1 mL aliquot was taken from each tube under aseptic conditions and </w:t>
      </w:r>
      <w:r w:rsidRPr="00BF2977">
        <w:rPr>
          <w:lang w:val="en-US"/>
        </w:rPr>
        <w:lastRenderedPageBreak/>
        <w:t xml:space="preserve">centrifuged at 4000 rpm for 5 minutes. After centrifugation, the supernatant was discarded, and 1 mL of sterile saline (0.85%) was added to the pellet. </w:t>
      </w:r>
    </w:p>
    <w:p w14:paraId="6359690C" w14:textId="5F81B6DC" w:rsidR="00564872" w:rsidRPr="00BF2977" w:rsidRDefault="00564872" w:rsidP="00BF2977">
      <w:pPr>
        <w:pStyle w:val="09BodyIndent"/>
        <w:spacing w:line="480" w:lineRule="auto"/>
        <w:rPr>
          <w:lang w:val="en-US"/>
        </w:rPr>
      </w:pPr>
      <w:r w:rsidRPr="00BF2977">
        <w:rPr>
          <w:lang w:val="en-US"/>
        </w:rPr>
        <w:t>The material was resuspended and subsequently diluted in sterile saline (0.85%) to a dilution of 10</w:t>
      </w:r>
      <w:r w:rsidRPr="00BF2977">
        <w:rPr>
          <w:vertAlign w:val="superscript"/>
          <w:lang w:val="en-US"/>
        </w:rPr>
        <w:t>-6</w:t>
      </w:r>
      <w:r w:rsidRPr="00BF2977">
        <w:rPr>
          <w:lang w:val="en-US"/>
        </w:rPr>
        <w:t>. Aliquots of 100 µL from the 10</w:t>
      </w:r>
      <w:r w:rsidRPr="00BF2977">
        <w:rPr>
          <w:vertAlign w:val="superscript"/>
          <w:lang w:val="en-US"/>
        </w:rPr>
        <w:t>-2</w:t>
      </w:r>
      <w:r w:rsidRPr="00BF2977">
        <w:rPr>
          <w:lang w:val="en-US"/>
        </w:rPr>
        <w:t xml:space="preserve"> and 10</w:t>
      </w:r>
      <w:r w:rsidRPr="00BF2977">
        <w:rPr>
          <w:vertAlign w:val="superscript"/>
          <w:lang w:val="en-US"/>
        </w:rPr>
        <w:t>-6</w:t>
      </w:r>
      <w:r w:rsidRPr="00BF2977">
        <w:rPr>
          <w:lang w:val="en-US"/>
        </w:rPr>
        <w:t xml:space="preserve"> dilutions were inoculated onto Petri dishes containing BDA medium (Potato Dextrose Agar), using a Drigalski loop and the </w:t>
      </w:r>
      <w:r w:rsidRPr="00BF2977">
        <w:rPr>
          <w:i/>
          <w:lang w:val="en-US"/>
        </w:rPr>
        <w:t>“spread plate”</w:t>
      </w:r>
      <w:r w:rsidRPr="00BF2977">
        <w:rPr>
          <w:lang w:val="en-US"/>
        </w:rPr>
        <w:t xml:space="preserve"> technique. The seeded plates were incubated in a thermostatic chamber for 24 hours at 32ºC. Afterward, colony-forming units (CFU) were counted.</w:t>
      </w:r>
    </w:p>
    <w:p w14:paraId="781FE798" w14:textId="77777777" w:rsidR="00564872" w:rsidRPr="00BF2977" w:rsidRDefault="00564872" w:rsidP="00BF2977">
      <w:pPr>
        <w:pStyle w:val="09BodyIndent"/>
        <w:spacing w:line="480" w:lineRule="auto"/>
        <w:rPr>
          <w:lang w:val="en-US"/>
        </w:rPr>
      </w:pPr>
      <w:r w:rsidRPr="00BF2977">
        <w:rPr>
          <w:lang w:val="en-US"/>
        </w:rPr>
        <w:t>These same dilutions were also analyzed using the methylene blue and resazurin staining methods.</w:t>
      </w:r>
    </w:p>
    <w:p w14:paraId="54A5FF32" w14:textId="42F65A97" w:rsidR="00FA7B84" w:rsidRDefault="00564872" w:rsidP="00BF2977">
      <w:pPr>
        <w:pStyle w:val="09BodyIndent"/>
        <w:spacing w:line="480" w:lineRule="auto"/>
        <w:rPr>
          <w:lang w:val="en-US"/>
        </w:rPr>
      </w:pPr>
      <w:r w:rsidRPr="00BF2977">
        <w:rPr>
          <w:lang w:val="en-US"/>
        </w:rPr>
        <w:t>For methylene blue staining, aliquots from the 10</w:t>
      </w:r>
      <w:r w:rsidRPr="00BF2977">
        <w:rPr>
          <w:vertAlign w:val="superscript"/>
          <w:lang w:val="en-US"/>
        </w:rPr>
        <w:t>-2</w:t>
      </w:r>
      <w:r w:rsidRPr="00BF2977">
        <w:rPr>
          <w:lang w:val="en-US"/>
        </w:rPr>
        <w:t xml:space="preserve"> and 10</w:t>
      </w:r>
      <w:r w:rsidRPr="00BF2977">
        <w:rPr>
          <w:vertAlign w:val="superscript"/>
          <w:lang w:val="en-US"/>
        </w:rPr>
        <w:t xml:space="preserve">-6 </w:t>
      </w:r>
      <w:r w:rsidRPr="00BF2977">
        <w:rPr>
          <w:lang w:val="en-US"/>
        </w:rPr>
        <w:t xml:space="preserve">dilutions were treated with 0.1% methylene blue at a 1:10 sample ratio. After 5 minutes, a drop of this mixture was placed on a Neubauer chamber, and counting was performed under a microscope. Cell viability was calculated using the following </w:t>
      </w:r>
      <w:r w:rsidR="00734504" w:rsidRPr="00BF2977">
        <w:rPr>
          <w:lang w:val="en-US"/>
        </w:rPr>
        <w:t>eq</w:t>
      </w:r>
      <w:r w:rsidR="00214365" w:rsidRPr="00BF2977">
        <w:rPr>
          <w:lang w:val="en-US"/>
        </w:rPr>
        <w:t>uation 1.</w:t>
      </w:r>
    </w:p>
    <w:p w14:paraId="191234E8" w14:textId="77777777" w:rsidR="00CD3897" w:rsidRPr="00BF2977" w:rsidRDefault="00CD3897" w:rsidP="00BF2977">
      <w:pPr>
        <w:pStyle w:val="09BodyIndent"/>
        <w:spacing w:line="480" w:lineRule="auto"/>
        <w:rPr>
          <w:lang w:val="en-US"/>
        </w:rPr>
      </w:pPr>
    </w:p>
    <w:p w14:paraId="66FA05F5" w14:textId="63BDC598" w:rsidR="00214365" w:rsidRPr="00BF2977" w:rsidRDefault="00060FD8" w:rsidP="00BF2977">
      <w:pPr>
        <w:pStyle w:val="09BodyIndent"/>
        <w:spacing w:line="480" w:lineRule="auto"/>
        <w:rPr>
          <w:lang w:val="en-US"/>
        </w:rPr>
      </w:pPr>
      <m:oMath>
        <m:r>
          <w:rPr>
            <w:rFonts w:ascii="Cambria Math" w:hAnsi="Cambria Math"/>
          </w:rPr>
          <m:t>Cells</m:t>
        </m:r>
        <m:r>
          <m:rPr>
            <m:sty m:val="p"/>
          </m:rPr>
          <w:rPr>
            <w:rFonts w:ascii="Cambria Math" w:hAnsi="Cambria Math"/>
            <w:lang w:val="en-US"/>
          </w:rPr>
          <m:t>/</m:t>
        </m:r>
        <m:r>
          <w:rPr>
            <w:rFonts w:ascii="Cambria Math" w:hAnsi="Cambria Math"/>
          </w:rPr>
          <m:t>mL</m:t>
        </m:r>
        <m:r>
          <m:rPr>
            <m:sty m:val="p"/>
          </m:rPr>
          <w:rPr>
            <w:rFonts w:ascii="Cambria Math" w:hAnsi="Cambria Math"/>
            <w:lang w:val="en-US"/>
          </w:rPr>
          <m:t>=</m:t>
        </m:r>
        <m:d>
          <m:dPr>
            <m:ctrlPr>
              <w:rPr>
                <w:rFonts w:ascii="Cambria Math" w:hAnsi="Cambria Math"/>
              </w:rPr>
            </m:ctrlPr>
          </m:dPr>
          <m:e>
            <m:f>
              <m:fPr>
                <m:ctrlPr>
                  <w:rPr>
                    <w:rFonts w:ascii="Cambria Math" w:hAnsi="Cambria Math"/>
                  </w:rPr>
                </m:ctrlPr>
              </m:fPr>
              <m:num>
                <m:r>
                  <w:rPr>
                    <w:rFonts w:ascii="Cambria Math" w:hAnsi="Cambria Math"/>
                  </w:rPr>
                  <m:t>N</m:t>
                </m:r>
              </m:num>
              <m:den>
                <m:r>
                  <m:rPr>
                    <m:sty m:val="p"/>
                  </m:rPr>
                  <w:rPr>
                    <w:rFonts w:ascii="Cambria Math" w:hAnsi="Cambria Math"/>
                    <w:lang w:val="en-US"/>
                  </w:rPr>
                  <m:t>4</m:t>
                </m:r>
              </m:den>
            </m:f>
          </m:e>
        </m:d>
        <m:r>
          <w:rPr>
            <w:rFonts w:ascii="Cambria Math" w:hAnsi="Cambria Math"/>
          </w:rPr>
          <m:t>x</m:t>
        </m:r>
        <m:sSup>
          <m:sSupPr>
            <m:ctrlPr>
              <w:rPr>
                <w:rFonts w:ascii="Cambria Math" w:hAnsi="Cambria Math"/>
              </w:rPr>
            </m:ctrlPr>
          </m:sSupPr>
          <m:e>
            <m:r>
              <m:rPr>
                <m:sty m:val="p"/>
              </m:rPr>
              <w:rPr>
                <w:rFonts w:ascii="Cambria Math" w:hAnsi="Cambria Math"/>
                <w:lang w:val="en-US"/>
              </w:rPr>
              <m:t>10</m:t>
            </m:r>
          </m:e>
          <m:sup>
            <m:r>
              <m:rPr>
                <m:sty m:val="p"/>
              </m:rPr>
              <w:rPr>
                <w:rFonts w:ascii="Cambria Math" w:hAnsi="Cambria Math"/>
                <w:lang w:val="en-US"/>
              </w:rPr>
              <m:t>4</m:t>
            </m:r>
          </m:sup>
        </m:sSup>
        <m:r>
          <w:rPr>
            <w:rFonts w:ascii="Cambria Math" w:hAnsi="Cambria Math"/>
          </w:rPr>
          <m:t>xD</m:t>
        </m:r>
      </m:oMath>
      <w:r w:rsidR="005C1B53" w:rsidRPr="00BF2977">
        <w:rPr>
          <w:lang w:val="en-US"/>
        </w:rPr>
        <w:t xml:space="preserve">                    </w:t>
      </w:r>
      <w:r w:rsidR="00A46BC0" w:rsidRPr="00BF2977">
        <w:rPr>
          <w:lang w:val="en-US"/>
        </w:rPr>
        <w:t xml:space="preserve">     </w:t>
      </w:r>
      <w:r w:rsidR="005C1B53" w:rsidRPr="00BF2977">
        <w:rPr>
          <w:lang w:val="en-US"/>
        </w:rPr>
        <w:t xml:space="preserve">    (</w:t>
      </w:r>
      <w:r w:rsidR="00A46BC0" w:rsidRPr="00BF2977">
        <w:rPr>
          <w:lang w:val="en-US"/>
        </w:rPr>
        <w:t>1)</w:t>
      </w:r>
    </w:p>
    <w:p w14:paraId="4BE71583" w14:textId="0370255F" w:rsidR="00931761" w:rsidRPr="00564872" w:rsidRDefault="00931761" w:rsidP="007F59D7">
      <w:pPr>
        <w:pStyle w:val="09BodyIndent"/>
      </w:pPr>
      <w:r w:rsidRPr="00FA7B84">
        <w:t>Where:</w:t>
      </w:r>
    </w:p>
    <w:p w14:paraId="0352DB06" w14:textId="77777777" w:rsidR="00564872" w:rsidRPr="00BF2977" w:rsidRDefault="00564872" w:rsidP="00BF2977">
      <w:pPr>
        <w:pStyle w:val="09BodyIndent"/>
        <w:numPr>
          <w:ilvl w:val="0"/>
          <w:numId w:val="30"/>
        </w:numPr>
        <w:spacing w:line="480" w:lineRule="auto"/>
        <w:rPr>
          <w:lang w:val="en-US"/>
        </w:rPr>
      </w:pPr>
      <w:r w:rsidRPr="00BF2977">
        <w:rPr>
          <w:lang w:val="en-US"/>
        </w:rPr>
        <w:t>N = total number of viable cells counted in the four large quadrants at the edges.</w:t>
      </w:r>
    </w:p>
    <w:p w14:paraId="1CA92EBA" w14:textId="0A1372EA" w:rsidR="00564872" w:rsidRPr="00BF2977" w:rsidRDefault="00564872" w:rsidP="00BF2977">
      <w:pPr>
        <w:pStyle w:val="09BodyIndent"/>
        <w:numPr>
          <w:ilvl w:val="0"/>
          <w:numId w:val="30"/>
        </w:numPr>
        <w:spacing w:line="480" w:lineRule="auto"/>
        <w:rPr>
          <w:lang w:val="en-US"/>
        </w:rPr>
      </w:pPr>
      <w:r w:rsidRPr="00BF2977">
        <w:rPr>
          <w:lang w:val="en-US"/>
        </w:rPr>
        <w:t>10</w:t>
      </w:r>
      <w:r w:rsidRPr="00BF2977">
        <w:rPr>
          <w:vertAlign w:val="superscript"/>
          <w:lang w:val="en-US"/>
        </w:rPr>
        <w:t>4</w:t>
      </w:r>
      <w:r w:rsidRPr="00BF2977">
        <w:rPr>
          <w:lang w:val="en-US"/>
        </w:rPr>
        <w:t xml:space="preserve"> = chamber factor (each large quadrant has 10</w:t>
      </w:r>
      <w:r w:rsidRPr="00BF2977">
        <w:rPr>
          <w:vertAlign w:val="superscript"/>
          <w:lang w:val="en-US"/>
        </w:rPr>
        <w:t>-4</w:t>
      </w:r>
      <w:r w:rsidRPr="00BF2977">
        <w:rPr>
          <w:lang w:val="en-US"/>
        </w:rPr>
        <w:t xml:space="preserve"> mL).</w:t>
      </w:r>
    </w:p>
    <w:p w14:paraId="21725C3B" w14:textId="77777777" w:rsidR="00564872" w:rsidRPr="00564872" w:rsidRDefault="00564872" w:rsidP="00BF2977">
      <w:pPr>
        <w:pStyle w:val="09BodyIndent"/>
        <w:numPr>
          <w:ilvl w:val="0"/>
          <w:numId w:val="30"/>
        </w:numPr>
        <w:spacing w:line="480" w:lineRule="auto"/>
      </w:pPr>
      <w:r w:rsidRPr="00564872">
        <w:t>D = dilution inverse.</w:t>
      </w:r>
    </w:p>
    <w:p w14:paraId="392CFB92" w14:textId="650B22C6" w:rsidR="00727266" w:rsidRPr="00BF2977" w:rsidRDefault="00564872" w:rsidP="00BF2977">
      <w:pPr>
        <w:pStyle w:val="09BodyIndent"/>
        <w:spacing w:line="480" w:lineRule="auto"/>
        <w:rPr>
          <w:lang w:val="en-US"/>
        </w:rPr>
      </w:pPr>
      <w:r w:rsidRPr="00BF2977">
        <w:rPr>
          <w:lang w:val="en-US"/>
        </w:rPr>
        <w:t>The resazurin staining was evaluated by scanning the dilutions from 10</w:t>
      </w:r>
      <w:r w:rsidRPr="00BF2977">
        <w:rPr>
          <w:vertAlign w:val="superscript"/>
          <w:lang w:val="en-US"/>
        </w:rPr>
        <w:t>-1</w:t>
      </w:r>
      <w:r w:rsidRPr="00BF2977">
        <w:rPr>
          <w:lang w:val="en-US"/>
        </w:rPr>
        <w:t xml:space="preserve"> to 10</w:t>
      </w:r>
      <w:r w:rsidRPr="00BF2977">
        <w:rPr>
          <w:vertAlign w:val="superscript"/>
          <w:lang w:val="en-US"/>
        </w:rPr>
        <w:t>-6</w:t>
      </w:r>
      <w:r w:rsidRPr="00BF2977">
        <w:rPr>
          <w:lang w:val="en-US"/>
        </w:rPr>
        <w:t>, with undiluted samples used as a reference for comparison. A 200 µL aliquot from each dilution was placed in the wells of a 96-well microplate. A 20 µL aliquot of resazurin was added to the samples. This mixture was incubated at 32ºC for approximately 2 hours. After incubation, the plate was read for absorbance in a spectrophotometer at 570 and 600 nm.</w:t>
      </w:r>
    </w:p>
    <w:p w14:paraId="6E69788F" w14:textId="523B4956" w:rsidR="007160E5" w:rsidRDefault="009A102C" w:rsidP="00BF2977">
      <w:pPr>
        <w:pStyle w:val="09BodyIndent"/>
        <w:spacing w:line="480" w:lineRule="auto"/>
        <w:rPr>
          <w:lang w:val="en-US"/>
        </w:rPr>
      </w:pPr>
      <w:r w:rsidRPr="00BF2977">
        <w:rPr>
          <w:lang w:val="en-US"/>
        </w:rPr>
        <w:t>For assay control, aliquots of the resuspended solution in saline and undiluted solution were added, in addition to wells containing only saline and saline + resazurin. The distribution of the samples is as illustrated in Figure 2. All samples were performed in duplicates.</w:t>
      </w:r>
    </w:p>
    <w:p w14:paraId="6D6042DF" w14:textId="77777777" w:rsidR="00BF2977" w:rsidRPr="00BF2977" w:rsidRDefault="00BF2977" w:rsidP="00BF2977">
      <w:pPr>
        <w:pStyle w:val="09BodyIndent"/>
        <w:spacing w:line="480" w:lineRule="auto"/>
        <w:rPr>
          <w:lang w:val="en-US"/>
        </w:rPr>
      </w:pPr>
    </w:p>
    <w:p w14:paraId="026880D7" w14:textId="2ED779E0" w:rsidR="00564872" w:rsidRPr="00BF2977" w:rsidRDefault="002A5998" w:rsidP="00BF2977">
      <w:pPr>
        <w:pStyle w:val="09BodyIndent"/>
        <w:spacing w:line="480" w:lineRule="auto"/>
        <w:rPr>
          <w:lang w:val="en-US"/>
        </w:rPr>
      </w:pPr>
      <w:r w:rsidRPr="00BF2977">
        <w:rPr>
          <w:b/>
          <w:lang w:val="en-US"/>
        </w:rPr>
        <w:lastRenderedPageBreak/>
        <w:t>Figure 2</w:t>
      </w:r>
      <w:r w:rsidR="004B287A" w:rsidRPr="00BF2977">
        <w:rPr>
          <w:lang w:val="en-US"/>
        </w:rPr>
        <w:t xml:space="preserve">. </w:t>
      </w:r>
      <w:r w:rsidRPr="00BF2977">
        <w:rPr>
          <w:lang w:val="en-US"/>
        </w:rPr>
        <w:t>Microplate containing the samples (A) and schematic distribution of the samples in the microplate (B).</w:t>
      </w:r>
    </w:p>
    <w:p w14:paraId="1E1C7449" w14:textId="1C3D8CD6" w:rsidR="005C6E26" w:rsidRPr="00564872" w:rsidRDefault="005C6E26" w:rsidP="00260725">
      <w:pPr>
        <w:pStyle w:val="09BodyIndent"/>
        <w:spacing w:line="480" w:lineRule="auto"/>
        <w:jc w:val="center"/>
      </w:pPr>
      <w:r>
        <w:rPr>
          <w:noProof/>
        </w:rPr>
        <w:drawing>
          <wp:inline distT="0" distB="0" distL="0" distR="0" wp14:anchorId="63425F79" wp14:editId="618D8AE7">
            <wp:extent cx="2753073" cy="1796995"/>
            <wp:effectExtent l="0" t="0" r="0" b="0"/>
            <wp:docPr id="781541401" name="Imagem 8" descr="Caixa de Texto 2, Caixa de tex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Caixa de Texto 2, Caixa de texto"/>
                    <pic:cNvPicPr>
                      <a:picLocks noChangeAspect="1" noChangeArrowheads="1"/>
                    </pic:cNvPicPr>
                  </pic:nvPicPr>
                  <pic:blipFill rotWithShape="1">
                    <a:blip r:embed="rId11">
                      <a:extLst>
                        <a:ext uri="{28A0092B-C50C-407E-A947-70E740481C1C}">
                          <a14:useLocalDpi xmlns:a14="http://schemas.microsoft.com/office/drawing/2010/main" val="0"/>
                        </a:ext>
                      </a:extLst>
                    </a:blip>
                    <a:srcRect l="4513" b="20135"/>
                    <a:stretch>
                      <a:fillRect/>
                    </a:stretch>
                  </pic:blipFill>
                  <pic:spPr bwMode="auto">
                    <a:xfrm>
                      <a:off x="0" y="0"/>
                      <a:ext cx="2764176" cy="1804242"/>
                    </a:xfrm>
                    <a:prstGeom prst="rect">
                      <a:avLst/>
                    </a:prstGeom>
                    <a:noFill/>
                    <a:ln>
                      <a:noFill/>
                    </a:ln>
                    <a:extLst>
                      <a:ext uri="{53640926-AAD7-44D8-BBD7-CCE9431645EC}">
                        <a14:shadowObscured xmlns:a14="http://schemas.microsoft.com/office/drawing/2010/main"/>
                      </a:ext>
                    </a:extLst>
                  </pic:spPr>
                </pic:pic>
              </a:graphicData>
            </a:graphic>
          </wp:inline>
        </w:drawing>
      </w:r>
    </w:p>
    <w:p w14:paraId="24FA783A" w14:textId="6772D473" w:rsidR="00507831" w:rsidRPr="00727266" w:rsidRDefault="00390CE9" w:rsidP="00260725">
      <w:pPr>
        <w:pStyle w:val="09BodyIndent"/>
        <w:spacing w:line="480" w:lineRule="auto"/>
        <w:jc w:val="center"/>
      </w:pPr>
      <w:r>
        <w:rPr>
          <w:noProof/>
        </w:rPr>
        <w:drawing>
          <wp:inline distT="0" distB="0" distL="0" distR="0" wp14:anchorId="104BD3CA" wp14:editId="2B300C93">
            <wp:extent cx="2571750" cy="2190750"/>
            <wp:effectExtent l="0" t="0" r="0" b="0"/>
            <wp:docPr id="97" name="Imagem 3" descr="Imag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Image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71750" cy="2190750"/>
                    </a:xfrm>
                    <a:prstGeom prst="rect">
                      <a:avLst/>
                    </a:prstGeom>
                    <a:noFill/>
                    <a:ln>
                      <a:noFill/>
                    </a:ln>
                  </pic:spPr>
                </pic:pic>
              </a:graphicData>
            </a:graphic>
          </wp:inline>
        </w:drawing>
      </w:r>
    </w:p>
    <w:p w14:paraId="5A887D84" w14:textId="0DEA1C8C" w:rsidR="00BF2977" w:rsidRDefault="00BF2977" w:rsidP="00260725">
      <w:pPr>
        <w:pStyle w:val="09BodyIndent"/>
        <w:spacing w:line="480" w:lineRule="auto"/>
        <w:jc w:val="center"/>
        <w:rPr>
          <w:sz w:val="20"/>
          <w:szCs w:val="20"/>
        </w:rPr>
      </w:pPr>
      <w:r w:rsidRPr="00BF2977">
        <w:rPr>
          <w:sz w:val="20"/>
          <w:szCs w:val="20"/>
        </w:rPr>
        <w:t>Source: authors</w:t>
      </w:r>
      <w:r>
        <w:rPr>
          <w:sz w:val="20"/>
          <w:szCs w:val="20"/>
        </w:rPr>
        <w:t>.</w:t>
      </w:r>
    </w:p>
    <w:p w14:paraId="5C9945F3" w14:textId="77777777" w:rsidR="00BF2977" w:rsidRPr="00BF2977" w:rsidRDefault="00BF2977" w:rsidP="00BF2977">
      <w:pPr>
        <w:pStyle w:val="09BodyIndent"/>
        <w:spacing w:line="480" w:lineRule="auto"/>
        <w:rPr>
          <w:sz w:val="20"/>
          <w:szCs w:val="20"/>
        </w:rPr>
      </w:pPr>
    </w:p>
    <w:p w14:paraId="39218789" w14:textId="756F17FB" w:rsidR="00EB31DB" w:rsidRPr="005C6E26" w:rsidRDefault="005C6E26" w:rsidP="00BF2977">
      <w:pPr>
        <w:pStyle w:val="20Heading1"/>
        <w:numPr>
          <w:ilvl w:val="0"/>
          <w:numId w:val="31"/>
        </w:numPr>
        <w:spacing w:line="480" w:lineRule="auto"/>
        <w:rPr>
          <w:lang w:val="en-US"/>
        </w:rPr>
      </w:pPr>
      <w:r w:rsidRPr="00854234">
        <w:rPr>
          <w:rFonts w:hint="eastAsia"/>
        </w:rPr>
        <w:t xml:space="preserve"> </w:t>
      </w:r>
      <w:r w:rsidRPr="00854234">
        <w:t>Re</w:t>
      </w:r>
      <w:r>
        <w:t>sults</w:t>
      </w:r>
    </w:p>
    <w:p w14:paraId="5154E548" w14:textId="40225A48" w:rsidR="00D46056" w:rsidRPr="00CF1FCC" w:rsidRDefault="005C6E26" w:rsidP="00BF2977">
      <w:pPr>
        <w:pStyle w:val="22Heading3"/>
        <w:spacing w:line="480" w:lineRule="auto"/>
        <w:rPr>
          <w:rFonts w:eastAsia="SimSun"/>
          <w:lang w:eastAsia="zh-CN"/>
        </w:rPr>
      </w:pPr>
      <w:r>
        <w:t>3</w:t>
      </w:r>
      <w:r w:rsidR="00E30B58" w:rsidRPr="00CF1FCC">
        <w:rPr>
          <w:rFonts w:hint="eastAsia"/>
        </w:rPr>
        <w:t>.1.</w:t>
      </w:r>
      <w:r w:rsidR="000C72A1" w:rsidRPr="000C72A1">
        <w:t xml:space="preserve"> Viability Assay Using Methylene Blue</w:t>
      </w:r>
    </w:p>
    <w:p w14:paraId="14AE708C" w14:textId="6580B13F" w:rsidR="00554BBC" w:rsidRPr="00BF2977" w:rsidRDefault="00554BBC" w:rsidP="00BF2977">
      <w:pPr>
        <w:pStyle w:val="09BodyIndent"/>
        <w:spacing w:line="480" w:lineRule="auto"/>
        <w:rPr>
          <w:lang w:val="en-US"/>
        </w:rPr>
      </w:pPr>
      <w:bookmarkStart w:id="0" w:name="OLE_LINK9"/>
      <w:r w:rsidRPr="00BF2977">
        <w:rPr>
          <w:lang w:val="en-US"/>
        </w:rPr>
        <w:t>Both methylene blue and resazurin are redox dyes that can cross cell membranes and participate in redox reactions within cells. Therefore, intact cells can metabolize these dyes and exhibit different coloration when observed under a microscope.</w:t>
      </w:r>
    </w:p>
    <w:p w14:paraId="62F6476C" w14:textId="64C71225" w:rsidR="000C72A1" w:rsidRDefault="00554BBC" w:rsidP="00BF2977">
      <w:pPr>
        <w:pStyle w:val="09BodyIndent"/>
        <w:spacing w:line="480" w:lineRule="auto"/>
        <w:rPr>
          <w:lang w:val="en-US"/>
        </w:rPr>
      </w:pPr>
      <w:r w:rsidRPr="00BF2977">
        <w:rPr>
          <w:lang w:val="en-US"/>
        </w:rPr>
        <w:t>The difference between viable and non-viable cells is determined by the presence or absence of the dyes inside the cells. The analysis of viable cells using methylene blue staining in a Neubauer chamber showed the results presented in Table 1.</w:t>
      </w:r>
    </w:p>
    <w:p w14:paraId="1D21ACDE" w14:textId="77777777" w:rsidR="00BF2977" w:rsidRPr="00BF2977" w:rsidRDefault="00BF2977" w:rsidP="00BF2977">
      <w:pPr>
        <w:pStyle w:val="09BodyIndent"/>
        <w:spacing w:line="480" w:lineRule="auto"/>
        <w:rPr>
          <w:lang w:val="en-US"/>
        </w:rPr>
      </w:pPr>
    </w:p>
    <w:p w14:paraId="17931D78" w14:textId="74C34ADF" w:rsidR="0045704B" w:rsidRDefault="007160E5" w:rsidP="00BF2977">
      <w:pPr>
        <w:pStyle w:val="09BodyIndent"/>
        <w:spacing w:line="480" w:lineRule="auto"/>
        <w:rPr>
          <w:lang w:val="en-US"/>
        </w:rPr>
      </w:pPr>
      <w:r w:rsidRPr="00BF2977">
        <w:rPr>
          <w:b/>
          <w:lang w:val="en-US"/>
        </w:rPr>
        <w:t>Table 1</w:t>
      </w:r>
      <w:r w:rsidRPr="00BF2977">
        <w:rPr>
          <w:lang w:val="en-US"/>
        </w:rPr>
        <w:t>. Results of viability counts using methylene blue staining and CFU/mL in BDA culture medium.</w:t>
      </w:r>
    </w:p>
    <w:tbl>
      <w:tblPr>
        <w:tblpPr w:leftFromText="141" w:rightFromText="141" w:vertAnchor="text" w:horzAnchor="margin" w:tblpXSpec="right" w:tblpY="50"/>
        <w:tblW w:w="4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0"/>
        <w:gridCol w:w="972"/>
        <w:gridCol w:w="1380"/>
        <w:gridCol w:w="1540"/>
      </w:tblGrid>
      <w:tr w:rsidR="007160E5" w:rsidRPr="005F452D" w14:paraId="11B4BDA2" w14:textId="77777777" w:rsidTr="00A8548C">
        <w:trPr>
          <w:trHeight w:val="1069"/>
        </w:trPr>
        <w:tc>
          <w:tcPr>
            <w:tcW w:w="1000" w:type="dxa"/>
            <w:vAlign w:val="center"/>
          </w:tcPr>
          <w:p w14:paraId="704C3C4F" w14:textId="77777777" w:rsidR="007160E5" w:rsidRPr="00A8548C" w:rsidRDefault="007160E5" w:rsidP="007160E5">
            <w:pPr>
              <w:spacing w:before="120"/>
              <w:jc w:val="center"/>
              <w:rPr>
                <w:rFonts w:ascii="Times New Roman" w:hAnsi="Times New Roman" w:cs="Times New Roman"/>
                <w:b/>
                <w:sz w:val="20"/>
                <w:szCs w:val="20"/>
              </w:rPr>
            </w:pPr>
            <w:r w:rsidRPr="00A8548C">
              <w:rPr>
                <w:rFonts w:ascii="Times New Roman" w:hAnsi="Times New Roman" w:cs="Times New Roman"/>
                <w:b/>
                <w:sz w:val="20"/>
                <w:szCs w:val="20"/>
              </w:rPr>
              <w:t>Sample Type</w:t>
            </w:r>
          </w:p>
        </w:tc>
        <w:tc>
          <w:tcPr>
            <w:tcW w:w="972" w:type="dxa"/>
            <w:vAlign w:val="center"/>
          </w:tcPr>
          <w:p w14:paraId="37B29677" w14:textId="77777777" w:rsidR="007160E5" w:rsidRPr="00A8548C" w:rsidRDefault="007160E5" w:rsidP="007F59D7">
            <w:pPr>
              <w:pStyle w:val="15TableHeading"/>
              <w:rPr>
                <w:b/>
                <w:sz w:val="20"/>
                <w:szCs w:val="20"/>
              </w:rPr>
            </w:pPr>
            <w:r w:rsidRPr="00A8548C">
              <w:rPr>
                <w:b/>
                <w:sz w:val="20"/>
                <w:szCs w:val="20"/>
              </w:rPr>
              <w:t>Dilution Factor</w:t>
            </w:r>
          </w:p>
        </w:tc>
        <w:tc>
          <w:tcPr>
            <w:tcW w:w="1380" w:type="dxa"/>
            <w:vAlign w:val="center"/>
          </w:tcPr>
          <w:p w14:paraId="59431F22" w14:textId="77777777" w:rsidR="007160E5" w:rsidRPr="00A8548C" w:rsidRDefault="007160E5" w:rsidP="007F59D7">
            <w:pPr>
              <w:pStyle w:val="15TableHeading"/>
              <w:rPr>
                <w:b/>
                <w:sz w:val="20"/>
                <w:szCs w:val="20"/>
                <w:lang w:val="en-US"/>
              </w:rPr>
            </w:pPr>
            <w:r w:rsidRPr="00A8548C">
              <w:rPr>
                <w:b/>
                <w:sz w:val="20"/>
                <w:szCs w:val="20"/>
                <w:lang w:val="en-US"/>
              </w:rPr>
              <w:t>Methylene Blue Staining</w:t>
            </w:r>
          </w:p>
          <w:p w14:paraId="7F0E3543" w14:textId="77777777" w:rsidR="007160E5" w:rsidRPr="00A8548C" w:rsidRDefault="007160E5" w:rsidP="007F59D7">
            <w:pPr>
              <w:pStyle w:val="15TableHeading"/>
              <w:rPr>
                <w:b/>
                <w:sz w:val="20"/>
                <w:szCs w:val="20"/>
                <w:lang w:val="en-US"/>
              </w:rPr>
            </w:pPr>
            <w:r w:rsidRPr="00A8548C">
              <w:rPr>
                <w:b/>
                <w:sz w:val="20"/>
                <w:szCs w:val="20"/>
                <w:lang w:val="en-US"/>
              </w:rPr>
              <w:t>Viable Cells/mL</w:t>
            </w:r>
          </w:p>
        </w:tc>
        <w:tc>
          <w:tcPr>
            <w:tcW w:w="1540" w:type="dxa"/>
            <w:vAlign w:val="center"/>
          </w:tcPr>
          <w:p w14:paraId="5F1E4A57" w14:textId="77777777" w:rsidR="007160E5" w:rsidRPr="00A8548C" w:rsidRDefault="007160E5" w:rsidP="007F59D7">
            <w:pPr>
              <w:pStyle w:val="15TableHeading"/>
              <w:rPr>
                <w:b/>
                <w:sz w:val="20"/>
                <w:szCs w:val="20"/>
                <w:lang w:val="en-US"/>
              </w:rPr>
            </w:pPr>
            <w:r w:rsidRPr="00A8548C">
              <w:rPr>
                <w:b/>
                <w:sz w:val="20"/>
                <w:szCs w:val="20"/>
                <w:lang w:val="en-US"/>
              </w:rPr>
              <w:t>Seeded on BDA Medium</w:t>
            </w:r>
          </w:p>
          <w:p w14:paraId="2816E750" w14:textId="77777777" w:rsidR="007160E5" w:rsidRPr="00A8548C" w:rsidRDefault="007160E5" w:rsidP="007F59D7">
            <w:pPr>
              <w:pStyle w:val="15TableHeading"/>
              <w:rPr>
                <w:b/>
                <w:sz w:val="20"/>
                <w:szCs w:val="20"/>
                <w:lang w:val="en-US"/>
              </w:rPr>
            </w:pPr>
            <w:r w:rsidRPr="00A8548C">
              <w:rPr>
                <w:b/>
                <w:sz w:val="20"/>
                <w:szCs w:val="20"/>
                <w:lang w:val="en-US"/>
              </w:rPr>
              <w:t>CFU/mL</w:t>
            </w:r>
          </w:p>
        </w:tc>
      </w:tr>
      <w:tr w:rsidR="007160E5" w:rsidRPr="005F452D" w14:paraId="09F3743B" w14:textId="77777777" w:rsidTr="00A8548C">
        <w:trPr>
          <w:trHeight w:val="1084"/>
        </w:trPr>
        <w:tc>
          <w:tcPr>
            <w:tcW w:w="1000" w:type="dxa"/>
            <w:vAlign w:val="center"/>
          </w:tcPr>
          <w:p w14:paraId="5DDBB3F6" w14:textId="77777777" w:rsidR="007160E5" w:rsidRPr="00A8548C" w:rsidRDefault="007160E5" w:rsidP="007F59D7">
            <w:pPr>
              <w:pStyle w:val="16TableBody"/>
              <w:rPr>
                <w:sz w:val="20"/>
                <w:szCs w:val="20"/>
              </w:rPr>
            </w:pPr>
            <w:r w:rsidRPr="00A8548C">
              <w:rPr>
                <w:sz w:val="20"/>
                <w:szCs w:val="20"/>
              </w:rPr>
              <w:t>YPD + CAT 1</w:t>
            </w:r>
          </w:p>
        </w:tc>
        <w:tc>
          <w:tcPr>
            <w:tcW w:w="972" w:type="dxa"/>
            <w:vAlign w:val="center"/>
          </w:tcPr>
          <w:p w14:paraId="5093C27A" w14:textId="77777777" w:rsidR="007160E5" w:rsidRPr="00A8548C" w:rsidRDefault="007160E5" w:rsidP="007F59D7">
            <w:pPr>
              <w:pStyle w:val="16TableBody"/>
              <w:rPr>
                <w:sz w:val="20"/>
                <w:szCs w:val="20"/>
              </w:rPr>
            </w:pPr>
            <w:r w:rsidRPr="00A8548C">
              <w:rPr>
                <w:sz w:val="20"/>
                <w:szCs w:val="20"/>
              </w:rPr>
              <w:t>10</w:t>
            </w:r>
            <w:r w:rsidRPr="00A8548C">
              <w:rPr>
                <w:sz w:val="20"/>
                <w:szCs w:val="20"/>
                <w:vertAlign w:val="superscript"/>
              </w:rPr>
              <w:t>-2</w:t>
            </w:r>
          </w:p>
          <w:p w14:paraId="4F98A18E" w14:textId="77777777" w:rsidR="007160E5" w:rsidRPr="00A8548C" w:rsidRDefault="007160E5" w:rsidP="007F59D7">
            <w:pPr>
              <w:pStyle w:val="16TableBody"/>
              <w:rPr>
                <w:sz w:val="20"/>
                <w:szCs w:val="20"/>
              </w:rPr>
            </w:pPr>
            <w:r w:rsidRPr="00A8548C">
              <w:rPr>
                <w:sz w:val="20"/>
                <w:szCs w:val="20"/>
              </w:rPr>
              <w:t>10</w:t>
            </w:r>
            <w:r w:rsidRPr="00A8548C">
              <w:rPr>
                <w:sz w:val="20"/>
                <w:szCs w:val="20"/>
                <w:vertAlign w:val="superscript"/>
              </w:rPr>
              <w:t>-6</w:t>
            </w:r>
          </w:p>
        </w:tc>
        <w:tc>
          <w:tcPr>
            <w:tcW w:w="1380" w:type="dxa"/>
            <w:vAlign w:val="center"/>
          </w:tcPr>
          <w:p w14:paraId="2D7A9942" w14:textId="77777777" w:rsidR="007160E5" w:rsidRPr="00A8548C" w:rsidRDefault="007160E5" w:rsidP="007F59D7">
            <w:pPr>
              <w:pStyle w:val="16TableBody"/>
              <w:rPr>
                <w:sz w:val="20"/>
                <w:szCs w:val="20"/>
                <w:vertAlign w:val="superscript"/>
              </w:rPr>
            </w:pPr>
            <w:r w:rsidRPr="00A8548C">
              <w:rPr>
                <w:sz w:val="20"/>
                <w:szCs w:val="20"/>
              </w:rPr>
              <w:t>1,37x10</w:t>
            </w:r>
            <w:r w:rsidRPr="00A8548C">
              <w:rPr>
                <w:sz w:val="20"/>
                <w:szCs w:val="20"/>
                <w:vertAlign w:val="superscript"/>
              </w:rPr>
              <w:t>8</w:t>
            </w:r>
          </w:p>
          <w:p w14:paraId="53563631" w14:textId="77777777" w:rsidR="007160E5" w:rsidRPr="00A8548C" w:rsidRDefault="007160E5" w:rsidP="007F59D7">
            <w:pPr>
              <w:pStyle w:val="16TableBody"/>
              <w:rPr>
                <w:sz w:val="20"/>
                <w:szCs w:val="20"/>
              </w:rPr>
            </w:pPr>
            <w:r w:rsidRPr="00A8548C">
              <w:rPr>
                <w:sz w:val="20"/>
                <w:szCs w:val="20"/>
              </w:rPr>
              <w:t>6,25x10</w:t>
            </w:r>
            <w:r w:rsidRPr="00A8548C">
              <w:rPr>
                <w:sz w:val="20"/>
                <w:szCs w:val="20"/>
                <w:vertAlign w:val="superscript"/>
              </w:rPr>
              <w:t>9</w:t>
            </w:r>
          </w:p>
        </w:tc>
        <w:tc>
          <w:tcPr>
            <w:tcW w:w="1540" w:type="dxa"/>
            <w:vAlign w:val="center"/>
          </w:tcPr>
          <w:p w14:paraId="2D69DF00" w14:textId="77777777" w:rsidR="007160E5" w:rsidRPr="00A8548C" w:rsidRDefault="007160E5" w:rsidP="007F59D7">
            <w:pPr>
              <w:pStyle w:val="16TableBody"/>
              <w:rPr>
                <w:sz w:val="20"/>
                <w:szCs w:val="20"/>
              </w:rPr>
            </w:pPr>
            <w:r w:rsidRPr="00A8548C">
              <w:rPr>
                <w:sz w:val="20"/>
                <w:szCs w:val="20"/>
              </w:rPr>
              <w:t>&gt;3x10</w:t>
            </w:r>
            <w:r w:rsidRPr="00A8548C">
              <w:rPr>
                <w:sz w:val="20"/>
                <w:szCs w:val="20"/>
                <w:vertAlign w:val="superscript"/>
              </w:rPr>
              <w:t>5</w:t>
            </w:r>
          </w:p>
          <w:p w14:paraId="519CDDBD" w14:textId="77777777" w:rsidR="007160E5" w:rsidRPr="00A8548C" w:rsidRDefault="007160E5" w:rsidP="007F59D7">
            <w:pPr>
              <w:pStyle w:val="16TableBody"/>
              <w:rPr>
                <w:sz w:val="20"/>
                <w:szCs w:val="20"/>
              </w:rPr>
            </w:pPr>
            <w:r w:rsidRPr="00A8548C">
              <w:rPr>
                <w:sz w:val="20"/>
                <w:szCs w:val="20"/>
              </w:rPr>
              <w:t>1,27x10</w:t>
            </w:r>
            <w:r w:rsidRPr="00A8548C">
              <w:rPr>
                <w:sz w:val="20"/>
                <w:szCs w:val="20"/>
                <w:vertAlign w:val="superscript"/>
              </w:rPr>
              <w:t>9</w:t>
            </w:r>
          </w:p>
        </w:tc>
      </w:tr>
      <w:tr w:rsidR="007160E5" w:rsidRPr="005F452D" w14:paraId="56A0675C" w14:textId="77777777" w:rsidTr="00A8548C">
        <w:trPr>
          <w:trHeight w:val="790"/>
        </w:trPr>
        <w:tc>
          <w:tcPr>
            <w:tcW w:w="1000" w:type="dxa"/>
            <w:vAlign w:val="center"/>
          </w:tcPr>
          <w:p w14:paraId="5BBEA35E" w14:textId="77777777" w:rsidR="007160E5" w:rsidRPr="00A8548C" w:rsidRDefault="007160E5" w:rsidP="007F59D7">
            <w:pPr>
              <w:pStyle w:val="16TableBody"/>
              <w:rPr>
                <w:sz w:val="20"/>
                <w:szCs w:val="20"/>
              </w:rPr>
            </w:pPr>
            <w:r w:rsidRPr="00A8548C">
              <w:rPr>
                <w:i/>
                <w:sz w:val="20"/>
                <w:szCs w:val="20"/>
              </w:rPr>
              <w:t xml:space="preserve">Agave </w:t>
            </w:r>
            <w:r w:rsidRPr="00A8548C">
              <w:rPr>
                <w:sz w:val="20"/>
                <w:szCs w:val="20"/>
              </w:rPr>
              <w:t>broth+ CAT 1</w:t>
            </w:r>
          </w:p>
        </w:tc>
        <w:tc>
          <w:tcPr>
            <w:tcW w:w="972" w:type="dxa"/>
            <w:vAlign w:val="center"/>
          </w:tcPr>
          <w:p w14:paraId="3B8E463C" w14:textId="77777777" w:rsidR="007160E5" w:rsidRPr="00A8548C" w:rsidRDefault="007160E5" w:rsidP="007F59D7">
            <w:pPr>
              <w:pStyle w:val="16TableBody"/>
              <w:rPr>
                <w:sz w:val="20"/>
                <w:szCs w:val="20"/>
              </w:rPr>
            </w:pPr>
            <w:r w:rsidRPr="00A8548C">
              <w:rPr>
                <w:sz w:val="20"/>
                <w:szCs w:val="20"/>
              </w:rPr>
              <w:t>10</w:t>
            </w:r>
            <w:r w:rsidRPr="00A8548C">
              <w:rPr>
                <w:sz w:val="20"/>
                <w:szCs w:val="20"/>
                <w:vertAlign w:val="superscript"/>
              </w:rPr>
              <w:t>-2</w:t>
            </w:r>
          </w:p>
          <w:p w14:paraId="5C2933A7" w14:textId="77777777" w:rsidR="007160E5" w:rsidRPr="00A8548C" w:rsidRDefault="007160E5" w:rsidP="007F59D7">
            <w:pPr>
              <w:pStyle w:val="16TableBody"/>
              <w:rPr>
                <w:sz w:val="20"/>
                <w:szCs w:val="20"/>
              </w:rPr>
            </w:pPr>
            <w:r w:rsidRPr="00A8548C">
              <w:rPr>
                <w:sz w:val="20"/>
                <w:szCs w:val="20"/>
              </w:rPr>
              <w:t>10</w:t>
            </w:r>
            <w:r w:rsidRPr="00A8548C">
              <w:rPr>
                <w:sz w:val="20"/>
                <w:szCs w:val="20"/>
                <w:vertAlign w:val="superscript"/>
              </w:rPr>
              <w:t>-6</w:t>
            </w:r>
          </w:p>
        </w:tc>
        <w:tc>
          <w:tcPr>
            <w:tcW w:w="1380" w:type="dxa"/>
            <w:vAlign w:val="center"/>
          </w:tcPr>
          <w:p w14:paraId="33AF6EED" w14:textId="77777777" w:rsidR="007160E5" w:rsidRPr="00A8548C" w:rsidRDefault="007160E5" w:rsidP="007F59D7">
            <w:pPr>
              <w:pStyle w:val="16TableBody"/>
              <w:rPr>
                <w:sz w:val="20"/>
                <w:szCs w:val="20"/>
              </w:rPr>
            </w:pPr>
            <w:r w:rsidRPr="00A8548C">
              <w:rPr>
                <w:sz w:val="20"/>
                <w:szCs w:val="20"/>
              </w:rPr>
              <w:t>5,64x10</w:t>
            </w:r>
            <w:r w:rsidRPr="00A8548C">
              <w:rPr>
                <w:sz w:val="20"/>
                <w:szCs w:val="20"/>
                <w:vertAlign w:val="superscript"/>
              </w:rPr>
              <w:t>8</w:t>
            </w:r>
          </w:p>
          <w:p w14:paraId="6C3F4B18" w14:textId="77777777" w:rsidR="007160E5" w:rsidRPr="00A8548C" w:rsidRDefault="007160E5" w:rsidP="007F59D7">
            <w:pPr>
              <w:pStyle w:val="16TableBody"/>
              <w:rPr>
                <w:sz w:val="20"/>
                <w:szCs w:val="20"/>
              </w:rPr>
            </w:pPr>
            <w:r w:rsidRPr="00A8548C">
              <w:rPr>
                <w:sz w:val="20"/>
                <w:szCs w:val="20"/>
              </w:rPr>
              <w:t>5x10</w:t>
            </w:r>
            <w:r w:rsidRPr="00A8548C">
              <w:rPr>
                <w:sz w:val="20"/>
                <w:szCs w:val="20"/>
                <w:vertAlign w:val="superscript"/>
              </w:rPr>
              <w:t>9</w:t>
            </w:r>
          </w:p>
        </w:tc>
        <w:tc>
          <w:tcPr>
            <w:tcW w:w="1540" w:type="dxa"/>
            <w:vAlign w:val="center"/>
          </w:tcPr>
          <w:p w14:paraId="5330BF1E" w14:textId="77777777" w:rsidR="007160E5" w:rsidRPr="00A8548C" w:rsidRDefault="007160E5" w:rsidP="007F59D7">
            <w:pPr>
              <w:pStyle w:val="16TableBody"/>
              <w:rPr>
                <w:sz w:val="20"/>
                <w:szCs w:val="20"/>
              </w:rPr>
            </w:pPr>
            <w:r w:rsidRPr="00A8548C">
              <w:rPr>
                <w:sz w:val="20"/>
                <w:szCs w:val="20"/>
              </w:rPr>
              <w:t>&gt;3x10</w:t>
            </w:r>
            <w:r w:rsidRPr="00A8548C">
              <w:rPr>
                <w:sz w:val="20"/>
                <w:szCs w:val="20"/>
                <w:vertAlign w:val="superscript"/>
              </w:rPr>
              <w:t>5</w:t>
            </w:r>
          </w:p>
          <w:p w14:paraId="1020D537" w14:textId="77777777" w:rsidR="007160E5" w:rsidRPr="00A8548C" w:rsidRDefault="007160E5" w:rsidP="007F59D7">
            <w:pPr>
              <w:pStyle w:val="16TableBody"/>
              <w:rPr>
                <w:sz w:val="20"/>
                <w:szCs w:val="20"/>
              </w:rPr>
            </w:pPr>
            <w:r w:rsidRPr="00A8548C">
              <w:rPr>
                <w:sz w:val="20"/>
                <w:szCs w:val="20"/>
              </w:rPr>
              <w:t>8,3x10</w:t>
            </w:r>
            <w:r w:rsidRPr="00A8548C">
              <w:rPr>
                <w:sz w:val="20"/>
                <w:szCs w:val="20"/>
                <w:vertAlign w:val="superscript"/>
              </w:rPr>
              <w:t>8</w:t>
            </w:r>
          </w:p>
        </w:tc>
      </w:tr>
      <w:tr w:rsidR="007160E5" w:rsidRPr="005F452D" w14:paraId="115CC99B" w14:textId="77777777" w:rsidTr="00A8548C">
        <w:trPr>
          <w:trHeight w:val="805"/>
        </w:trPr>
        <w:tc>
          <w:tcPr>
            <w:tcW w:w="1000" w:type="dxa"/>
            <w:vAlign w:val="center"/>
          </w:tcPr>
          <w:p w14:paraId="62AA2018" w14:textId="77777777" w:rsidR="007160E5" w:rsidRPr="00A8548C" w:rsidRDefault="007160E5" w:rsidP="007F59D7">
            <w:pPr>
              <w:pStyle w:val="16TableBody"/>
              <w:rPr>
                <w:sz w:val="20"/>
                <w:szCs w:val="20"/>
              </w:rPr>
            </w:pPr>
            <w:r w:rsidRPr="00A8548C">
              <w:rPr>
                <w:i/>
                <w:sz w:val="20"/>
                <w:szCs w:val="20"/>
              </w:rPr>
              <w:t>Agave</w:t>
            </w:r>
            <w:r w:rsidRPr="00A8548C">
              <w:rPr>
                <w:sz w:val="20"/>
                <w:szCs w:val="20"/>
              </w:rPr>
              <w:t xml:space="preserve"> broth (control)</w:t>
            </w:r>
          </w:p>
        </w:tc>
        <w:tc>
          <w:tcPr>
            <w:tcW w:w="972" w:type="dxa"/>
            <w:vAlign w:val="center"/>
          </w:tcPr>
          <w:p w14:paraId="339E133C" w14:textId="77777777" w:rsidR="007160E5" w:rsidRPr="00A8548C" w:rsidRDefault="007160E5" w:rsidP="007F59D7">
            <w:pPr>
              <w:pStyle w:val="16TableBody"/>
              <w:rPr>
                <w:sz w:val="20"/>
                <w:szCs w:val="20"/>
              </w:rPr>
            </w:pPr>
            <w:r w:rsidRPr="00A8548C">
              <w:rPr>
                <w:sz w:val="20"/>
                <w:szCs w:val="20"/>
              </w:rPr>
              <w:t>10</w:t>
            </w:r>
            <w:r w:rsidRPr="00A8548C">
              <w:rPr>
                <w:sz w:val="20"/>
                <w:szCs w:val="20"/>
                <w:vertAlign w:val="superscript"/>
              </w:rPr>
              <w:t>-2</w:t>
            </w:r>
          </w:p>
          <w:p w14:paraId="5254A875" w14:textId="77777777" w:rsidR="007160E5" w:rsidRPr="00A8548C" w:rsidRDefault="007160E5" w:rsidP="007F59D7">
            <w:pPr>
              <w:pStyle w:val="16TableBody"/>
              <w:rPr>
                <w:sz w:val="20"/>
                <w:szCs w:val="20"/>
              </w:rPr>
            </w:pPr>
            <w:r w:rsidRPr="00A8548C">
              <w:rPr>
                <w:sz w:val="20"/>
                <w:szCs w:val="20"/>
              </w:rPr>
              <w:t>10</w:t>
            </w:r>
            <w:r w:rsidRPr="00A8548C">
              <w:rPr>
                <w:sz w:val="20"/>
                <w:szCs w:val="20"/>
                <w:vertAlign w:val="superscript"/>
              </w:rPr>
              <w:t>-6</w:t>
            </w:r>
          </w:p>
        </w:tc>
        <w:tc>
          <w:tcPr>
            <w:tcW w:w="1380" w:type="dxa"/>
            <w:vAlign w:val="center"/>
          </w:tcPr>
          <w:p w14:paraId="14CF6B2C" w14:textId="77777777" w:rsidR="007160E5" w:rsidRPr="00A8548C" w:rsidRDefault="007160E5" w:rsidP="007F59D7">
            <w:pPr>
              <w:pStyle w:val="16TableBody"/>
              <w:rPr>
                <w:sz w:val="20"/>
                <w:szCs w:val="20"/>
              </w:rPr>
            </w:pPr>
            <w:r w:rsidRPr="00A8548C">
              <w:rPr>
                <w:sz w:val="20"/>
                <w:szCs w:val="20"/>
              </w:rPr>
              <w:t>0</w:t>
            </w:r>
          </w:p>
          <w:p w14:paraId="744F2237" w14:textId="77777777" w:rsidR="007160E5" w:rsidRPr="00A8548C" w:rsidRDefault="007160E5" w:rsidP="007F59D7">
            <w:pPr>
              <w:pStyle w:val="16TableBody"/>
              <w:rPr>
                <w:sz w:val="20"/>
                <w:szCs w:val="20"/>
              </w:rPr>
            </w:pPr>
            <w:r w:rsidRPr="00A8548C">
              <w:rPr>
                <w:sz w:val="20"/>
                <w:szCs w:val="20"/>
              </w:rPr>
              <w:t>0</w:t>
            </w:r>
          </w:p>
        </w:tc>
        <w:tc>
          <w:tcPr>
            <w:tcW w:w="1540" w:type="dxa"/>
            <w:vAlign w:val="center"/>
          </w:tcPr>
          <w:p w14:paraId="1AE090C4" w14:textId="77777777" w:rsidR="007160E5" w:rsidRPr="00A8548C" w:rsidRDefault="007160E5" w:rsidP="007F59D7">
            <w:pPr>
              <w:pStyle w:val="16TableBody"/>
              <w:rPr>
                <w:sz w:val="20"/>
                <w:szCs w:val="20"/>
              </w:rPr>
            </w:pPr>
            <w:r w:rsidRPr="00A8548C">
              <w:rPr>
                <w:sz w:val="20"/>
                <w:szCs w:val="20"/>
              </w:rPr>
              <w:t>0</w:t>
            </w:r>
          </w:p>
          <w:p w14:paraId="341E818D" w14:textId="77777777" w:rsidR="007160E5" w:rsidRPr="00A8548C" w:rsidRDefault="007160E5" w:rsidP="007F59D7">
            <w:pPr>
              <w:pStyle w:val="16TableBody"/>
              <w:rPr>
                <w:sz w:val="20"/>
                <w:szCs w:val="20"/>
              </w:rPr>
            </w:pPr>
            <w:r w:rsidRPr="00A8548C">
              <w:rPr>
                <w:sz w:val="20"/>
                <w:szCs w:val="20"/>
              </w:rPr>
              <w:t>0</w:t>
            </w:r>
          </w:p>
        </w:tc>
      </w:tr>
    </w:tbl>
    <w:p w14:paraId="52197816" w14:textId="626AFECD" w:rsidR="00BF2977" w:rsidRDefault="00BF2977" w:rsidP="00392471">
      <w:pPr>
        <w:pStyle w:val="09BodyIndent"/>
        <w:spacing w:line="480" w:lineRule="auto"/>
        <w:jc w:val="center"/>
        <w:rPr>
          <w:sz w:val="20"/>
          <w:szCs w:val="20"/>
        </w:rPr>
      </w:pPr>
      <w:r w:rsidRPr="00BF2977">
        <w:rPr>
          <w:sz w:val="20"/>
          <w:szCs w:val="20"/>
        </w:rPr>
        <w:t>Source: authors</w:t>
      </w:r>
    </w:p>
    <w:p w14:paraId="284238ED" w14:textId="77777777" w:rsidR="00BF2977" w:rsidRPr="00BF2977" w:rsidRDefault="00BF2977" w:rsidP="00BF2977">
      <w:pPr>
        <w:pStyle w:val="09BodyIndent"/>
        <w:spacing w:line="480" w:lineRule="auto"/>
        <w:rPr>
          <w:sz w:val="20"/>
          <w:szCs w:val="20"/>
        </w:rPr>
      </w:pPr>
    </w:p>
    <w:p w14:paraId="23BE65B2" w14:textId="5DA561A6" w:rsidR="00BF2977" w:rsidRPr="00BF2977" w:rsidRDefault="002E7628" w:rsidP="00BF2977">
      <w:pPr>
        <w:pStyle w:val="09BodyIndent"/>
        <w:spacing w:line="480" w:lineRule="auto"/>
        <w:rPr>
          <w:lang w:val="en-US"/>
        </w:rPr>
      </w:pPr>
      <w:r w:rsidRPr="00BF2977">
        <w:rPr>
          <w:lang w:val="en-US"/>
        </w:rPr>
        <w:t xml:space="preserve">The differentiation was </w:t>
      </w:r>
      <w:r w:rsidR="00723050" w:rsidRPr="00BF2977">
        <w:rPr>
          <w:lang w:val="en-US"/>
        </w:rPr>
        <w:t>because</w:t>
      </w:r>
      <w:r w:rsidRPr="00BF2977">
        <w:rPr>
          <w:lang w:val="en-US"/>
        </w:rPr>
        <w:t xml:space="preserve"> viable cells appear transparent, while non-viable cells turn blue due to the retention of methylene blue inside, as observed in Figure 3.</w:t>
      </w:r>
    </w:p>
    <w:p w14:paraId="77B1F9BB" w14:textId="07298107" w:rsidR="002E7628" w:rsidRPr="00BF2977" w:rsidRDefault="002E7628" w:rsidP="00BF2977">
      <w:pPr>
        <w:pStyle w:val="09BodyIndent"/>
        <w:spacing w:line="480" w:lineRule="auto"/>
        <w:rPr>
          <w:lang w:val="en-US"/>
        </w:rPr>
      </w:pPr>
      <w:r w:rsidRPr="00BF2977">
        <w:rPr>
          <w:b/>
          <w:lang w:val="en-US"/>
        </w:rPr>
        <w:t>Figure 3</w:t>
      </w:r>
      <w:r w:rsidRPr="00BF2977">
        <w:rPr>
          <w:lang w:val="en-US"/>
        </w:rPr>
        <w:t xml:space="preserve">. Methylene blue staining difference between viable and non-viable cells, observed </w:t>
      </w:r>
      <w:r w:rsidRPr="00BF2977">
        <w:rPr>
          <w:lang w:val="en-US"/>
        </w:rPr>
        <w:lastRenderedPageBreak/>
        <w:t>under an optical microscope at 400x magnification.</w:t>
      </w:r>
    </w:p>
    <w:p w14:paraId="7C9917E6" w14:textId="6F321BE2" w:rsidR="002E7628" w:rsidRPr="002E7628" w:rsidRDefault="00D54A7A" w:rsidP="00392471">
      <w:pPr>
        <w:pStyle w:val="09BodyIndent"/>
        <w:spacing w:line="480" w:lineRule="auto"/>
        <w:jc w:val="center"/>
      </w:pPr>
      <w:r>
        <w:rPr>
          <w:noProof/>
        </w:rPr>
        <w:drawing>
          <wp:inline distT="0" distB="0" distL="0" distR="0" wp14:anchorId="2ACEFC24" wp14:editId="6DD5060A">
            <wp:extent cx="1746250" cy="1680970"/>
            <wp:effectExtent l="0" t="0" r="6350" b="0"/>
            <wp:docPr id="1251326147" name="Imagem 14" descr="Uma imagem contendo Interface gráfica do usuári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Uma imagem contendo Interface gráfica do usuário&#10;&#10;O conteúdo gerado por IA pode estar incorret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47433" cy="1682109"/>
                    </a:xfrm>
                    <a:prstGeom prst="rect">
                      <a:avLst/>
                    </a:prstGeom>
                    <a:noFill/>
                    <a:ln>
                      <a:noFill/>
                    </a:ln>
                  </pic:spPr>
                </pic:pic>
              </a:graphicData>
            </a:graphic>
          </wp:inline>
        </w:drawing>
      </w:r>
    </w:p>
    <w:p w14:paraId="01C685DB" w14:textId="4AA36732" w:rsidR="002E7628" w:rsidRDefault="002E7628" w:rsidP="00392471">
      <w:pPr>
        <w:pStyle w:val="09BodyIndent"/>
        <w:spacing w:line="480" w:lineRule="auto"/>
        <w:jc w:val="center"/>
        <w:rPr>
          <w:sz w:val="20"/>
          <w:szCs w:val="20"/>
          <w:lang w:val="en-US"/>
        </w:rPr>
      </w:pPr>
      <w:r w:rsidRPr="00BF2977">
        <w:rPr>
          <w:sz w:val="20"/>
          <w:szCs w:val="20"/>
          <w:lang w:val="en-US"/>
        </w:rPr>
        <w:t>Source: authors</w:t>
      </w:r>
      <w:r w:rsidR="00CD3897">
        <w:rPr>
          <w:sz w:val="20"/>
          <w:szCs w:val="20"/>
          <w:lang w:val="en-US"/>
        </w:rPr>
        <w:t>.</w:t>
      </w:r>
    </w:p>
    <w:p w14:paraId="0C4535A2" w14:textId="77777777" w:rsidR="00CD3897" w:rsidRPr="00BF2977" w:rsidRDefault="00CD3897" w:rsidP="00BF2977">
      <w:pPr>
        <w:pStyle w:val="09BodyIndent"/>
        <w:spacing w:line="480" w:lineRule="auto"/>
        <w:rPr>
          <w:sz w:val="20"/>
          <w:szCs w:val="20"/>
          <w:lang w:val="en-US"/>
        </w:rPr>
      </w:pPr>
    </w:p>
    <w:p w14:paraId="36041931" w14:textId="06BB82C4" w:rsidR="00375D4E" w:rsidRPr="00BF2977" w:rsidRDefault="00375D4E" w:rsidP="00BF2977">
      <w:pPr>
        <w:pStyle w:val="22Heading3"/>
        <w:spacing w:line="480" w:lineRule="auto"/>
        <w:rPr>
          <w:rFonts w:eastAsia="SimSun"/>
          <w:lang w:val="en-US" w:eastAsia="zh-CN"/>
        </w:rPr>
      </w:pPr>
      <w:r w:rsidRPr="00BF2977">
        <w:rPr>
          <w:lang w:val="en-US"/>
        </w:rPr>
        <w:t>3</w:t>
      </w:r>
      <w:r w:rsidRPr="00BF2977">
        <w:rPr>
          <w:rFonts w:hint="eastAsia"/>
          <w:lang w:val="en-US"/>
        </w:rPr>
        <w:t>.</w:t>
      </w:r>
      <w:r w:rsidRPr="00BF2977">
        <w:rPr>
          <w:lang w:val="en-US"/>
        </w:rPr>
        <w:t>2</w:t>
      </w:r>
      <w:r w:rsidRPr="00BF2977">
        <w:rPr>
          <w:rFonts w:hint="eastAsia"/>
          <w:lang w:val="en-US"/>
        </w:rPr>
        <w:t>.</w:t>
      </w:r>
      <w:r w:rsidRPr="00BF2977">
        <w:rPr>
          <w:lang w:val="en-US"/>
        </w:rPr>
        <w:t xml:space="preserve"> </w:t>
      </w:r>
      <w:r w:rsidR="00535FC6" w:rsidRPr="00BF2977">
        <w:rPr>
          <w:lang w:val="en-US"/>
        </w:rPr>
        <w:t>Viability Count from Growth in BDA Medium</w:t>
      </w:r>
    </w:p>
    <w:p w14:paraId="7CD38035" w14:textId="030B59A3" w:rsidR="00330F73" w:rsidRPr="00BF2977" w:rsidRDefault="000B1D96" w:rsidP="00BF2977">
      <w:pPr>
        <w:pStyle w:val="09BodyIndent"/>
        <w:spacing w:line="480" w:lineRule="auto"/>
        <w:rPr>
          <w:lang w:val="en-US"/>
        </w:rPr>
      </w:pPr>
      <w:r w:rsidRPr="00BF2977">
        <w:rPr>
          <w:lang w:val="en-US"/>
        </w:rPr>
        <w:t>The colony-forming unit (CFU) count in plates containing BDA medium was performed after 24 hours from inoculation. The results are presented in Table 1.</w:t>
      </w:r>
    </w:p>
    <w:p w14:paraId="7458F144" w14:textId="7E9C259C" w:rsidR="000B1D96" w:rsidRPr="00BF2977" w:rsidRDefault="000B1D96" w:rsidP="00BF2977">
      <w:pPr>
        <w:pStyle w:val="22Heading3"/>
        <w:spacing w:line="480" w:lineRule="auto"/>
        <w:rPr>
          <w:rFonts w:eastAsia="SimSun"/>
          <w:lang w:val="en-US" w:eastAsia="zh-CN"/>
        </w:rPr>
      </w:pPr>
      <w:r w:rsidRPr="00BF2977">
        <w:rPr>
          <w:lang w:val="en-US"/>
        </w:rPr>
        <w:t>3</w:t>
      </w:r>
      <w:r w:rsidRPr="00BF2977">
        <w:rPr>
          <w:rFonts w:hint="eastAsia"/>
          <w:lang w:val="en-US"/>
        </w:rPr>
        <w:t>.</w:t>
      </w:r>
      <w:r w:rsidRPr="00BF2977">
        <w:rPr>
          <w:lang w:val="en-US"/>
        </w:rPr>
        <w:t>3</w:t>
      </w:r>
      <w:r w:rsidRPr="00BF2977">
        <w:rPr>
          <w:rFonts w:hint="eastAsia"/>
          <w:lang w:val="en-US"/>
        </w:rPr>
        <w:t>.</w:t>
      </w:r>
      <w:r w:rsidRPr="00BF2977">
        <w:rPr>
          <w:lang w:val="en-US"/>
        </w:rPr>
        <w:t xml:space="preserve"> </w:t>
      </w:r>
      <w:r w:rsidR="00DC64A4" w:rsidRPr="00BF2977">
        <w:rPr>
          <w:lang w:val="en-US"/>
        </w:rPr>
        <w:t>Viability Count Using Resazurin</w:t>
      </w:r>
    </w:p>
    <w:p w14:paraId="44C2F72B" w14:textId="0D865E80" w:rsidR="000C72A1" w:rsidRDefault="00DC64A4" w:rsidP="00BF2977">
      <w:pPr>
        <w:pStyle w:val="09BodyIndent"/>
        <w:spacing w:line="480" w:lineRule="auto"/>
        <w:rPr>
          <w:lang w:val="en-US"/>
        </w:rPr>
      </w:pPr>
      <w:r w:rsidRPr="00BF2977">
        <w:rPr>
          <w:lang w:val="en-US"/>
        </w:rPr>
        <w:t>The cellular viability evaluation for the resazurin assay showed that, at the 10</w:t>
      </w:r>
      <w:r w:rsidRPr="00BF2977">
        <w:rPr>
          <w:vertAlign w:val="superscript"/>
          <w:lang w:val="en-US"/>
        </w:rPr>
        <w:t>-1</w:t>
      </w:r>
      <w:r w:rsidRPr="00BF2977">
        <w:rPr>
          <w:lang w:val="en-US"/>
        </w:rPr>
        <w:t xml:space="preserve"> dilution, </w:t>
      </w:r>
      <w:r w:rsidRPr="00BF2977">
        <w:rPr>
          <w:i/>
          <w:lang w:val="en-US"/>
        </w:rPr>
        <w:t>Agave</w:t>
      </w:r>
      <w:r w:rsidRPr="00BF2977">
        <w:rPr>
          <w:lang w:val="en-US"/>
        </w:rPr>
        <w:t xml:space="preserve"> broth exhibited maximum viability (Figure 4). At the 10</w:t>
      </w:r>
      <w:r w:rsidRPr="00BF2977">
        <w:rPr>
          <w:vertAlign w:val="superscript"/>
          <w:lang w:val="en-US"/>
        </w:rPr>
        <w:t>-2</w:t>
      </w:r>
      <w:r w:rsidRPr="00BF2977">
        <w:rPr>
          <w:lang w:val="en-US"/>
        </w:rPr>
        <w:t xml:space="preserve"> dilution, no significant reduction was observed, with similar values between the media (47.6% for YPD and 47.4% for Agave broth). From the 10</w:t>
      </w:r>
      <w:r w:rsidRPr="00BF2977">
        <w:rPr>
          <w:vertAlign w:val="superscript"/>
          <w:lang w:val="en-US"/>
        </w:rPr>
        <w:t>-3</w:t>
      </w:r>
      <w:r w:rsidRPr="00BF2977">
        <w:rPr>
          <w:lang w:val="en-US"/>
        </w:rPr>
        <w:t xml:space="preserve"> dilution onwards, viability was significantly reduced, with values of 3.3% for </w:t>
      </w:r>
      <w:r w:rsidRPr="00BF2977">
        <w:rPr>
          <w:lang w:val="en-US"/>
        </w:rPr>
        <w:t>YPD and 0.5% for Agave broth. No activity indicative of cellular viability was detected in subsequent dilutions for any of the treatments.</w:t>
      </w:r>
    </w:p>
    <w:p w14:paraId="5208E1E0" w14:textId="77777777" w:rsidR="00BF2977" w:rsidRPr="00BF2977" w:rsidRDefault="00BF2977" w:rsidP="00BF2977">
      <w:pPr>
        <w:pStyle w:val="09BodyIndent"/>
        <w:spacing w:line="480" w:lineRule="auto"/>
        <w:rPr>
          <w:lang w:val="en-US"/>
        </w:rPr>
      </w:pPr>
    </w:p>
    <w:p w14:paraId="63F48386" w14:textId="6248F0ED" w:rsidR="0058298A" w:rsidRPr="00BF2977" w:rsidRDefault="0058298A" w:rsidP="00BF2977">
      <w:pPr>
        <w:pStyle w:val="09BodyIndent"/>
        <w:spacing w:line="480" w:lineRule="auto"/>
        <w:rPr>
          <w:lang w:val="en-US"/>
        </w:rPr>
      </w:pPr>
      <w:r w:rsidRPr="00BF2977">
        <w:rPr>
          <w:b/>
          <w:lang w:val="en-US"/>
        </w:rPr>
        <w:t>Figure 4</w:t>
      </w:r>
      <w:r w:rsidRPr="00BF2977">
        <w:rPr>
          <w:lang w:val="en-US"/>
        </w:rPr>
        <w:t>. Viability results (%) of yeast cells based on resazurin staining.</w:t>
      </w:r>
    </w:p>
    <w:p w14:paraId="69133ACB" w14:textId="6E5742AA" w:rsidR="0058298A" w:rsidRPr="0058298A" w:rsidRDefault="005C4281" w:rsidP="00BF2977">
      <w:pPr>
        <w:pStyle w:val="09BodyIndent"/>
        <w:spacing w:line="480" w:lineRule="auto"/>
      </w:pPr>
      <w:r>
        <w:rPr>
          <w:noProof/>
        </w:rPr>
        <w:drawing>
          <wp:inline distT="0" distB="0" distL="0" distR="0" wp14:anchorId="013CF7E3" wp14:editId="4D2B364D">
            <wp:extent cx="3278768" cy="2067091"/>
            <wp:effectExtent l="0" t="0" r="0" b="9525"/>
            <wp:docPr id="187921050"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94693" cy="2077131"/>
                    </a:xfrm>
                    <a:prstGeom prst="rect">
                      <a:avLst/>
                    </a:prstGeom>
                    <a:noFill/>
                  </pic:spPr>
                </pic:pic>
              </a:graphicData>
            </a:graphic>
          </wp:inline>
        </w:drawing>
      </w:r>
    </w:p>
    <w:p w14:paraId="5DE7FDAC" w14:textId="1F9F7A27" w:rsidR="007F59D7" w:rsidRDefault="0058298A" w:rsidP="005B543E">
      <w:pPr>
        <w:pStyle w:val="09BodyIndent"/>
        <w:spacing w:line="480" w:lineRule="auto"/>
        <w:jc w:val="center"/>
        <w:rPr>
          <w:sz w:val="20"/>
          <w:szCs w:val="20"/>
        </w:rPr>
      </w:pPr>
      <w:r w:rsidRPr="00BF2977">
        <w:rPr>
          <w:sz w:val="20"/>
          <w:szCs w:val="20"/>
        </w:rPr>
        <w:t>Source: authors</w:t>
      </w:r>
    </w:p>
    <w:p w14:paraId="6824F827" w14:textId="77777777" w:rsidR="00BF2977" w:rsidRPr="00BF2977" w:rsidRDefault="00BF2977" w:rsidP="00BF2977">
      <w:pPr>
        <w:pStyle w:val="09BodyIndent"/>
        <w:spacing w:line="480" w:lineRule="auto"/>
        <w:rPr>
          <w:sz w:val="20"/>
          <w:szCs w:val="20"/>
        </w:rPr>
      </w:pPr>
    </w:p>
    <w:p w14:paraId="0D5CC74D" w14:textId="2837BCCA" w:rsidR="00B15D9B" w:rsidRPr="002308B9" w:rsidRDefault="002308B9" w:rsidP="00BF2977">
      <w:pPr>
        <w:pStyle w:val="20Heading1"/>
        <w:numPr>
          <w:ilvl w:val="0"/>
          <w:numId w:val="31"/>
        </w:numPr>
        <w:spacing w:line="480" w:lineRule="auto"/>
      </w:pPr>
      <w:r w:rsidRPr="3319FF44">
        <w:rPr>
          <w:lang w:val="pt-BR"/>
        </w:rPr>
        <w:t>Discussions</w:t>
      </w:r>
    </w:p>
    <w:p w14:paraId="4CFD8CB6" w14:textId="415F1FB2" w:rsidR="00285CDD" w:rsidRPr="00BF2977" w:rsidRDefault="00285CDD" w:rsidP="00BF2977">
      <w:pPr>
        <w:pStyle w:val="09BodyIndent"/>
        <w:spacing w:line="480" w:lineRule="auto"/>
        <w:rPr>
          <w:lang w:val="en-US"/>
        </w:rPr>
      </w:pPr>
      <w:r w:rsidRPr="00B71306">
        <w:rPr>
          <w:lang w:val="en-US"/>
        </w:rPr>
        <w:t>Some classical methods for determining cell viability may exhibit low efficiency under cellular stress conditions</w:t>
      </w:r>
      <w:r w:rsidR="00B71306">
        <w:rPr>
          <w:lang w:val="en-US"/>
        </w:rPr>
        <w:t xml:space="preserve"> [4-5]</w:t>
      </w:r>
      <w:r w:rsidRPr="00B71306">
        <w:rPr>
          <w:lang w:val="en-US"/>
        </w:rPr>
        <w:t xml:space="preserve">. </w:t>
      </w:r>
      <w:r w:rsidRPr="00BF2977">
        <w:rPr>
          <w:lang w:val="en-US"/>
        </w:rPr>
        <w:t xml:space="preserve">The production of ethanol from </w:t>
      </w:r>
      <w:r w:rsidRPr="00BF2977">
        <w:rPr>
          <w:i/>
          <w:lang w:val="en-US"/>
        </w:rPr>
        <w:t>Agave sisalana</w:t>
      </w:r>
      <w:r w:rsidRPr="00BF2977">
        <w:rPr>
          <w:lang w:val="en-US"/>
        </w:rPr>
        <w:t xml:space="preserve"> juice is unprecedented, and therefore, studies on the behavior of yeasts in this material are virtually non-existent. </w:t>
      </w:r>
      <w:r w:rsidRPr="00BF2977">
        <w:rPr>
          <w:i/>
          <w:lang w:val="en-US"/>
        </w:rPr>
        <w:t xml:space="preserve">Agave </w:t>
      </w:r>
      <w:r w:rsidRPr="00BF2977">
        <w:rPr>
          <w:lang w:val="en-US"/>
        </w:rPr>
        <w:t>juice may contain components (particles, saponins, organic acids) that could affect the physiological behavior of yeasts, inducing stress in the cells.</w:t>
      </w:r>
    </w:p>
    <w:p w14:paraId="480BCC5D" w14:textId="51D4D2B6" w:rsidR="00285CDD" w:rsidRPr="00B71306" w:rsidRDefault="00285CDD" w:rsidP="00BF2977">
      <w:pPr>
        <w:pStyle w:val="09BodyIndent"/>
        <w:spacing w:line="480" w:lineRule="auto"/>
        <w:rPr>
          <w:lang w:val="en-US"/>
        </w:rPr>
      </w:pPr>
      <w:r w:rsidRPr="00B71306">
        <w:rPr>
          <w:lang w:val="en-US"/>
        </w:rPr>
        <w:lastRenderedPageBreak/>
        <w:t xml:space="preserve">It is noteworthy that counting a large number of samples also affects the efficiency of the method </w:t>
      </w:r>
      <w:r w:rsidR="00B71306">
        <w:rPr>
          <w:lang w:val="en-US"/>
        </w:rPr>
        <w:t>[6]</w:t>
      </w:r>
      <w:r w:rsidRPr="00B71306">
        <w:rPr>
          <w:lang w:val="en-US"/>
        </w:rPr>
        <w:t xml:space="preserve">. </w:t>
      </w:r>
    </w:p>
    <w:p w14:paraId="05E76B01" w14:textId="192363E4" w:rsidR="00285CDD" w:rsidRPr="00BF2977" w:rsidRDefault="00285CDD" w:rsidP="00BF2977">
      <w:pPr>
        <w:pStyle w:val="09BodyIndent"/>
        <w:spacing w:line="480" w:lineRule="auto"/>
        <w:rPr>
          <w:lang w:val="en-US"/>
        </w:rPr>
      </w:pPr>
      <w:r w:rsidRPr="00B71306">
        <w:rPr>
          <w:lang w:val="en-US"/>
        </w:rPr>
        <w:t>To reliably determine cell viability, CFU counting is the most suitable method</w:t>
      </w:r>
      <w:r w:rsidR="00B71306">
        <w:rPr>
          <w:lang w:val="en-US"/>
        </w:rPr>
        <w:t xml:space="preserve"> </w:t>
      </w:r>
      <w:r w:rsidR="00B71306" w:rsidRPr="00B71306">
        <w:rPr>
          <w:lang w:val="en-US"/>
        </w:rPr>
        <w:t>[</w:t>
      </w:r>
      <w:r w:rsidR="00B71306">
        <w:rPr>
          <w:lang w:val="en-US"/>
        </w:rPr>
        <w:t>7]</w:t>
      </w:r>
      <w:r w:rsidRPr="00B71306">
        <w:rPr>
          <w:lang w:val="en-US"/>
        </w:rPr>
        <w:t xml:space="preserve">; however, it is time-consuming. </w:t>
      </w:r>
      <w:r w:rsidRPr="00BF2977">
        <w:rPr>
          <w:lang w:val="en-US"/>
        </w:rPr>
        <w:t>Table 1 shows a 10</w:t>
      </w:r>
      <w:r w:rsidR="00A05ECE" w:rsidRPr="00BF2977">
        <w:rPr>
          <w:lang w:val="en-US"/>
        </w:rPr>
        <w:t>x</w:t>
      </w:r>
      <w:r w:rsidRPr="00BF2977">
        <w:rPr>
          <w:lang w:val="en-US"/>
        </w:rPr>
        <w:t xml:space="preserve"> decrease in CFU of yeasts cultivated in </w:t>
      </w:r>
      <w:r w:rsidRPr="00BF2977">
        <w:rPr>
          <w:i/>
          <w:lang w:val="en-US"/>
        </w:rPr>
        <w:t xml:space="preserve">Agave </w:t>
      </w:r>
      <w:r w:rsidRPr="00BF2977">
        <w:rPr>
          <w:lang w:val="en-US"/>
        </w:rPr>
        <w:t>juice compared to the YPD cultivation medium. However, it was not possible to correlate the decrease in cell viability between the standard medium (YPD) and Agave juice using the methylene blue method.</w:t>
      </w:r>
    </w:p>
    <w:p w14:paraId="2B664342" w14:textId="7C374E7E" w:rsidR="00285CDD" w:rsidRPr="00710E88" w:rsidRDefault="00285CDD" w:rsidP="00BF2977">
      <w:pPr>
        <w:pStyle w:val="09BodyIndent"/>
        <w:spacing w:line="480" w:lineRule="auto"/>
        <w:rPr>
          <w:lang w:val="en-US"/>
        </w:rPr>
      </w:pPr>
      <w:r w:rsidRPr="00BF2977">
        <w:rPr>
          <w:lang w:val="en-US"/>
        </w:rPr>
        <w:t>Regarding the application of resazurin, a 90% reduction in cell viability was observed starting at the 10</w:t>
      </w:r>
      <w:r w:rsidRPr="00BF2977">
        <w:rPr>
          <w:vertAlign w:val="superscript"/>
          <w:lang w:val="en-US"/>
        </w:rPr>
        <w:t>-3</w:t>
      </w:r>
      <w:r w:rsidRPr="00BF2977">
        <w:rPr>
          <w:lang w:val="en-US"/>
        </w:rPr>
        <w:t xml:space="preserve"> dilution. </w:t>
      </w:r>
      <w:r w:rsidRPr="00710E88">
        <w:rPr>
          <w:lang w:val="en-US"/>
        </w:rPr>
        <w:t xml:space="preserve">It is possible that adjustments in incubation time and inoculum </w:t>
      </w:r>
      <w:r w:rsidR="00710E88" w:rsidRPr="00710E88">
        <w:rPr>
          <w:lang w:val="en-US"/>
        </w:rPr>
        <w:t>[8</w:t>
      </w:r>
      <w:r w:rsidR="00710E88">
        <w:rPr>
          <w:lang w:val="en-US"/>
        </w:rPr>
        <w:t>]</w:t>
      </w:r>
      <w:r w:rsidRPr="00710E88">
        <w:rPr>
          <w:lang w:val="en-US"/>
        </w:rPr>
        <w:t xml:space="preserve"> could indicate a faster method for better response in cell viability analysis in </w:t>
      </w:r>
      <w:r w:rsidRPr="00710E88">
        <w:rPr>
          <w:i/>
          <w:iCs/>
          <w:lang w:val="en-US"/>
        </w:rPr>
        <w:t>Agave</w:t>
      </w:r>
      <w:r w:rsidRPr="00710E88">
        <w:rPr>
          <w:lang w:val="en-US"/>
        </w:rPr>
        <w:t xml:space="preserve"> juice.</w:t>
      </w:r>
    </w:p>
    <w:p w14:paraId="6027BFA7" w14:textId="776695E8" w:rsidR="00285CDD" w:rsidRPr="00710E88" w:rsidRDefault="00285CDD" w:rsidP="00BF2977">
      <w:pPr>
        <w:pStyle w:val="09BodyIndent"/>
        <w:spacing w:line="480" w:lineRule="auto"/>
        <w:rPr>
          <w:lang w:val="en-US"/>
        </w:rPr>
      </w:pPr>
      <w:r w:rsidRPr="00BF2977">
        <w:rPr>
          <w:lang w:val="en-US"/>
        </w:rPr>
        <w:t xml:space="preserve">Cell viability assays commonly use dyes that change color under pH alterations or redox reactions. </w:t>
      </w:r>
      <w:r w:rsidRPr="00710E88">
        <w:rPr>
          <w:lang w:val="en-US"/>
        </w:rPr>
        <w:t xml:space="preserve">Many of these determine dehydrogenase activity </w:t>
      </w:r>
      <w:r w:rsidR="00710E88" w:rsidRPr="00710E88">
        <w:rPr>
          <w:lang w:val="en-US"/>
        </w:rPr>
        <w:t>[9</w:t>
      </w:r>
      <w:r w:rsidR="00710E88">
        <w:rPr>
          <w:lang w:val="en-US"/>
        </w:rPr>
        <w:t>]</w:t>
      </w:r>
      <w:r w:rsidRPr="00710E88">
        <w:rPr>
          <w:lang w:val="en-US"/>
        </w:rPr>
        <w:t>, and the activity of these enzymes can be more accurately expressed depending on the different physiological states of the studied cells.</w:t>
      </w:r>
    </w:p>
    <w:p w14:paraId="6F2CA5F7" w14:textId="7FFE286C" w:rsidR="00285CDD" w:rsidRPr="00710E88" w:rsidRDefault="00285CDD" w:rsidP="00BF2977">
      <w:pPr>
        <w:pStyle w:val="09BodyIndent"/>
        <w:spacing w:line="480" w:lineRule="auto"/>
        <w:rPr>
          <w:lang w:val="en-US"/>
        </w:rPr>
      </w:pPr>
      <w:r w:rsidRPr="00BF2977">
        <w:rPr>
          <w:lang w:val="en-US"/>
        </w:rPr>
        <w:t xml:space="preserve">One hypothesis raised in this study concerns the particles in the juice, which may be an interfering factor in classical viability analyses using dyes. </w:t>
      </w:r>
      <w:r w:rsidRPr="00710E88">
        <w:rPr>
          <w:lang w:val="en-US"/>
        </w:rPr>
        <w:t xml:space="preserve">In spectrophotometry, solids artificially increase absorbance due to light scattering, chemically reacting and affecting readings at wavelengths used for dyes such as methylene blue or resazurin </w:t>
      </w:r>
      <w:r w:rsidR="00710E88" w:rsidRPr="00710E88">
        <w:rPr>
          <w:lang w:val="en-US"/>
        </w:rPr>
        <w:t>[</w:t>
      </w:r>
      <w:r w:rsidR="00710E88">
        <w:rPr>
          <w:lang w:val="en-US"/>
        </w:rPr>
        <w:t>10</w:t>
      </w:r>
      <w:r w:rsidR="00A0431F">
        <w:rPr>
          <w:lang w:val="en-US"/>
        </w:rPr>
        <w:t>-12]</w:t>
      </w:r>
      <w:r w:rsidR="00D72317">
        <w:rPr>
          <w:lang w:val="en-US"/>
        </w:rPr>
        <w:t>.</w:t>
      </w:r>
    </w:p>
    <w:p w14:paraId="0746459B" w14:textId="76CD2B61" w:rsidR="007F59D7" w:rsidRPr="00BF2977" w:rsidRDefault="00285CDD" w:rsidP="00BF2977">
      <w:pPr>
        <w:pStyle w:val="09BodyIndent"/>
        <w:spacing w:line="480" w:lineRule="auto"/>
        <w:rPr>
          <w:lang w:val="en-US"/>
        </w:rPr>
      </w:pPr>
      <w:r w:rsidRPr="00710E88">
        <w:rPr>
          <w:lang w:val="en-US"/>
        </w:rPr>
        <w:t xml:space="preserve">Thus, this study compares three different methods for analyzing cell viability, demonstrating that the microorganism and the medium in which it is cultivated determine which method is most appropriate. </w:t>
      </w:r>
      <w:r w:rsidRPr="00BF2977">
        <w:rPr>
          <w:lang w:val="en-US"/>
        </w:rPr>
        <w:t>Moreover, adaptations must always be considered due to the specificities of each fermentation process.</w:t>
      </w:r>
    </w:p>
    <w:p w14:paraId="75ADBEA2" w14:textId="0D377A98" w:rsidR="00A05ECE" w:rsidRPr="002308B9" w:rsidRDefault="00A05ECE" w:rsidP="00BF2977">
      <w:pPr>
        <w:pStyle w:val="20Heading1"/>
        <w:numPr>
          <w:ilvl w:val="0"/>
          <w:numId w:val="31"/>
        </w:numPr>
        <w:spacing w:line="480" w:lineRule="auto"/>
      </w:pPr>
      <w:r>
        <w:t>Conclusions</w:t>
      </w:r>
    </w:p>
    <w:p w14:paraId="25FCE1D7" w14:textId="7748982D" w:rsidR="007F59D7" w:rsidRPr="00BF2977" w:rsidRDefault="00060FD8" w:rsidP="00BF2977">
      <w:pPr>
        <w:pStyle w:val="09BodyIndent"/>
        <w:spacing w:line="480" w:lineRule="auto"/>
        <w:rPr>
          <w:lang w:val="en-US"/>
        </w:rPr>
      </w:pPr>
      <w:r w:rsidRPr="00BF2977">
        <w:rPr>
          <w:lang w:val="en-US"/>
        </w:rPr>
        <w:t xml:space="preserve">This study concludes that cell viability assays using dyes need to be customized or adapted when applied to fermentations with Agave juice. The particles in the medium, the color, and other unidentified compounds affect the analyses, resulting in inconclusive findings. However, this study also highlights the potential of new methods to be customized and quickly identify yeast viability accurately, with results consistent </w:t>
      </w:r>
      <w:r w:rsidRPr="00BF2977">
        <w:rPr>
          <w:lang w:val="en-US"/>
        </w:rPr>
        <w:lastRenderedPageBreak/>
        <w:t xml:space="preserve">with those obtained from CFU counting. New methods can be evaluated to develop a personalized, efficient, rapid, and industrially applicable protocol for determining yeast cell viability in </w:t>
      </w:r>
      <w:r w:rsidRPr="00BF2977">
        <w:rPr>
          <w:i/>
          <w:lang w:val="en-US"/>
        </w:rPr>
        <w:t>Agave</w:t>
      </w:r>
      <w:r w:rsidRPr="00BF2977">
        <w:rPr>
          <w:lang w:val="en-US"/>
        </w:rPr>
        <w:t xml:space="preserve"> juice.</w:t>
      </w:r>
      <w:bookmarkEnd w:id="0"/>
    </w:p>
    <w:p w14:paraId="27CEB6D9" w14:textId="77777777" w:rsidR="00BE2F20" w:rsidRDefault="001C0521" w:rsidP="00BF2977">
      <w:pPr>
        <w:pStyle w:val="20Heading1"/>
        <w:spacing w:line="480" w:lineRule="auto"/>
        <w:rPr>
          <w:lang w:eastAsia="zh-CN"/>
        </w:rPr>
      </w:pPr>
      <w:r>
        <w:rPr>
          <w:rFonts w:hint="eastAsia"/>
        </w:rPr>
        <w:t>Acknowle</w:t>
      </w:r>
      <w:r>
        <w:rPr>
          <w:rFonts w:hint="eastAsia"/>
          <w:lang w:eastAsia="zh-CN"/>
        </w:rPr>
        <w:t>d</w:t>
      </w:r>
      <w:r>
        <w:rPr>
          <w:rFonts w:hint="eastAsia"/>
        </w:rPr>
        <w:t>gement</w:t>
      </w:r>
    </w:p>
    <w:p w14:paraId="2D369790" w14:textId="078924C3" w:rsidR="007F59D7" w:rsidRPr="00507831" w:rsidRDefault="00543C80" w:rsidP="00BF2977">
      <w:pPr>
        <w:pStyle w:val="09BodyIndent"/>
        <w:spacing w:line="480" w:lineRule="auto"/>
        <w:rPr>
          <w:lang w:val="en-US"/>
        </w:rPr>
      </w:pPr>
      <w:r w:rsidRPr="00543C80">
        <w:rPr>
          <w:lang w:val="en-US"/>
        </w:rPr>
        <w:t>The authors would like to thank SENAI CIMATEC and SHELL for developing the research</w:t>
      </w:r>
      <w:r w:rsidR="00507831" w:rsidRPr="00507831">
        <w:rPr>
          <w:lang w:val="en-US"/>
        </w:rPr>
        <w:t xml:space="preserve">, as well as </w:t>
      </w:r>
      <w:r w:rsidRPr="00543C80">
        <w:rPr>
          <w:lang w:val="en-US"/>
        </w:rPr>
        <w:t>the funding agencies EMBRAPII and ANP.</w:t>
      </w:r>
      <w:r w:rsidR="00507831" w:rsidRPr="00507831">
        <w:rPr>
          <w:lang w:val="en-US"/>
        </w:rPr>
        <w:t xml:space="preserve"> Special thanks to the researcher from the SENAI Institute of Advanced Health Systems (ISI-SAS), Cássio Meira, for his valuable assistance.</w:t>
      </w:r>
    </w:p>
    <w:p w14:paraId="69A832FC" w14:textId="77777777" w:rsidR="001C0521" w:rsidRDefault="001C0521" w:rsidP="00854234">
      <w:pPr>
        <w:pStyle w:val="20Heading1"/>
        <w:rPr>
          <w:lang w:val="pt-BR"/>
        </w:rPr>
      </w:pPr>
      <w:r w:rsidRPr="00D46056">
        <w:t>References</w:t>
      </w:r>
    </w:p>
    <w:p w14:paraId="74B8D638" w14:textId="77777777" w:rsidR="00854234" w:rsidRPr="00854234" w:rsidRDefault="00854234" w:rsidP="00854234">
      <w:pPr>
        <w:pStyle w:val="20Heading1"/>
        <w:rPr>
          <w:lang w:val="pt-BR" w:eastAsia="zh-CN"/>
        </w:rPr>
      </w:pPr>
    </w:p>
    <w:p w14:paraId="71FF1907" w14:textId="0DA2A9B0" w:rsidR="001C0521" w:rsidRPr="00BF2977" w:rsidRDefault="00790277" w:rsidP="001C0521">
      <w:pPr>
        <w:pStyle w:val="13Reference"/>
        <w:rPr>
          <w:sz w:val="20"/>
          <w:szCs w:val="20"/>
        </w:rPr>
      </w:pPr>
      <w:r w:rsidRPr="00BF2977">
        <w:rPr>
          <w:sz w:val="20"/>
          <w:szCs w:val="20"/>
        </w:rPr>
        <w:t>Jacob AB, Campos RT. Estudo sobre a viabilidade celular da levedura no processo de fermentação em uma usina de álcool e açúcar. Environ Sci Technol Innov. 2023;1(2):108-131.</w:t>
      </w:r>
    </w:p>
    <w:p w14:paraId="659AA711" w14:textId="65308C8B" w:rsidR="00C43DC8" w:rsidRPr="00854234" w:rsidRDefault="00C43DC8" w:rsidP="00C43DC8">
      <w:pPr>
        <w:pStyle w:val="13Reference"/>
        <w:rPr>
          <w:sz w:val="20"/>
          <w:szCs w:val="20"/>
          <w:lang w:eastAsia="zh-CN"/>
        </w:rPr>
      </w:pPr>
      <w:r w:rsidRPr="00BF2977">
        <w:rPr>
          <w:sz w:val="20"/>
          <w:szCs w:val="20"/>
          <w:lang w:val="en-US"/>
        </w:rPr>
        <w:t xml:space="preserve">Kwolek-Mirek M, Zadrag-Tecza R. Comparison of methods used for assessing the viability and vitality of yeast cells. </w:t>
      </w:r>
      <w:r w:rsidRPr="00A77086">
        <w:rPr>
          <w:sz w:val="20"/>
          <w:szCs w:val="20"/>
        </w:rPr>
        <w:t xml:space="preserve">FEMS Yeast Res. 2014;14(7):1068-1079. </w:t>
      </w:r>
      <w:r w:rsidR="008E01FE" w:rsidRPr="008E01FE">
        <w:rPr>
          <w:rStyle w:val="normaltextrun"/>
          <w:sz w:val="20"/>
          <w:szCs w:val="20"/>
          <w:lang w:val="en-US"/>
        </w:rPr>
        <w:t>Available from:</w:t>
      </w:r>
      <w:r w:rsidR="008E01FE" w:rsidRPr="008E01FE">
        <w:rPr>
          <w:rStyle w:val="normaltextrun"/>
          <w:sz w:val="20"/>
          <w:szCs w:val="20"/>
        </w:rPr>
        <w:t xml:space="preserve"> </w:t>
      </w:r>
      <w:r w:rsidR="008E01FE" w:rsidRPr="008E01FE">
        <w:rPr>
          <w:rStyle w:val="Hyperlink"/>
          <w:sz w:val="20"/>
          <w:szCs w:val="20"/>
        </w:rPr>
        <w:t>https://</w:t>
      </w:r>
      <w:r w:rsidRPr="008E01FE">
        <w:rPr>
          <w:rStyle w:val="Hyperlink"/>
          <w:sz w:val="20"/>
          <w:szCs w:val="20"/>
        </w:rPr>
        <w:t>doi</w:t>
      </w:r>
      <w:r w:rsidR="008E01FE" w:rsidRPr="008E01FE">
        <w:rPr>
          <w:rStyle w:val="Hyperlink"/>
          <w:sz w:val="20"/>
          <w:szCs w:val="20"/>
        </w:rPr>
        <w:t>.org/</w:t>
      </w:r>
      <w:r w:rsidRPr="008E01FE">
        <w:rPr>
          <w:rStyle w:val="Hyperlink"/>
          <w:sz w:val="20"/>
          <w:szCs w:val="20"/>
        </w:rPr>
        <w:t>10.1111/1567-1364.12202</w:t>
      </w:r>
      <w:r>
        <w:rPr>
          <w:sz w:val="20"/>
          <w:szCs w:val="20"/>
        </w:rPr>
        <w:t>.</w:t>
      </w:r>
      <w:r w:rsidRPr="00854234">
        <w:rPr>
          <w:sz w:val="20"/>
          <w:szCs w:val="20"/>
          <w:lang w:eastAsia="zh-CN"/>
        </w:rPr>
        <w:t xml:space="preserve"> </w:t>
      </w:r>
    </w:p>
    <w:p w14:paraId="627016F4" w14:textId="58EDD0DB" w:rsidR="001C0521" w:rsidRPr="00BF2977" w:rsidRDefault="00EC5B04" w:rsidP="001C0521">
      <w:pPr>
        <w:pStyle w:val="13Reference"/>
        <w:rPr>
          <w:sz w:val="20"/>
          <w:szCs w:val="20"/>
        </w:rPr>
      </w:pPr>
      <w:r w:rsidRPr="00BF2977">
        <w:rPr>
          <w:sz w:val="20"/>
          <w:szCs w:val="20"/>
        </w:rPr>
        <w:t xml:space="preserve"> </w:t>
      </w:r>
      <w:r w:rsidR="00790277" w:rsidRPr="00BF2977">
        <w:rPr>
          <w:sz w:val="20"/>
          <w:szCs w:val="20"/>
        </w:rPr>
        <w:t>Nobre TP, Horii J, Alcarde AR. Viabilidade celular de Saccharomyces cerevisiae cultivada em associação com bactérias contaminantes da fermentação alcoólica. Ciênc Tecnol Aliment. 2007;27(1):20-25.</w:t>
      </w:r>
    </w:p>
    <w:p w14:paraId="1CB8AB1B" w14:textId="79B60262" w:rsidR="00FE22B4" w:rsidRPr="008E01FE" w:rsidRDefault="00075BD0" w:rsidP="00FE22B4">
      <w:pPr>
        <w:pStyle w:val="13Reference"/>
        <w:rPr>
          <w:rStyle w:val="eop"/>
          <w:sz w:val="20"/>
          <w:szCs w:val="20"/>
        </w:rPr>
      </w:pPr>
      <w:r w:rsidRPr="008E01FE">
        <w:rPr>
          <w:rStyle w:val="normaltextrun"/>
          <w:sz w:val="20"/>
          <w:szCs w:val="20"/>
          <w:lang w:val="en-US"/>
        </w:rPr>
        <w:t>Postgate JR. Viability measurements and the survival of microbes under minimum stress. Adv Microb Physiol. 1967; 1:1-23.</w:t>
      </w:r>
      <w:r w:rsidR="008E01FE" w:rsidRPr="008E01FE">
        <w:rPr>
          <w:rStyle w:val="normaltextrun"/>
          <w:sz w:val="20"/>
          <w:szCs w:val="20"/>
          <w:lang w:val="en-US"/>
        </w:rPr>
        <w:t xml:space="preserve"> Available from:</w:t>
      </w:r>
      <w:r w:rsidR="008E01FE" w:rsidRPr="008E01FE">
        <w:rPr>
          <w:rStyle w:val="normaltextrun"/>
          <w:sz w:val="20"/>
          <w:szCs w:val="20"/>
        </w:rPr>
        <w:t xml:space="preserve"> </w:t>
      </w:r>
      <w:r w:rsidR="008E01FE" w:rsidRPr="008E01FE">
        <w:rPr>
          <w:rStyle w:val="Hyperlink"/>
          <w:sz w:val="20"/>
          <w:szCs w:val="20"/>
        </w:rPr>
        <w:t>https://doi.org/</w:t>
      </w:r>
      <w:r w:rsidRPr="008E01FE">
        <w:rPr>
          <w:rStyle w:val="Hyperlink"/>
          <w:sz w:val="20"/>
          <w:szCs w:val="20"/>
        </w:rPr>
        <w:t>10.1016/S0065-2911(08)60248-9.</w:t>
      </w:r>
    </w:p>
    <w:p w14:paraId="2B3D3F84" w14:textId="53932447" w:rsidR="00FE22B4" w:rsidRPr="00BF2977" w:rsidRDefault="00075BD0" w:rsidP="00FE22B4">
      <w:pPr>
        <w:pStyle w:val="13Reference"/>
        <w:rPr>
          <w:rStyle w:val="eop"/>
          <w:sz w:val="20"/>
          <w:szCs w:val="20"/>
          <w:lang w:val="en-US"/>
        </w:rPr>
      </w:pPr>
      <w:r w:rsidRPr="008E01FE">
        <w:rPr>
          <w:rStyle w:val="normaltextrun"/>
          <w:sz w:val="20"/>
          <w:szCs w:val="20"/>
          <w:lang w:val="en-US"/>
        </w:rPr>
        <w:t xml:space="preserve">Deere D, Shen J, Vesey G, Bell P, Bissinger P, Veal D. Flow cytometry and cell sorting for yeast viability assessment and cell selection. </w:t>
      </w:r>
      <w:r w:rsidRPr="00BF2977">
        <w:rPr>
          <w:rStyle w:val="normaltextrun"/>
          <w:sz w:val="20"/>
          <w:szCs w:val="20"/>
          <w:lang w:val="en-US"/>
        </w:rPr>
        <w:t>Yeast. 1998;14(2):147-160.</w:t>
      </w:r>
      <w:r w:rsidR="008E01FE" w:rsidRPr="00BF2977">
        <w:rPr>
          <w:rStyle w:val="normaltextrun"/>
          <w:sz w:val="20"/>
          <w:szCs w:val="20"/>
          <w:lang w:val="en-US"/>
        </w:rPr>
        <w:t xml:space="preserve"> </w:t>
      </w:r>
      <w:r w:rsidR="008E01FE" w:rsidRPr="008E01FE">
        <w:rPr>
          <w:rStyle w:val="normaltextrun"/>
          <w:sz w:val="20"/>
          <w:szCs w:val="20"/>
          <w:lang w:val="en-US"/>
        </w:rPr>
        <w:t>Available from:</w:t>
      </w:r>
      <w:r w:rsidR="008E01FE" w:rsidRPr="00BF2977">
        <w:rPr>
          <w:rStyle w:val="normaltextrun"/>
          <w:sz w:val="20"/>
          <w:szCs w:val="20"/>
          <w:lang w:val="en-US"/>
        </w:rPr>
        <w:t xml:space="preserve"> </w:t>
      </w:r>
      <w:r w:rsidR="008E01FE" w:rsidRPr="00BF2977">
        <w:rPr>
          <w:rStyle w:val="Hyperlink"/>
          <w:sz w:val="20"/>
          <w:szCs w:val="20"/>
          <w:lang w:val="en-US"/>
        </w:rPr>
        <w:t>https://doi.org/</w:t>
      </w:r>
      <w:r w:rsidRPr="00BF2977">
        <w:rPr>
          <w:rStyle w:val="Hyperlink"/>
          <w:sz w:val="20"/>
          <w:szCs w:val="20"/>
          <w:lang w:val="en-US"/>
        </w:rPr>
        <w:t>10.1002/(SICI)1097-0061(19980130)14:2&lt;147:AID-YEA204&gt;3.0.CO;2-L. </w:t>
      </w:r>
    </w:p>
    <w:p w14:paraId="498A1BF9" w14:textId="6B10F0C1" w:rsidR="00FE22B4" w:rsidRPr="008E01FE" w:rsidRDefault="00075BD0" w:rsidP="00FE22B4">
      <w:pPr>
        <w:pStyle w:val="13Reference"/>
        <w:rPr>
          <w:rStyle w:val="eop"/>
          <w:sz w:val="20"/>
          <w:szCs w:val="20"/>
        </w:rPr>
      </w:pPr>
      <w:r w:rsidRPr="008E01FE">
        <w:rPr>
          <w:rStyle w:val="normaltextrun"/>
          <w:sz w:val="20"/>
          <w:szCs w:val="20"/>
          <w:lang w:val="en-US"/>
        </w:rPr>
        <w:t xml:space="preserve">Matsumoto A. A rapid and simple spectroscopic method for the determination of yeast cell viability using methylene blue. </w:t>
      </w:r>
      <w:r w:rsidRPr="008E01FE">
        <w:rPr>
          <w:rStyle w:val="normaltextrun"/>
          <w:sz w:val="20"/>
          <w:szCs w:val="20"/>
        </w:rPr>
        <w:t xml:space="preserve">Yeast. 2022;39(1-2):30-36. </w:t>
      </w:r>
      <w:r w:rsidR="008E01FE" w:rsidRPr="008E01FE">
        <w:rPr>
          <w:rStyle w:val="normaltextrun"/>
          <w:sz w:val="20"/>
          <w:szCs w:val="20"/>
          <w:lang w:val="en-US"/>
        </w:rPr>
        <w:t>Available from:</w:t>
      </w:r>
      <w:r w:rsidR="008E01FE" w:rsidRPr="008E01FE">
        <w:rPr>
          <w:rStyle w:val="normaltextrun"/>
          <w:sz w:val="20"/>
          <w:szCs w:val="20"/>
        </w:rPr>
        <w:t xml:space="preserve"> </w:t>
      </w:r>
      <w:r w:rsidR="008E01FE" w:rsidRPr="008E01FE">
        <w:rPr>
          <w:rStyle w:val="Hyperlink"/>
          <w:sz w:val="20"/>
          <w:szCs w:val="20"/>
        </w:rPr>
        <w:t>https://doi.org/</w:t>
      </w:r>
      <w:r w:rsidRPr="008E01FE">
        <w:rPr>
          <w:rStyle w:val="Hyperlink"/>
          <w:sz w:val="20"/>
          <w:szCs w:val="20"/>
        </w:rPr>
        <w:t>10.1002/yea.3662.</w:t>
      </w:r>
    </w:p>
    <w:p w14:paraId="7AD39A5B" w14:textId="2725D657" w:rsidR="00955A84" w:rsidRPr="008E01FE" w:rsidRDefault="00075BD0" w:rsidP="00FE22B4">
      <w:pPr>
        <w:pStyle w:val="13Reference"/>
        <w:rPr>
          <w:rStyle w:val="eop"/>
          <w:sz w:val="20"/>
          <w:szCs w:val="20"/>
        </w:rPr>
      </w:pPr>
      <w:r w:rsidRPr="008E01FE">
        <w:rPr>
          <w:rStyle w:val="normaltextrun"/>
          <w:sz w:val="20"/>
          <w:szCs w:val="20"/>
          <w:lang w:val="en-US"/>
        </w:rPr>
        <w:t xml:space="preserve">Wang R, Lorantfy B, Fusco S, Olsson L, Franzén CJ. Analysis of methods for quantifying yeast cell concentration in complex lignocellulosic fermentation processes. </w:t>
      </w:r>
      <w:r w:rsidRPr="008E01FE">
        <w:rPr>
          <w:rStyle w:val="normaltextrun"/>
          <w:sz w:val="20"/>
          <w:szCs w:val="20"/>
        </w:rPr>
        <w:t xml:space="preserve">Biotechnol Biofuels Bioprod. 2022;15:49. </w:t>
      </w:r>
      <w:r w:rsidR="008E01FE" w:rsidRPr="008E01FE">
        <w:rPr>
          <w:rStyle w:val="normaltextrun"/>
          <w:sz w:val="20"/>
          <w:szCs w:val="20"/>
          <w:lang w:val="en-US"/>
        </w:rPr>
        <w:t>Available from:</w:t>
      </w:r>
      <w:r w:rsidR="008E01FE" w:rsidRPr="008E01FE">
        <w:rPr>
          <w:sz w:val="20"/>
          <w:szCs w:val="20"/>
        </w:rPr>
        <w:t xml:space="preserve"> </w:t>
      </w:r>
      <w:r w:rsidR="008E01FE" w:rsidRPr="008E01FE">
        <w:rPr>
          <w:rStyle w:val="Hyperlink"/>
          <w:sz w:val="20"/>
          <w:szCs w:val="20"/>
        </w:rPr>
        <w:t>https://doi.org/</w:t>
      </w:r>
      <w:r w:rsidRPr="008E01FE">
        <w:rPr>
          <w:rStyle w:val="Hyperlink"/>
          <w:sz w:val="20"/>
          <w:szCs w:val="20"/>
        </w:rPr>
        <w:t>10.1186/s13068-022-02118-6. </w:t>
      </w:r>
    </w:p>
    <w:p w14:paraId="42E8B9AE" w14:textId="596CB20C" w:rsidR="00955A84" w:rsidRPr="00BF2977" w:rsidRDefault="00075BD0" w:rsidP="00955A84">
      <w:pPr>
        <w:pStyle w:val="13Reference"/>
        <w:rPr>
          <w:rStyle w:val="eop"/>
          <w:sz w:val="20"/>
          <w:szCs w:val="20"/>
          <w:lang w:val="en-US"/>
        </w:rPr>
      </w:pPr>
      <w:r w:rsidRPr="008E01FE">
        <w:rPr>
          <w:rStyle w:val="normaltextrun"/>
          <w:sz w:val="20"/>
          <w:szCs w:val="20"/>
        </w:rPr>
        <w:t xml:space="preserve">Medina ABP, Piñanez JRC, Alvarez MFP, Farias CJ de. </w:t>
      </w:r>
      <w:r w:rsidRPr="008E01FE">
        <w:rPr>
          <w:rStyle w:val="normaltextrun"/>
          <w:sz w:val="20"/>
          <w:szCs w:val="20"/>
          <w:lang w:val="en-US"/>
        </w:rPr>
        <w:t xml:space="preserve">Use of 2,3,5-triphenyl tetrazolium chloride for detection of Fusarium semitectum viability in soybean seeds. J Seed Sci [Internet]. 2024;46:e202446021. Available from: </w:t>
      </w:r>
      <w:hyperlink r:id="rId15" w:history="1">
        <w:r w:rsidR="00955A84" w:rsidRPr="008E01FE">
          <w:rPr>
            <w:rStyle w:val="Hyperlink"/>
            <w:sz w:val="20"/>
            <w:szCs w:val="20"/>
            <w:lang w:val="en-US"/>
          </w:rPr>
          <w:t>https://doi.org/10.1590/2317-1545v46278215</w:t>
        </w:r>
      </w:hyperlink>
      <w:r w:rsidRPr="008E01FE">
        <w:rPr>
          <w:rStyle w:val="normaltextrun"/>
          <w:sz w:val="20"/>
          <w:szCs w:val="20"/>
          <w:lang w:val="en-US"/>
        </w:rPr>
        <w:t>.</w:t>
      </w:r>
    </w:p>
    <w:p w14:paraId="16D95776" w14:textId="209310CC" w:rsidR="008E01FE" w:rsidRPr="008E01FE" w:rsidRDefault="00075BD0" w:rsidP="008E01FE">
      <w:pPr>
        <w:pStyle w:val="13Reference"/>
        <w:rPr>
          <w:rStyle w:val="eop"/>
          <w:sz w:val="20"/>
          <w:szCs w:val="20"/>
        </w:rPr>
      </w:pPr>
      <w:r w:rsidRPr="008E01FE">
        <w:rPr>
          <w:rStyle w:val="normaltextrun"/>
          <w:sz w:val="20"/>
          <w:szCs w:val="20"/>
          <w:lang w:val="en-US"/>
        </w:rPr>
        <w:t xml:space="preserve">Stockert JC, Horobin RW, Colombo LL, Blázquez-Castro A. Tetrazolium salts and formazan products in cell biology: Viability assessment, fluorescence imaging, and labeling perspectives. </w:t>
      </w:r>
      <w:r w:rsidRPr="008E01FE">
        <w:rPr>
          <w:rStyle w:val="normaltextrun"/>
          <w:sz w:val="20"/>
          <w:szCs w:val="20"/>
        </w:rPr>
        <w:t>Acta Histochem. 2018;120(3):159-167.</w:t>
      </w:r>
      <w:r w:rsidR="008E01FE" w:rsidRPr="008E01FE">
        <w:rPr>
          <w:rStyle w:val="normaltextrun"/>
          <w:sz w:val="20"/>
          <w:szCs w:val="20"/>
        </w:rPr>
        <w:t xml:space="preserve"> </w:t>
      </w:r>
      <w:r w:rsidR="008E01FE" w:rsidRPr="008E01FE">
        <w:rPr>
          <w:rStyle w:val="normaltextrun"/>
          <w:sz w:val="20"/>
          <w:szCs w:val="20"/>
          <w:lang w:val="en-US"/>
        </w:rPr>
        <w:t>Available from</w:t>
      </w:r>
      <w:r w:rsidR="00955A84" w:rsidRPr="008E01FE">
        <w:rPr>
          <w:rStyle w:val="normaltextrun"/>
          <w:sz w:val="20"/>
          <w:szCs w:val="20"/>
        </w:rPr>
        <w:t xml:space="preserve"> </w:t>
      </w:r>
      <w:r w:rsidR="008E01FE" w:rsidRPr="008E01FE">
        <w:rPr>
          <w:rStyle w:val="Hyperlink"/>
          <w:sz w:val="20"/>
          <w:szCs w:val="20"/>
        </w:rPr>
        <w:t>https://doi.org/</w:t>
      </w:r>
      <w:r w:rsidRPr="008E01FE">
        <w:rPr>
          <w:rStyle w:val="Hyperlink"/>
          <w:sz w:val="20"/>
          <w:szCs w:val="20"/>
        </w:rPr>
        <w:t>10.1016/j.acthis.2018.02.005.</w:t>
      </w:r>
    </w:p>
    <w:p w14:paraId="5F485606" w14:textId="2114FC69" w:rsidR="00955A84" w:rsidRPr="00BF2977" w:rsidRDefault="00075BD0" w:rsidP="00955A84">
      <w:pPr>
        <w:pStyle w:val="13Reference"/>
        <w:rPr>
          <w:rStyle w:val="eop"/>
          <w:sz w:val="20"/>
          <w:szCs w:val="20"/>
          <w:lang w:val="en-US"/>
        </w:rPr>
      </w:pPr>
      <w:r w:rsidRPr="008E01FE">
        <w:rPr>
          <w:rStyle w:val="normaltextrun"/>
          <w:sz w:val="20"/>
          <w:szCs w:val="20"/>
          <w:lang w:val="en-US"/>
        </w:rPr>
        <w:t xml:space="preserve">Harrison, P., et al. (2015). The influence of sample turbidity on spectrophotometric and fluorometric assays of microbial cell viability. </w:t>
      </w:r>
      <w:r w:rsidRPr="00BF2977">
        <w:rPr>
          <w:rStyle w:val="normaltextrun"/>
          <w:i/>
          <w:sz w:val="20"/>
          <w:szCs w:val="20"/>
          <w:lang w:val="en-US"/>
        </w:rPr>
        <w:t>Journal of Microbiological Methods</w:t>
      </w:r>
      <w:r w:rsidRPr="00BF2977">
        <w:rPr>
          <w:rStyle w:val="normaltextrun"/>
          <w:sz w:val="20"/>
          <w:szCs w:val="20"/>
          <w:lang w:val="en-US"/>
        </w:rPr>
        <w:t xml:space="preserve">, 119, 26–32. </w:t>
      </w:r>
      <w:r w:rsidR="008E01FE" w:rsidRPr="008E01FE">
        <w:rPr>
          <w:rStyle w:val="normaltextrun"/>
          <w:sz w:val="20"/>
          <w:szCs w:val="20"/>
          <w:lang w:val="en-US"/>
        </w:rPr>
        <w:t>Available from:</w:t>
      </w:r>
      <w:r w:rsidR="008E01FE" w:rsidRPr="008E01FE">
        <w:rPr>
          <w:rStyle w:val="Hyperlink"/>
          <w:sz w:val="20"/>
          <w:szCs w:val="20"/>
          <w:lang w:val="en-US"/>
        </w:rPr>
        <w:t xml:space="preserve"> </w:t>
      </w:r>
      <w:hyperlink r:id="rId16" w:tgtFrame="_blank" w:history="1">
        <w:r w:rsidRPr="00BF2977">
          <w:rPr>
            <w:rStyle w:val="Hyperlink"/>
            <w:sz w:val="20"/>
            <w:szCs w:val="20"/>
            <w:lang w:val="en-US"/>
          </w:rPr>
          <w:t>https://doi.org/10.1016/j.mimet.2015.09.004</w:t>
        </w:r>
      </w:hyperlink>
    </w:p>
    <w:p w14:paraId="0043D5A2" w14:textId="05FAE628" w:rsidR="00955A84" w:rsidRPr="008E01FE" w:rsidRDefault="00075BD0" w:rsidP="00955A84">
      <w:pPr>
        <w:pStyle w:val="13Reference"/>
        <w:rPr>
          <w:rStyle w:val="eop"/>
          <w:sz w:val="20"/>
          <w:szCs w:val="20"/>
        </w:rPr>
      </w:pPr>
      <w:r w:rsidRPr="008E01FE">
        <w:rPr>
          <w:rStyle w:val="normaltextrun"/>
          <w:sz w:val="20"/>
          <w:szCs w:val="20"/>
          <w:lang w:val="en-US"/>
        </w:rPr>
        <w:t xml:space="preserve">Holder SJ, Holland NB, Duncan R. Particle-induced artifacts in the MTT and LDH viability assays. </w:t>
      </w:r>
      <w:r w:rsidRPr="008E01FE">
        <w:rPr>
          <w:rStyle w:val="normaltextrun"/>
          <w:sz w:val="20"/>
          <w:szCs w:val="20"/>
        </w:rPr>
        <w:t>Appl Sci. 2021;11(10):4410.</w:t>
      </w:r>
      <w:r w:rsidR="008E01FE" w:rsidRPr="008E01FE">
        <w:rPr>
          <w:rStyle w:val="normaltextrun"/>
          <w:sz w:val="20"/>
          <w:szCs w:val="20"/>
        </w:rPr>
        <w:t xml:space="preserve"> </w:t>
      </w:r>
      <w:r w:rsidR="008E01FE" w:rsidRPr="008E01FE">
        <w:rPr>
          <w:rStyle w:val="normaltextrun"/>
          <w:sz w:val="20"/>
          <w:szCs w:val="20"/>
          <w:lang w:val="en-US"/>
        </w:rPr>
        <w:t xml:space="preserve">Available from: </w:t>
      </w:r>
      <w:r w:rsidR="008E01FE" w:rsidRPr="008E01FE">
        <w:rPr>
          <w:rStyle w:val="Hyperlink"/>
          <w:sz w:val="20"/>
          <w:szCs w:val="20"/>
        </w:rPr>
        <w:t>https://doi.org/</w:t>
      </w:r>
      <w:r w:rsidRPr="008E01FE">
        <w:rPr>
          <w:rStyle w:val="Hyperlink"/>
          <w:sz w:val="20"/>
          <w:szCs w:val="20"/>
        </w:rPr>
        <w:t>10.3390/app11104410.</w:t>
      </w:r>
      <w:r w:rsidRPr="008E01FE">
        <w:rPr>
          <w:rStyle w:val="eop"/>
          <w:sz w:val="20"/>
          <w:szCs w:val="20"/>
        </w:rPr>
        <w:t> </w:t>
      </w:r>
    </w:p>
    <w:p w14:paraId="4DBC088C" w14:textId="627BD7AF" w:rsidR="00075BD0" w:rsidRPr="008E01FE" w:rsidRDefault="00075BD0" w:rsidP="00955A84">
      <w:pPr>
        <w:pStyle w:val="13Reference"/>
        <w:rPr>
          <w:rStyle w:val="eop"/>
          <w:sz w:val="20"/>
          <w:szCs w:val="20"/>
        </w:rPr>
      </w:pPr>
      <w:r w:rsidRPr="008E01FE">
        <w:rPr>
          <w:rStyle w:val="normaltextrun"/>
          <w:sz w:val="20"/>
          <w:szCs w:val="20"/>
          <w:lang w:val="en-US"/>
        </w:rPr>
        <w:t>Rampersad, S. N. (2012). Multiple applications of Alamar Blue as an indicator of metabolic function and cellular health in cell viability bioassays. Sensors, 12(9),12347–12360.</w:t>
      </w:r>
      <w:r w:rsidR="00955A84" w:rsidRPr="008E01FE">
        <w:rPr>
          <w:rStyle w:val="normaltextrun"/>
          <w:sz w:val="20"/>
          <w:szCs w:val="20"/>
        </w:rPr>
        <w:t xml:space="preserve"> </w:t>
      </w:r>
      <w:r w:rsidR="008E01FE" w:rsidRPr="008E01FE">
        <w:rPr>
          <w:rStyle w:val="normaltextrun"/>
          <w:sz w:val="20"/>
          <w:szCs w:val="20"/>
          <w:lang w:val="en-US"/>
        </w:rPr>
        <w:t xml:space="preserve">Available from: </w:t>
      </w:r>
      <w:hyperlink r:id="rId17" w:history="1">
        <w:r w:rsidR="008E01FE" w:rsidRPr="008E01FE">
          <w:rPr>
            <w:rStyle w:val="Hyperlink"/>
            <w:sz w:val="20"/>
            <w:szCs w:val="20"/>
            <w:lang w:val="en-US"/>
          </w:rPr>
          <w:t>https://doi.org/10.3390/s120912347</w:t>
        </w:r>
      </w:hyperlink>
      <w:r w:rsidR="008E01FE" w:rsidRPr="008E01FE">
        <w:rPr>
          <w:rStyle w:val="eop"/>
          <w:sz w:val="20"/>
          <w:szCs w:val="20"/>
        </w:rPr>
        <w:t>.</w:t>
      </w:r>
    </w:p>
    <w:p w14:paraId="3FEDF83F" w14:textId="77777777" w:rsidR="008E01FE" w:rsidRPr="00955A84" w:rsidRDefault="008E01FE" w:rsidP="008E01FE">
      <w:pPr>
        <w:pStyle w:val="13Reference"/>
        <w:numPr>
          <w:ilvl w:val="0"/>
          <w:numId w:val="0"/>
        </w:numPr>
        <w:ind w:left="420"/>
        <w:rPr>
          <w:sz w:val="20"/>
          <w:szCs w:val="20"/>
        </w:rPr>
      </w:pPr>
    </w:p>
    <w:p w14:paraId="41A0BC40" w14:textId="77777777" w:rsidR="00075BD0" w:rsidRDefault="00075BD0" w:rsidP="00075BD0">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rPr>
        <w:t> </w:t>
      </w:r>
    </w:p>
    <w:p w14:paraId="49B15E74" w14:textId="77777777" w:rsidR="001C0521" w:rsidRPr="00854234" w:rsidRDefault="001C0521" w:rsidP="006B3AF1">
      <w:pPr>
        <w:pStyle w:val="09BodyIndent"/>
      </w:pPr>
    </w:p>
    <w:p w14:paraId="34816906" w14:textId="77777777" w:rsidR="001C0521" w:rsidRDefault="001C0521" w:rsidP="006B3AF1">
      <w:pPr>
        <w:pStyle w:val="09BodyIndent"/>
      </w:pPr>
    </w:p>
    <w:p w14:paraId="63A6EB29" w14:textId="77777777" w:rsidR="005E7015" w:rsidRDefault="005E7015" w:rsidP="006B3AF1">
      <w:pPr>
        <w:pStyle w:val="09BodyIndent"/>
      </w:pPr>
    </w:p>
    <w:p w14:paraId="159877E3" w14:textId="77777777" w:rsidR="005E7015" w:rsidRPr="005E7015" w:rsidRDefault="005E7015" w:rsidP="006B3AF1">
      <w:pPr>
        <w:pStyle w:val="09BodyIndent"/>
      </w:pPr>
    </w:p>
    <w:sectPr w:rsidR="005E7015" w:rsidRPr="005E7015" w:rsidSect="000021EA">
      <w:type w:val="continuous"/>
      <w:pgSz w:w="11907" w:h="16839" w:code="9"/>
      <w:pgMar w:top="1453" w:right="992" w:bottom="851" w:left="1134" w:header="720" w:footer="720"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DEA70" w14:textId="77777777" w:rsidR="000E3560" w:rsidRPr="00A81FCC" w:rsidRDefault="000E3560" w:rsidP="00A81FCC">
      <w:r>
        <w:separator/>
      </w:r>
    </w:p>
  </w:endnote>
  <w:endnote w:type="continuationSeparator" w:id="0">
    <w:p w14:paraId="56DBC3D5" w14:textId="77777777" w:rsidR="000E3560" w:rsidRPr="00A81FCC" w:rsidRDefault="000E3560" w:rsidP="00A81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dvOTdbe06fba">
    <w:altName w:val="Times New Roman"/>
    <w:panose1 w:val="00000000000000000000"/>
    <w:charset w:val="00"/>
    <w:family w:val="roman"/>
    <w:notTrueType/>
    <w:pitch w:val="default"/>
    <w:sig w:usb0="00000003" w:usb1="00000000" w:usb2="00000000" w:usb3="00000000" w:csb0="00000001" w:csb1="00000000"/>
  </w:font>
  <w:font w:name="AdvOT9cb306be.B">
    <w:altName w:val="Arial"/>
    <w:panose1 w:val="00000000000000000000"/>
    <w:charset w:val="00"/>
    <w:family w:val="swiss"/>
    <w:notTrueType/>
    <w:pitch w:val="default"/>
    <w:sig w:usb0="00000003" w:usb1="00000000" w:usb2="00000000" w:usb3="00000000" w:csb0="00000001" w:csb1="00000000"/>
  </w:font>
  <w:font w:name="AdvOT8910dd71">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ヒラギノ角ゴ Pro W3">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0032A" w14:textId="77777777" w:rsidR="00783199" w:rsidRDefault="00783199" w:rsidP="00783199">
    <w:pPr>
      <w:spacing w:after="0"/>
      <w:rPr>
        <w:rFonts w:eastAsia="Calibri" w:cs="Calibri"/>
        <w:b/>
        <w:color w:val="808080"/>
      </w:rPr>
    </w:pPr>
    <w:r>
      <w:rPr>
        <w:rFonts w:eastAsia="Calibri" w:cs="Calibri"/>
        <w:color w:val="808080"/>
      </w:rPr>
      <w:t>ISSN: 2357-7592</w:t>
    </w:r>
    <w:r>
      <w:rPr>
        <w:rFonts w:eastAsia="Calibri" w:cs="Calibri"/>
        <w:b/>
        <w:color w:val="808080"/>
      </w:rPr>
      <w:tab/>
    </w:r>
    <w:r>
      <w:rPr>
        <w:rFonts w:eastAsia="Calibri" w:cs="Calibri"/>
        <w:b/>
        <w:color w:val="808080"/>
      </w:rPr>
      <w:tab/>
    </w:r>
    <w:r>
      <w:rPr>
        <w:rFonts w:eastAsia="Calibri" w:cs="Calibri"/>
        <w:b/>
        <w:color w:val="808080"/>
      </w:rPr>
      <w:tab/>
    </w:r>
    <w:r>
      <w:rPr>
        <w:rFonts w:eastAsia="Calibri" w:cs="Calibri"/>
        <w:b/>
        <w:color w:val="808080"/>
      </w:rPr>
      <w:tab/>
    </w:r>
    <w:r>
      <w:rPr>
        <w:rFonts w:eastAsia="Calibri" w:cs="Calibri"/>
        <w:b/>
        <w:color w:val="808080"/>
      </w:rPr>
      <w:tab/>
    </w:r>
    <w:r>
      <w:rPr>
        <w:rFonts w:eastAsia="Calibri" w:cs="Calibri"/>
        <w:b/>
        <w:color w:val="808080"/>
      </w:rPr>
      <w:tab/>
    </w:r>
  </w:p>
  <w:p w14:paraId="1AD63F79" w14:textId="77777777" w:rsidR="00783199" w:rsidRDefault="00783199" w:rsidP="00783199">
    <w:pPr>
      <w:spacing w:after="0"/>
      <w:rPr>
        <w:rFonts w:eastAsia="Calibri" w:cs="Calibri"/>
        <w:b/>
        <w:i/>
        <w:color w:val="808080"/>
        <w:sz w:val="18"/>
        <w:szCs w:val="18"/>
      </w:rPr>
    </w:pPr>
    <w:r>
      <w:rPr>
        <w:rFonts w:eastAsia="Calibri" w:cs="Calibri"/>
        <w:b/>
        <w:i/>
        <w:color w:val="808080"/>
        <w:sz w:val="18"/>
        <w:szCs w:val="18"/>
      </w:rPr>
      <w:t>XI INTERNATIONAL SYMPOSIUM ON INNOVATION AND TECHNOLOGY</w:t>
    </w:r>
  </w:p>
  <w:p w14:paraId="284DB6F0" w14:textId="77777777" w:rsidR="00F459E5" w:rsidRPr="00E156AD" w:rsidRDefault="00783199" w:rsidP="00E156AD">
    <w:pPr>
      <w:spacing w:after="0"/>
      <w:rPr>
        <w:rFonts w:eastAsia="Calibri" w:cs="Calibri"/>
        <w:i/>
        <w:color w:val="808080"/>
        <w:sz w:val="18"/>
        <w:szCs w:val="18"/>
      </w:rPr>
    </w:pPr>
    <w:r>
      <w:rPr>
        <w:rFonts w:eastAsia="Calibri" w:cs="Calibri"/>
        <w:i/>
        <w:color w:val="0E101A"/>
        <w:sz w:val="18"/>
        <w:szCs w:val="18"/>
      </w:rPr>
      <w:t xml:space="preserve">Quantum Technologies: The information revolution that will change the future </w:t>
    </w:r>
    <w:r>
      <w:rPr>
        <w:rFonts w:eastAsia="Calibri" w:cs="Calibri"/>
        <w:i/>
        <w:color w:val="808080"/>
        <w:sz w:val="18"/>
        <w:szCs w:val="18"/>
      </w:rPr>
      <w: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18146" w14:textId="77777777" w:rsidR="000E3560" w:rsidRPr="00A81FCC" w:rsidRDefault="000E3560" w:rsidP="00A81FCC">
      <w:r>
        <w:separator/>
      </w:r>
    </w:p>
  </w:footnote>
  <w:footnote w:type="continuationSeparator" w:id="0">
    <w:p w14:paraId="5880D4F1" w14:textId="77777777" w:rsidR="000E3560" w:rsidRPr="00A81FCC" w:rsidRDefault="000E3560" w:rsidP="00A81F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FFC60" w14:textId="25D8AB2F" w:rsidR="00E029CC" w:rsidRDefault="00E60697" w:rsidP="00E029CC">
    <w:pPr>
      <w:spacing w:after="0"/>
      <w:ind w:left="7200"/>
      <w:jc w:val="center"/>
    </w:pPr>
    <w:r>
      <w:rPr>
        <w:noProof/>
      </w:rPr>
      <w:drawing>
        <wp:anchor distT="0" distB="0" distL="114300" distR="114300" simplePos="0" relativeHeight="251658240" behindDoc="0" locked="0" layoutInCell="1" allowOverlap="1" wp14:anchorId="4D4F49B6" wp14:editId="18A24C7C">
          <wp:simplePos x="0" y="0"/>
          <wp:positionH relativeFrom="margin">
            <wp:posOffset>-714375</wp:posOffset>
          </wp:positionH>
          <wp:positionV relativeFrom="paragraph">
            <wp:posOffset>-476250</wp:posOffset>
          </wp:positionV>
          <wp:extent cx="7550785" cy="840105"/>
          <wp:effectExtent l="0" t="0" r="0" b="0"/>
          <wp:wrapNone/>
          <wp:docPr id="799839457" name="Imagem 799839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0785" cy="840105"/>
                  </a:xfrm>
                  <a:prstGeom prst="rect">
                    <a:avLst/>
                  </a:prstGeom>
                  <a:noFill/>
                </pic:spPr>
              </pic:pic>
            </a:graphicData>
          </a:graphic>
          <wp14:sizeRelH relativeFrom="margin">
            <wp14:pctWidth>0</wp14:pctWidth>
          </wp14:sizeRelH>
          <wp14:sizeRelV relativeFrom="margin">
            <wp14:pctHeight>0</wp14:pctHeight>
          </wp14:sizeRelV>
        </wp:anchor>
      </w:drawing>
    </w:r>
    <w:r w:rsidR="00E029CC">
      <w:t xml:space="preserve">           </w:t>
    </w:r>
  </w:p>
  <w:p w14:paraId="49F1A559" w14:textId="77777777" w:rsidR="00E029CC" w:rsidRPr="00E029CC" w:rsidRDefault="00E029CC" w:rsidP="00E029CC">
    <w:pPr>
      <w:spacing w:after="0"/>
      <w:jc w:val="right"/>
      <w:rPr>
        <w:color w:val="323E4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2485C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182C0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F64E91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15C225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D8E41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632363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830C1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86002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5606B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9F0AF0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017EF2"/>
    <w:multiLevelType w:val="hybridMultilevel"/>
    <w:tmpl w:val="7C94CD3A"/>
    <w:lvl w:ilvl="0" w:tplc="D578DBF6">
      <w:start w:val="1"/>
      <w:numFmt w:val="decimal"/>
      <w:suff w:val="space"/>
      <w:lvlText w:val="%1."/>
      <w:lvlJc w:val="left"/>
      <w:pPr>
        <w:ind w:left="360"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213B13"/>
    <w:multiLevelType w:val="multilevel"/>
    <w:tmpl w:val="1BAC0D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3D122DF"/>
    <w:multiLevelType w:val="hybridMultilevel"/>
    <w:tmpl w:val="1E92177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053B47BC"/>
    <w:multiLevelType w:val="hybridMultilevel"/>
    <w:tmpl w:val="67686C48"/>
    <w:lvl w:ilvl="0" w:tplc="F45878B6">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07D223EB"/>
    <w:multiLevelType w:val="hybridMultilevel"/>
    <w:tmpl w:val="DE8078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ACF5C5F"/>
    <w:multiLevelType w:val="multilevel"/>
    <w:tmpl w:val="D4D8E5F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67D6448"/>
    <w:multiLevelType w:val="hybridMultilevel"/>
    <w:tmpl w:val="5DF623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177F0E0B"/>
    <w:multiLevelType w:val="multilevel"/>
    <w:tmpl w:val="0409001D"/>
    <w:numStyleLink w:val="12References"/>
  </w:abstractNum>
  <w:abstractNum w:abstractNumId="18" w15:restartNumberingAfterBreak="0">
    <w:nsid w:val="1EA43B70"/>
    <w:multiLevelType w:val="hybridMultilevel"/>
    <w:tmpl w:val="9D648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EBE2911"/>
    <w:multiLevelType w:val="multilevel"/>
    <w:tmpl w:val="403232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FCF0157"/>
    <w:multiLevelType w:val="multilevel"/>
    <w:tmpl w:val="0409001D"/>
    <w:styleLink w:val="12References"/>
    <w:lvl w:ilvl="0">
      <w:start w:val="1"/>
      <w:numFmt w:val="decimal"/>
      <w:lvlText w:val="%1)"/>
      <w:lvlJc w:val="left"/>
      <w:pPr>
        <w:ind w:left="360" w:hanging="360"/>
      </w:pPr>
      <w:rPr>
        <w:rFonts w:ascii="Century" w:hAnsi="Century"/>
        <w:sz w:val="1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55B5329"/>
    <w:multiLevelType w:val="hybridMultilevel"/>
    <w:tmpl w:val="BABC5E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2AA234CC"/>
    <w:multiLevelType w:val="multilevel"/>
    <w:tmpl w:val="5E30C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F103D1B"/>
    <w:multiLevelType w:val="multilevel"/>
    <w:tmpl w:val="F5EC1A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7A0B62"/>
    <w:multiLevelType w:val="hybridMultilevel"/>
    <w:tmpl w:val="DC24FCC8"/>
    <w:lvl w:ilvl="0" w:tplc="07581198">
      <w:start w:val="1"/>
      <w:numFmt w:val="decimal"/>
      <w:pStyle w:val="13Reference"/>
      <w:lvlText w:val="[%1]"/>
      <w:lvlJc w:val="left"/>
      <w:pPr>
        <w:ind w:left="420" w:hanging="420"/>
      </w:pPr>
      <w:rPr>
        <w:rFonts w:ascii="Times New Roman" w:hAnsi="Times New Roman" w:hint="default"/>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39E306F1"/>
    <w:multiLevelType w:val="multilevel"/>
    <w:tmpl w:val="0CC64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DBE5A4D"/>
    <w:multiLevelType w:val="multilevel"/>
    <w:tmpl w:val="0409001D"/>
    <w:numStyleLink w:val="12Refereces"/>
  </w:abstractNum>
  <w:abstractNum w:abstractNumId="27" w15:restartNumberingAfterBreak="0">
    <w:nsid w:val="40787BAA"/>
    <w:multiLevelType w:val="hybridMultilevel"/>
    <w:tmpl w:val="A7804664"/>
    <w:lvl w:ilvl="0" w:tplc="6720C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2D9345B"/>
    <w:multiLevelType w:val="hybridMultilevel"/>
    <w:tmpl w:val="65FE5FC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4AA6F78"/>
    <w:multiLevelType w:val="multilevel"/>
    <w:tmpl w:val="29D06C5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0232215"/>
    <w:multiLevelType w:val="multilevel"/>
    <w:tmpl w:val="3D5EA5BC"/>
    <w:lvl w:ilvl="0">
      <w:start w:val="1"/>
      <w:numFmt w:val="upperLetter"/>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8A15947"/>
    <w:multiLevelType w:val="multilevel"/>
    <w:tmpl w:val="0409001D"/>
    <w:styleLink w:val="12Refereces"/>
    <w:lvl w:ilvl="0">
      <w:start w:val="1"/>
      <w:numFmt w:val="decimal"/>
      <w:lvlText w:val="%1)"/>
      <w:lvlJc w:val="left"/>
      <w:pPr>
        <w:ind w:left="360" w:hanging="360"/>
      </w:pPr>
      <w:rPr>
        <w:rFonts w:ascii="Century" w:hAnsi="Century"/>
        <w:sz w:val="1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9512FE8"/>
    <w:multiLevelType w:val="multilevel"/>
    <w:tmpl w:val="07F240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EEF3102"/>
    <w:multiLevelType w:val="hybridMultilevel"/>
    <w:tmpl w:val="245EB54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064339F"/>
    <w:multiLevelType w:val="multilevel"/>
    <w:tmpl w:val="214CB1F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33000F0"/>
    <w:multiLevelType w:val="multilevel"/>
    <w:tmpl w:val="53543A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3556D3A"/>
    <w:multiLevelType w:val="multilevel"/>
    <w:tmpl w:val="35EE3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086136D"/>
    <w:multiLevelType w:val="hybridMultilevel"/>
    <w:tmpl w:val="01FEE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670F74"/>
    <w:multiLevelType w:val="multilevel"/>
    <w:tmpl w:val="0409001D"/>
    <w:lvl w:ilvl="0">
      <w:start w:val="1"/>
      <w:numFmt w:val="decimal"/>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14753531">
    <w:abstractNumId w:val="31"/>
  </w:num>
  <w:num w:numId="2" w16cid:durableId="1352299541">
    <w:abstractNumId w:val="26"/>
  </w:num>
  <w:num w:numId="3" w16cid:durableId="654601472">
    <w:abstractNumId w:val="14"/>
  </w:num>
  <w:num w:numId="4" w16cid:durableId="2017882834">
    <w:abstractNumId w:val="38"/>
  </w:num>
  <w:num w:numId="5" w16cid:durableId="756903562">
    <w:abstractNumId w:val="20"/>
  </w:num>
  <w:num w:numId="6" w16cid:durableId="2130080720">
    <w:abstractNumId w:val="17"/>
  </w:num>
  <w:num w:numId="7" w16cid:durableId="1200508735">
    <w:abstractNumId w:val="9"/>
  </w:num>
  <w:num w:numId="8" w16cid:durableId="1964843792">
    <w:abstractNumId w:val="7"/>
  </w:num>
  <w:num w:numId="9" w16cid:durableId="1463427827">
    <w:abstractNumId w:val="6"/>
  </w:num>
  <w:num w:numId="10" w16cid:durableId="2020619726">
    <w:abstractNumId w:val="5"/>
  </w:num>
  <w:num w:numId="11" w16cid:durableId="1504321737">
    <w:abstractNumId w:val="4"/>
  </w:num>
  <w:num w:numId="12" w16cid:durableId="21520765">
    <w:abstractNumId w:val="8"/>
  </w:num>
  <w:num w:numId="13" w16cid:durableId="1236740688">
    <w:abstractNumId w:val="3"/>
  </w:num>
  <w:num w:numId="14" w16cid:durableId="1813450509">
    <w:abstractNumId w:val="2"/>
  </w:num>
  <w:num w:numId="15" w16cid:durableId="704136831">
    <w:abstractNumId w:val="1"/>
  </w:num>
  <w:num w:numId="16" w16cid:durableId="1086730274">
    <w:abstractNumId w:val="0"/>
  </w:num>
  <w:num w:numId="17" w16cid:durableId="1035691149">
    <w:abstractNumId w:val="18"/>
  </w:num>
  <w:num w:numId="18" w16cid:durableId="890266118">
    <w:abstractNumId w:val="10"/>
  </w:num>
  <w:num w:numId="19" w16cid:durableId="1256094279">
    <w:abstractNumId w:val="37"/>
  </w:num>
  <w:num w:numId="20" w16cid:durableId="14437649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83108527">
    <w:abstractNumId w:val="27"/>
  </w:num>
  <w:num w:numId="22" w16cid:durableId="1658336932">
    <w:abstractNumId w:val="30"/>
  </w:num>
  <w:num w:numId="23" w16cid:durableId="1874227697">
    <w:abstractNumId w:val="13"/>
  </w:num>
  <w:num w:numId="24" w16cid:durableId="2000841102">
    <w:abstractNumId w:val="10"/>
    <w:lvlOverride w:ilvl="0">
      <w:startOverride w:val="1"/>
    </w:lvlOverride>
  </w:num>
  <w:num w:numId="25" w16cid:durableId="689527023">
    <w:abstractNumId w:val="24"/>
  </w:num>
  <w:num w:numId="26" w16cid:durableId="59795320">
    <w:abstractNumId w:val="25"/>
  </w:num>
  <w:num w:numId="27" w16cid:durableId="574170278">
    <w:abstractNumId w:val="33"/>
  </w:num>
  <w:num w:numId="28" w16cid:durableId="838158962">
    <w:abstractNumId w:val="12"/>
  </w:num>
  <w:num w:numId="29" w16cid:durableId="1410346644">
    <w:abstractNumId w:val="28"/>
  </w:num>
  <w:num w:numId="30" w16cid:durableId="16390204">
    <w:abstractNumId w:val="36"/>
  </w:num>
  <w:num w:numId="31" w16cid:durableId="579411056">
    <w:abstractNumId w:val="21"/>
  </w:num>
  <w:num w:numId="32" w16cid:durableId="1408458059">
    <w:abstractNumId w:val="22"/>
  </w:num>
  <w:num w:numId="33" w16cid:durableId="772555869">
    <w:abstractNumId w:val="32"/>
  </w:num>
  <w:num w:numId="34" w16cid:durableId="449517870">
    <w:abstractNumId w:val="35"/>
  </w:num>
  <w:num w:numId="35" w16cid:durableId="316762613">
    <w:abstractNumId w:val="19"/>
  </w:num>
  <w:num w:numId="36" w16cid:durableId="671687471">
    <w:abstractNumId w:val="23"/>
  </w:num>
  <w:num w:numId="37" w16cid:durableId="1550648305">
    <w:abstractNumId w:val="11"/>
  </w:num>
  <w:num w:numId="38" w16cid:durableId="2064015086">
    <w:abstractNumId w:val="34"/>
  </w:num>
  <w:num w:numId="39" w16cid:durableId="1005791469">
    <w:abstractNumId w:val="15"/>
  </w:num>
  <w:num w:numId="40" w16cid:durableId="157176559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2C3"/>
    <w:rsid w:val="000015D5"/>
    <w:rsid w:val="000020FE"/>
    <w:rsid w:val="000021EA"/>
    <w:rsid w:val="000125B9"/>
    <w:rsid w:val="00014628"/>
    <w:rsid w:val="00014CAA"/>
    <w:rsid w:val="00017D15"/>
    <w:rsid w:val="00021AFC"/>
    <w:rsid w:val="00022FA6"/>
    <w:rsid w:val="000274AC"/>
    <w:rsid w:val="00031EC0"/>
    <w:rsid w:val="000320DC"/>
    <w:rsid w:val="00036378"/>
    <w:rsid w:val="00042510"/>
    <w:rsid w:val="0004257E"/>
    <w:rsid w:val="00045BC7"/>
    <w:rsid w:val="00055052"/>
    <w:rsid w:val="00055C9D"/>
    <w:rsid w:val="000569D4"/>
    <w:rsid w:val="00060FBD"/>
    <w:rsid w:val="00060FD8"/>
    <w:rsid w:val="0006160D"/>
    <w:rsid w:val="00062BB1"/>
    <w:rsid w:val="00065076"/>
    <w:rsid w:val="00066A33"/>
    <w:rsid w:val="000754C1"/>
    <w:rsid w:val="00075BD0"/>
    <w:rsid w:val="00090E6C"/>
    <w:rsid w:val="00092EDB"/>
    <w:rsid w:val="00093C5D"/>
    <w:rsid w:val="000948FD"/>
    <w:rsid w:val="000A5AAD"/>
    <w:rsid w:val="000B1D96"/>
    <w:rsid w:val="000B2FCF"/>
    <w:rsid w:val="000B51C5"/>
    <w:rsid w:val="000C2C7F"/>
    <w:rsid w:val="000C72A1"/>
    <w:rsid w:val="000D4361"/>
    <w:rsid w:val="000D4506"/>
    <w:rsid w:val="000E208D"/>
    <w:rsid w:val="000E2CB2"/>
    <w:rsid w:val="000E3560"/>
    <w:rsid w:val="000E491B"/>
    <w:rsid w:val="000F4A0C"/>
    <w:rsid w:val="00103427"/>
    <w:rsid w:val="00106557"/>
    <w:rsid w:val="00113337"/>
    <w:rsid w:val="00133559"/>
    <w:rsid w:val="00133E4B"/>
    <w:rsid w:val="00137250"/>
    <w:rsid w:val="00137ACA"/>
    <w:rsid w:val="00151D1A"/>
    <w:rsid w:val="0017632E"/>
    <w:rsid w:val="0018234D"/>
    <w:rsid w:val="0018523F"/>
    <w:rsid w:val="001871F1"/>
    <w:rsid w:val="00192E46"/>
    <w:rsid w:val="0019636E"/>
    <w:rsid w:val="001966FC"/>
    <w:rsid w:val="001A1BF8"/>
    <w:rsid w:val="001A2592"/>
    <w:rsid w:val="001B4DF4"/>
    <w:rsid w:val="001B7244"/>
    <w:rsid w:val="001B74F2"/>
    <w:rsid w:val="001C0521"/>
    <w:rsid w:val="001C1700"/>
    <w:rsid w:val="001C1B97"/>
    <w:rsid w:val="001C1EBD"/>
    <w:rsid w:val="001C37B2"/>
    <w:rsid w:val="001D29BD"/>
    <w:rsid w:val="001D5292"/>
    <w:rsid w:val="001E03D4"/>
    <w:rsid w:val="001E35C1"/>
    <w:rsid w:val="001F14A1"/>
    <w:rsid w:val="001F2314"/>
    <w:rsid w:val="001F657A"/>
    <w:rsid w:val="001F7639"/>
    <w:rsid w:val="0020049B"/>
    <w:rsid w:val="00200BFE"/>
    <w:rsid w:val="00201882"/>
    <w:rsid w:val="002056A2"/>
    <w:rsid w:val="00210D2B"/>
    <w:rsid w:val="00214365"/>
    <w:rsid w:val="002176CD"/>
    <w:rsid w:val="00217CF7"/>
    <w:rsid w:val="00222A19"/>
    <w:rsid w:val="002246D2"/>
    <w:rsid w:val="0022708D"/>
    <w:rsid w:val="002308B9"/>
    <w:rsid w:val="00232EE4"/>
    <w:rsid w:val="002432A8"/>
    <w:rsid w:val="00245015"/>
    <w:rsid w:val="002472FB"/>
    <w:rsid w:val="0024798E"/>
    <w:rsid w:val="0025387E"/>
    <w:rsid w:val="00260725"/>
    <w:rsid w:val="002615E9"/>
    <w:rsid w:val="00263532"/>
    <w:rsid w:val="00263EB5"/>
    <w:rsid w:val="00267007"/>
    <w:rsid w:val="002702C7"/>
    <w:rsid w:val="00272F6E"/>
    <w:rsid w:val="00275149"/>
    <w:rsid w:val="00285CDD"/>
    <w:rsid w:val="002A2228"/>
    <w:rsid w:val="002A51D7"/>
    <w:rsid w:val="002A5998"/>
    <w:rsid w:val="002B79A3"/>
    <w:rsid w:val="002B7B99"/>
    <w:rsid w:val="002C27F5"/>
    <w:rsid w:val="002D0C2C"/>
    <w:rsid w:val="002D0CC2"/>
    <w:rsid w:val="002D4978"/>
    <w:rsid w:val="002D58B9"/>
    <w:rsid w:val="002E06CF"/>
    <w:rsid w:val="002E214D"/>
    <w:rsid w:val="002E4361"/>
    <w:rsid w:val="002E69B2"/>
    <w:rsid w:val="002E7628"/>
    <w:rsid w:val="002E7695"/>
    <w:rsid w:val="002F187E"/>
    <w:rsid w:val="002F1E1C"/>
    <w:rsid w:val="002F43E7"/>
    <w:rsid w:val="002F546A"/>
    <w:rsid w:val="002F694C"/>
    <w:rsid w:val="003003BB"/>
    <w:rsid w:val="003078ED"/>
    <w:rsid w:val="00313B21"/>
    <w:rsid w:val="00313FA8"/>
    <w:rsid w:val="00314380"/>
    <w:rsid w:val="003155B3"/>
    <w:rsid w:val="003178BD"/>
    <w:rsid w:val="00320241"/>
    <w:rsid w:val="00320E32"/>
    <w:rsid w:val="00327715"/>
    <w:rsid w:val="0033076E"/>
    <w:rsid w:val="00330F73"/>
    <w:rsid w:val="00331854"/>
    <w:rsid w:val="00333881"/>
    <w:rsid w:val="00333B19"/>
    <w:rsid w:val="003342FC"/>
    <w:rsid w:val="0033583F"/>
    <w:rsid w:val="00344CF3"/>
    <w:rsid w:val="00345535"/>
    <w:rsid w:val="00351A4E"/>
    <w:rsid w:val="00355EAB"/>
    <w:rsid w:val="003575A3"/>
    <w:rsid w:val="003608A7"/>
    <w:rsid w:val="003610C2"/>
    <w:rsid w:val="003745B0"/>
    <w:rsid w:val="00375D4E"/>
    <w:rsid w:val="00375E25"/>
    <w:rsid w:val="00375E9A"/>
    <w:rsid w:val="003761EB"/>
    <w:rsid w:val="003767BE"/>
    <w:rsid w:val="003819A5"/>
    <w:rsid w:val="00382F5D"/>
    <w:rsid w:val="00386929"/>
    <w:rsid w:val="003871DF"/>
    <w:rsid w:val="00390CE9"/>
    <w:rsid w:val="00392471"/>
    <w:rsid w:val="00396F68"/>
    <w:rsid w:val="00397ABB"/>
    <w:rsid w:val="003B216A"/>
    <w:rsid w:val="003B36FE"/>
    <w:rsid w:val="003B73FA"/>
    <w:rsid w:val="003B79F5"/>
    <w:rsid w:val="003C10BC"/>
    <w:rsid w:val="003C29C1"/>
    <w:rsid w:val="003C385F"/>
    <w:rsid w:val="003D1094"/>
    <w:rsid w:val="003D1E70"/>
    <w:rsid w:val="003D3F74"/>
    <w:rsid w:val="003D3F9F"/>
    <w:rsid w:val="003D488F"/>
    <w:rsid w:val="003D4D2C"/>
    <w:rsid w:val="003D6ABE"/>
    <w:rsid w:val="003F519C"/>
    <w:rsid w:val="003F5355"/>
    <w:rsid w:val="0040205D"/>
    <w:rsid w:val="004044CE"/>
    <w:rsid w:val="0040634F"/>
    <w:rsid w:val="00407BEF"/>
    <w:rsid w:val="00413749"/>
    <w:rsid w:val="00446B2A"/>
    <w:rsid w:val="0045623C"/>
    <w:rsid w:val="0045704B"/>
    <w:rsid w:val="00457BB8"/>
    <w:rsid w:val="00462A98"/>
    <w:rsid w:val="00465CE1"/>
    <w:rsid w:val="00474A3F"/>
    <w:rsid w:val="004817AE"/>
    <w:rsid w:val="004837F1"/>
    <w:rsid w:val="00484B96"/>
    <w:rsid w:val="004A1FFD"/>
    <w:rsid w:val="004A208B"/>
    <w:rsid w:val="004A34E3"/>
    <w:rsid w:val="004A34E6"/>
    <w:rsid w:val="004A457F"/>
    <w:rsid w:val="004B0507"/>
    <w:rsid w:val="004B2127"/>
    <w:rsid w:val="004B287A"/>
    <w:rsid w:val="004B4EA0"/>
    <w:rsid w:val="004B7658"/>
    <w:rsid w:val="004C0D8F"/>
    <w:rsid w:val="004C3C6D"/>
    <w:rsid w:val="004D1786"/>
    <w:rsid w:val="004D79C9"/>
    <w:rsid w:val="004E3D36"/>
    <w:rsid w:val="004E4685"/>
    <w:rsid w:val="004F3392"/>
    <w:rsid w:val="005075DC"/>
    <w:rsid w:val="00507831"/>
    <w:rsid w:val="005202C9"/>
    <w:rsid w:val="0052127D"/>
    <w:rsid w:val="0052463B"/>
    <w:rsid w:val="00525334"/>
    <w:rsid w:val="0052755A"/>
    <w:rsid w:val="00535FC6"/>
    <w:rsid w:val="00543C80"/>
    <w:rsid w:val="00544E14"/>
    <w:rsid w:val="00554BBC"/>
    <w:rsid w:val="00560322"/>
    <w:rsid w:val="005625E9"/>
    <w:rsid w:val="00564872"/>
    <w:rsid w:val="00566FB7"/>
    <w:rsid w:val="00574F34"/>
    <w:rsid w:val="00580E0D"/>
    <w:rsid w:val="0058298A"/>
    <w:rsid w:val="0058530F"/>
    <w:rsid w:val="005855F5"/>
    <w:rsid w:val="00585C27"/>
    <w:rsid w:val="005866FD"/>
    <w:rsid w:val="00597936"/>
    <w:rsid w:val="005A2E04"/>
    <w:rsid w:val="005A3588"/>
    <w:rsid w:val="005A3E69"/>
    <w:rsid w:val="005A7E48"/>
    <w:rsid w:val="005B543E"/>
    <w:rsid w:val="005B618C"/>
    <w:rsid w:val="005B634F"/>
    <w:rsid w:val="005C1B53"/>
    <w:rsid w:val="005C4281"/>
    <w:rsid w:val="005C658A"/>
    <w:rsid w:val="005C6E26"/>
    <w:rsid w:val="005C76A2"/>
    <w:rsid w:val="005C7FB0"/>
    <w:rsid w:val="005D070D"/>
    <w:rsid w:val="005D4D58"/>
    <w:rsid w:val="005E7015"/>
    <w:rsid w:val="005F08E3"/>
    <w:rsid w:val="005F452D"/>
    <w:rsid w:val="00600235"/>
    <w:rsid w:val="006009F7"/>
    <w:rsid w:val="00602587"/>
    <w:rsid w:val="00603E9A"/>
    <w:rsid w:val="006163F5"/>
    <w:rsid w:val="0061725D"/>
    <w:rsid w:val="00625996"/>
    <w:rsid w:val="00626A3F"/>
    <w:rsid w:val="00636D31"/>
    <w:rsid w:val="00637463"/>
    <w:rsid w:val="006440AD"/>
    <w:rsid w:val="006445C7"/>
    <w:rsid w:val="00646308"/>
    <w:rsid w:val="00647AB0"/>
    <w:rsid w:val="00647DD2"/>
    <w:rsid w:val="0065386B"/>
    <w:rsid w:val="00654A5F"/>
    <w:rsid w:val="006569BE"/>
    <w:rsid w:val="00664C58"/>
    <w:rsid w:val="00672A5E"/>
    <w:rsid w:val="00680446"/>
    <w:rsid w:val="00680E44"/>
    <w:rsid w:val="00684FDB"/>
    <w:rsid w:val="00693131"/>
    <w:rsid w:val="00693953"/>
    <w:rsid w:val="00697D24"/>
    <w:rsid w:val="006A1E04"/>
    <w:rsid w:val="006B3AF1"/>
    <w:rsid w:val="006B4B00"/>
    <w:rsid w:val="006C011B"/>
    <w:rsid w:val="006C1C96"/>
    <w:rsid w:val="006C3522"/>
    <w:rsid w:val="006C6A39"/>
    <w:rsid w:val="006C785F"/>
    <w:rsid w:val="006D2B86"/>
    <w:rsid w:val="006D6AA3"/>
    <w:rsid w:val="006E0457"/>
    <w:rsid w:val="006E2F77"/>
    <w:rsid w:val="006E3964"/>
    <w:rsid w:val="006E5DF0"/>
    <w:rsid w:val="006E6FC7"/>
    <w:rsid w:val="006F4D8E"/>
    <w:rsid w:val="007012AE"/>
    <w:rsid w:val="0070286A"/>
    <w:rsid w:val="0070695E"/>
    <w:rsid w:val="00710E88"/>
    <w:rsid w:val="007160E5"/>
    <w:rsid w:val="00717BA6"/>
    <w:rsid w:val="007202C7"/>
    <w:rsid w:val="007205D6"/>
    <w:rsid w:val="00723050"/>
    <w:rsid w:val="00723711"/>
    <w:rsid w:val="00723CA3"/>
    <w:rsid w:val="00727266"/>
    <w:rsid w:val="00727864"/>
    <w:rsid w:val="00730EEB"/>
    <w:rsid w:val="00734504"/>
    <w:rsid w:val="00734A56"/>
    <w:rsid w:val="00742373"/>
    <w:rsid w:val="007434A0"/>
    <w:rsid w:val="007455B5"/>
    <w:rsid w:val="007500D4"/>
    <w:rsid w:val="00750B79"/>
    <w:rsid w:val="00754250"/>
    <w:rsid w:val="00757A52"/>
    <w:rsid w:val="00764CD9"/>
    <w:rsid w:val="007672EA"/>
    <w:rsid w:val="007711F5"/>
    <w:rsid w:val="00772EE2"/>
    <w:rsid w:val="00775DAC"/>
    <w:rsid w:val="00776CDE"/>
    <w:rsid w:val="00783199"/>
    <w:rsid w:val="0078594A"/>
    <w:rsid w:val="00790277"/>
    <w:rsid w:val="00793530"/>
    <w:rsid w:val="00793C81"/>
    <w:rsid w:val="00793D4B"/>
    <w:rsid w:val="007940E0"/>
    <w:rsid w:val="007A1BEA"/>
    <w:rsid w:val="007A3101"/>
    <w:rsid w:val="007A31C1"/>
    <w:rsid w:val="007A67B5"/>
    <w:rsid w:val="007A6F09"/>
    <w:rsid w:val="007B1FC6"/>
    <w:rsid w:val="007B4B0A"/>
    <w:rsid w:val="007D0234"/>
    <w:rsid w:val="007D4ABC"/>
    <w:rsid w:val="007D72E2"/>
    <w:rsid w:val="007F3799"/>
    <w:rsid w:val="007F59D7"/>
    <w:rsid w:val="008007B4"/>
    <w:rsid w:val="00801319"/>
    <w:rsid w:val="00802A3E"/>
    <w:rsid w:val="00803B0A"/>
    <w:rsid w:val="00806E2D"/>
    <w:rsid w:val="0081532E"/>
    <w:rsid w:val="008172B8"/>
    <w:rsid w:val="008220C5"/>
    <w:rsid w:val="008228A5"/>
    <w:rsid w:val="00822FED"/>
    <w:rsid w:val="008265C2"/>
    <w:rsid w:val="00830497"/>
    <w:rsid w:val="00833606"/>
    <w:rsid w:val="00834CC0"/>
    <w:rsid w:val="00841701"/>
    <w:rsid w:val="00842C29"/>
    <w:rsid w:val="00844B30"/>
    <w:rsid w:val="00847656"/>
    <w:rsid w:val="008524EF"/>
    <w:rsid w:val="0085336C"/>
    <w:rsid w:val="00854234"/>
    <w:rsid w:val="0085762F"/>
    <w:rsid w:val="00860C37"/>
    <w:rsid w:val="00862D51"/>
    <w:rsid w:val="0086460D"/>
    <w:rsid w:val="0086682D"/>
    <w:rsid w:val="008728EB"/>
    <w:rsid w:val="00874F3C"/>
    <w:rsid w:val="00884ED0"/>
    <w:rsid w:val="00886300"/>
    <w:rsid w:val="0089398E"/>
    <w:rsid w:val="00896CBC"/>
    <w:rsid w:val="0089770B"/>
    <w:rsid w:val="00897D77"/>
    <w:rsid w:val="008A0E50"/>
    <w:rsid w:val="008A5726"/>
    <w:rsid w:val="008B07C4"/>
    <w:rsid w:val="008B19EC"/>
    <w:rsid w:val="008C50CD"/>
    <w:rsid w:val="008C6286"/>
    <w:rsid w:val="008C7461"/>
    <w:rsid w:val="008D18DD"/>
    <w:rsid w:val="008D33AA"/>
    <w:rsid w:val="008D33C8"/>
    <w:rsid w:val="008E01FE"/>
    <w:rsid w:val="008E0E7A"/>
    <w:rsid w:val="008E4861"/>
    <w:rsid w:val="008F4653"/>
    <w:rsid w:val="008F7E1D"/>
    <w:rsid w:val="009025AA"/>
    <w:rsid w:val="00905B2B"/>
    <w:rsid w:val="009060E4"/>
    <w:rsid w:val="00916AB4"/>
    <w:rsid w:val="00920A8B"/>
    <w:rsid w:val="00927C0E"/>
    <w:rsid w:val="00931761"/>
    <w:rsid w:val="00933A82"/>
    <w:rsid w:val="00934DA5"/>
    <w:rsid w:val="00941F7E"/>
    <w:rsid w:val="00947280"/>
    <w:rsid w:val="00947D55"/>
    <w:rsid w:val="00955A84"/>
    <w:rsid w:val="00956DFD"/>
    <w:rsid w:val="00957A4C"/>
    <w:rsid w:val="0096294F"/>
    <w:rsid w:val="00967A01"/>
    <w:rsid w:val="00970D00"/>
    <w:rsid w:val="00973BE4"/>
    <w:rsid w:val="00976794"/>
    <w:rsid w:val="009776EC"/>
    <w:rsid w:val="00984E8C"/>
    <w:rsid w:val="009A102C"/>
    <w:rsid w:val="009A4FA9"/>
    <w:rsid w:val="009C0747"/>
    <w:rsid w:val="009C2B32"/>
    <w:rsid w:val="009C5BC7"/>
    <w:rsid w:val="009D0742"/>
    <w:rsid w:val="009D2FEF"/>
    <w:rsid w:val="009D3C7F"/>
    <w:rsid w:val="009E0F5B"/>
    <w:rsid w:val="009E3A08"/>
    <w:rsid w:val="009E43CD"/>
    <w:rsid w:val="009F1782"/>
    <w:rsid w:val="009F28D3"/>
    <w:rsid w:val="009F40D4"/>
    <w:rsid w:val="009F4816"/>
    <w:rsid w:val="009F4E61"/>
    <w:rsid w:val="009F6774"/>
    <w:rsid w:val="00A01322"/>
    <w:rsid w:val="00A03F6E"/>
    <w:rsid w:val="00A0431F"/>
    <w:rsid w:val="00A05ECE"/>
    <w:rsid w:val="00A06F1F"/>
    <w:rsid w:val="00A154FE"/>
    <w:rsid w:val="00A17F95"/>
    <w:rsid w:val="00A20999"/>
    <w:rsid w:val="00A22CEE"/>
    <w:rsid w:val="00A24B1B"/>
    <w:rsid w:val="00A26E36"/>
    <w:rsid w:val="00A30B22"/>
    <w:rsid w:val="00A30B58"/>
    <w:rsid w:val="00A356A8"/>
    <w:rsid w:val="00A4152B"/>
    <w:rsid w:val="00A41B48"/>
    <w:rsid w:val="00A41BF2"/>
    <w:rsid w:val="00A46BC0"/>
    <w:rsid w:val="00A512D7"/>
    <w:rsid w:val="00A55A1E"/>
    <w:rsid w:val="00A600EB"/>
    <w:rsid w:val="00A635DE"/>
    <w:rsid w:val="00A64869"/>
    <w:rsid w:val="00A663E4"/>
    <w:rsid w:val="00A724D6"/>
    <w:rsid w:val="00A75AFE"/>
    <w:rsid w:val="00A77086"/>
    <w:rsid w:val="00A778BE"/>
    <w:rsid w:val="00A81FCC"/>
    <w:rsid w:val="00A8548C"/>
    <w:rsid w:val="00A9519C"/>
    <w:rsid w:val="00A96D10"/>
    <w:rsid w:val="00AB0BFC"/>
    <w:rsid w:val="00AB24B1"/>
    <w:rsid w:val="00AB496D"/>
    <w:rsid w:val="00AB7F27"/>
    <w:rsid w:val="00AC117C"/>
    <w:rsid w:val="00AC3F62"/>
    <w:rsid w:val="00AD35C2"/>
    <w:rsid w:val="00AD3E67"/>
    <w:rsid w:val="00AE52DC"/>
    <w:rsid w:val="00B04F41"/>
    <w:rsid w:val="00B11C25"/>
    <w:rsid w:val="00B13B4D"/>
    <w:rsid w:val="00B15D9B"/>
    <w:rsid w:val="00B22110"/>
    <w:rsid w:val="00B24F23"/>
    <w:rsid w:val="00B26945"/>
    <w:rsid w:val="00B306F2"/>
    <w:rsid w:val="00B31694"/>
    <w:rsid w:val="00B31F52"/>
    <w:rsid w:val="00B42016"/>
    <w:rsid w:val="00B527CE"/>
    <w:rsid w:val="00B5699D"/>
    <w:rsid w:val="00B7051B"/>
    <w:rsid w:val="00B71306"/>
    <w:rsid w:val="00B7254F"/>
    <w:rsid w:val="00B729F6"/>
    <w:rsid w:val="00B82CDE"/>
    <w:rsid w:val="00B8371B"/>
    <w:rsid w:val="00B93CCD"/>
    <w:rsid w:val="00B967E9"/>
    <w:rsid w:val="00B972A6"/>
    <w:rsid w:val="00B97F4F"/>
    <w:rsid w:val="00BA14A7"/>
    <w:rsid w:val="00BA32A3"/>
    <w:rsid w:val="00BA5CAC"/>
    <w:rsid w:val="00BA6456"/>
    <w:rsid w:val="00BB4ABF"/>
    <w:rsid w:val="00BB699C"/>
    <w:rsid w:val="00BC2D3D"/>
    <w:rsid w:val="00BC48D5"/>
    <w:rsid w:val="00BC5398"/>
    <w:rsid w:val="00BD0E6E"/>
    <w:rsid w:val="00BD1BA8"/>
    <w:rsid w:val="00BD3EF9"/>
    <w:rsid w:val="00BE2F20"/>
    <w:rsid w:val="00BE5CA4"/>
    <w:rsid w:val="00BE6E3B"/>
    <w:rsid w:val="00BF2977"/>
    <w:rsid w:val="00BF4C93"/>
    <w:rsid w:val="00C006D2"/>
    <w:rsid w:val="00C10191"/>
    <w:rsid w:val="00C136CD"/>
    <w:rsid w:val="00C14EB7"/>
    <w:rsid w:val="00C159E0"/>
    <w:rsid w:val="00C170B0"/>
    <w:rsid w:val="00C21446"/>
    <w:rsid w:val="00C21CA5"/>
    <w:rsid w:val="00C303BC"/>
    <w:rsid w:val="00C3110A"/>
    <w:rsid w:val="00C402C3"/>
    <w:rsid w:val="00C40EA3"/>
    <w:rsid w:val="00C421B1"/>
    <w:rsid w:val="00C43DC8"/>
    <w:rsid w:val="00C47CA2"/>
    <w:rsid w:val="00C56F80"/>
    <w:rsid w:val="00C573E0"/>
    <w:rsid w:val="00C63844"/>
    <w:rsid w:val="00C64C99"/>
    <w:rsid w:val="00C737EB"/>
    <w:rsid w:val="00C74E8D"/>
    <w:rsid w:val="00C77254"/>
    <w:rsid w:val="00C86A68"/>
    <w:rsid w:val="00C913FD"/>
    <w:rsid w:val="00C91A9A"/>
    <w:rsid w:val="00C97095"/>
    <w:rsid w:val="00C97B7E"/>
    <w:rsid w:val="00CA2ACF"/>
    <w:rsid w:val="00CA32F4"/>
    <w:rsid w:val="00CA79E5"/>
    <w:rsid w:val="00CB67FC"/>
    <w:rsid w:val="00CC1BF9"/>
    <w:rsid w:val="00CC235B"/>
    <w:rsid w:val="00CC3C86"/>
    <w:rsid w:val="00CC41AD"/>
    <w:rsid w:val="00CC55A2"/>
    <w:rsid w:val="00CC75E9"/>
    <w:rsid w:val="00CD31D5"/>
    <w:rsid w:val="00CD3897"/>
    <w:rsid w:val="00CE0A58"/>
    <w:rsid w:val="00CE0C56"/>
    <w:rsid w:val="00CE535E"/>
    <w:rsid w:val="00CE700F"/>
    <w:rsid w:val="00CE7510"/>
    <w:rsid w:val="00CF1FCC"/>
    <w:rsid w:val="00CF5C15"/>
    <w:rsid w:val="00CF5CDE"/>
    <w:rsid w:val="00D00CEF"/>
    <w:rsid w:val="00D02AEF"/>
    <w:rsid w:val="00D0327B"/>
    <w:rsid w:val="00D104BB"/>
    <w:rsid w:val="00D107DE"/>
    <w:rsid w:val="00D11892"/>
    <w:rsid w:val="00D20B01"/>
    <w:rsid w:val="00D33E51"/>
    <w:rsid w:val="00D33F3F"/>
    <w:rsid w:val="00D35D84"/>
    <w:rsid w:val="00D35EFC"/>
    <w:rsid w:val="00D46056"/>
    <w:rsid w:val="00D522A0"/>
    <w:rsid w:val="00D53CD6"/>
    <w:rsid w:val="00D54A7A"/>
    <w:rsid w:val="00D608B1"/>
    <w:rsid w:val="00D60F29"/>
    <w:rsid w:val="00D70E4B"/>
    <w:rsid w:val="00D72317"/>
    <w:rsid w:val="00D73A24"/>
    <w:rsid w:val="00D873FC"/>
    <w:rsid w:val="00D91CB5"/>
    <w:rsid w:val="00D974AB"/>
    <w:rsid w:val="00DA5153"/>
    <w:rsid w:val="00DB0A02"/>
    <w:rsid w:val="00DB238A"/>
    <w:rsid w:val="00DB4322"/>
    <w:rsid w:val="00DC04BD"/>
    <w:rsid w:val="00DC0E43"/>
    <w:rsid w:val="00DC1827"/>
    <w:rsid w:val="00DC2142"/>
    <w:rsid w:val="00DC5B71"/>
    <w:rsid w:val="00DC64A4"/>
    <w:rsid w:val="00DC70D0"/>
    <w:rsid w:val="00DC7BA2"/>
    <w:rsid w:val="00DD6A3E"/>
    <w:rsid w:val="00DE0575"/>
    <w:rsid w:val="00DE15A6"/>
    <w:rsid w:val="00DE199A"/>
    <w:rsid w:val="00DF0257"/>
    <w:rsid w:val="00E029CC"/>
    <w:rsid w:val="00E03532"/>
    <w:rsid w:val="00E05FA4"/>
    <w:rsid w:val="00E06196"/>
    <w:rsid w:val="00E10DBA"/>
    <w:rsid w:val="00E116EE"/>
    <w:rsid w:val="00E14BCE"/>
    <w:rsid w:val="00E156AD"/>
    <w:rsid w:val="00E17A32"/>
    <w:rsid w:val="00E2180C"/>
    <w:rsid w:val="00E264A2"/>
    <w:rsid w:val="00E30B58"/>
    <w:rsid w:val="00E36548"/>
    <w:rsid w:val="00E4217F"/>
    <w:rsid w:val="00E446A7"/>
    <w:rsid w:val="00E463E4"/>
    <w:rsid w:val="00E4745F"/>
    <w:rsid w:val="00E60697"/>
    <w:rsid w:val="00E61F62"/>
    <w:rsid w:val="00E650F5"/>
    <w:rsid w:val="00E74294"/>
    <w:rsid w:val="00E74FF9"/>
    <w:rsid w:val="00E7702D"/>
    <w:rsid w:val="00E80237"/>
    <w:rsid w:val="00E831B4"/>
    <w:rsid w:val="00E92F14"/>
    <w:rsid w:val="00E94621"/>
    <w:rsid w:val="00E9495E"/>
    <w:rsid w:val="00E974FD"/>
    <w:rsid w:val="00E97833"/>
    <w:rsid w:val="00E97ADB"/>
    <w:rsid w:val="00EA2167"/>
    <w:rsid w:val="00EA5339"/>
    <w:rsid w:val="00EA613A"/>
    <w:rsid w:val="00EB31DB"/>
    <w:rsid w:val="00EB42EF"/>
    <w:rsid w:val="00EC0BD6"/>
    <w:rsid w:val="00EC215E"/>
    <w:rsid w:val="00EC5B04"/>
    <w:rsid w:val="00EC61D0"/>
    <w:rsid w:val="00ED3FFD"/>
    <w:rsid w:val="00EE2B66"/>
    <w:rsid w:val="00EF2CB5"/>
    <w:rsid w:val="00EF313C"/>
    <w:rsid w:val="00EF47CA"/>
    <w:rsid w:val="00F1165E"/>
    <w:rsid w:val="00F11AB4"/>
    <w:rsid w:val="00F14D3F"/>
    <w:rsid w:val="00F2439E"/>
    <w:rsid w:val="00F302C2"/>
    <w:rsid w:val="00F33F7F"/>
    <w:rsid w:val="00F36481"/>
    <w:rsid w:val="00F40CBE"/>
    <w:rsid w:val="00F40D78"/>
    <w:rsid w:val="00F426BC"/>
    <w:rsid w:val="00F459E5"/>
    <w:rsid w:val="00F53B3C"/>
    <w:rsid w:val="00F56ACE"/>
    <w:rsid w:val="00F62960"/>
    <w:rsid w:val="00F71E96"/>
    <w:rsid w:val="00F81D50"/>
    <w:rsid w:val="00F914A3"/>
    <w:rsid w:val="00F9355A"/>
    <w:rsid w:val="00F936C0"/>
    <w:rsid w:val="00F9405E"/>
    <w:rsid w:val="00FA5B4E"/>
    <w:rsid w:val="00FA6BD5"/>
    <w:rsid w:val="00FA6CF1"/>
    <w:rsid w:val="00FA7B84"/>
    <w:rsid w:val="00FB2C9B"/>
    <w:rsid w:val="00FB30C7"/>
    <w:rsid w:val="00FC1851"/>
    <w:rsid w:val="00FC2561"/>
    <w:rsid w:val="00FC2798"/>
    <w:rsid w:val="00FC7429"/>
    <w:rsid w:val="00FD757A"/>
    <w:rsid w:val="00FE22B4"/>
    <w:rsid w:val="00FE2A44"/>
    <w:rsid w:val="00FE40B5"/>
    <w:rsid w:val="00FF02A8"/>
    <w:rsid w:val="00FF02B4"/>
    <w:rsid w:val="00FF02F0"/>
    <w:rsid w:val="00FF61AD"/>
    <w:rsid w:val="00FF65E2"/>
    <w:rsid w:val="055ACFC6"/>
    <w:rsid w:val="0797C03B"/>
    <w:rsid w:val="0EFBD1A9"/>
    <w:rsid w:val="10C10DAB"/>
    <w:rsid w:val="1736E339"/>
    <w:rsid w:val="2ECA7F20"/>
    <w:rsid w:val="2F6F5FD9"/>
    <w:rsid w:val="3319FF44"/>
    <w:rsid w:val="4449CC50"/>
    <w:rsid w:val="4531FB25"/>
    <w:rsid w:val="54050F6E"/>
    <w:rsid w:val="5C59EFD3"/>
    <w:rsid w:val="655EC43D"/>
    <w:rsid w:val="65E75D69"/>
    <w:rsid w:val="69991FDD"/>
    <w:rsid w:val="733D0C3A"/>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35FDA4"/>
  <w15:chartTrackingRefBased/>
  <w15:docId w15:val="{04665714-DF07-4528-A12D-6AA53AEA7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pt-BR" w:eastAsia="pt-BR"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628"/>
    <w:pPr>
      <w:spacing w:after="360"/>
    </w:pPr>
    <w:rPr>
      <w:sz w:val="22"/>
      <w:szCs w:val="22"/>
      <w:lang w:val="en-US" w:eastAsia="en-US"/>
    </w:rPr>
  </w:style>
  <w:style w:type="paragraph" w:styleId="Ttulo1">
    <w:name w:val="heading 1"/>
    <w:basedOn w:val="Normal"/>
    <w:next w:val="Normal"/>
    <w:link w:val="Ttulo1Char"/>
    <w:uiPriority w:val="9"/>
    <w:qFormat/>
    <w:rsid w:val="000C2C7F"/>
    <w:pPr>
      <w:keepNext/>
      <w:spacing w:before="240" w:after="60"/>
      <w:outlineLvl w:val="0"/>
    </w:pPr>
    <w:rPr>
      <w:rFonts w:ascii="Aptos Display" w:eastAsia="Times New Roman" w:hAnsi="Aptos Display"/>
      <w:b/>
      <w:bCs/>
      <w:kern w:val="32"/>
      <w:sz w:val="32"/>
      <w:szCs w:val="32"/>
    </w:rPr>
  </w:style>
  <w:style w:type="paragraph" w:styleId="Ttulo2">
    <w:name w:val="heading 2"/>
    <w:basedOn w:val="Normal"/>
    <w:next w:val="Normal"/>
    <w:link w:val="Ttulo2Char"/>
    <w:uiPriority w:val="9"/>
    <w:semiHidden/>
    <w:unhideWhenUsed/>
    <w:qFormat/>
    <w:rsid w:val="00E60697"/>
    <w:pPr>
      <w:keepNext/>
      <w:keepLines/>
      <w:spacing w:before="80" w:after="0"/>
      <w:outlineLvl w:val="1"/>
    </w:pPr>
    <w:rPr>
      <w:rFonts w:asciiTheme="majorHAnsi" w:eastAsiaTheme="majorEastAsia" w:hAnsiTheme="majorHAnsi" w:cstheme="majorBidi"/>
      <w:color w:val="404040" w:themeColor="text1" w:themeTint="BF"/>
      <w:sz w:val="28"/>
      <w:szCs w:val="28"/>
      <w:lang w:val="pt-BR" w:eastAsia="pt-BR"/>
    </w:rPr>
  </w:style>
  <w:style w:type="paragraph" w:styleId="Ttulo3">
    <w:name w:val="heading 3"/>
    <w:basedOn w:val="Normal"/>
    <w:next w:val="Normal"/>
    <w:link w:val="Ttulo3Char"/>
    <w:uiPriority w:val="9"/>
    <w:unhideWhenUsed/>
    <w:qFormat/>
    <w:rsid w:val="008E01FE"/>
    <w:pPr>
      <w:keepNext/>
      <w:keepLines/>
      <w:spacing w:before="40" w:after="0" w:line="240" w:lineRule="auto"/>
      <w:outlineLvl w:val="2"/>
    </w:pPr>
    <w:rPr>
      <w:rFonts w:asciiTheme="majorHAnsi" w:eastAsiaTheme="majorEastAsia" w:hAnsiTheme="majorHAnsi" w:cstheme="majorBidi"/>
      <w:color w:val="0E2841" w:themeColor="text2"/>
      <w:sz w:val="24"/>
      <w:szCs w:val="24"/>
      <w:lang w:val="pt-BR" w:eastAsia="pt-BR"/>
    </w:rPr>
  </w:style>
  <w:style w:type="paragraph" w:styleId="Ttulo4">
    <w:name w:val="heading 4"/>
    <w:basedOn w:val="Normal"/>
    <w:next w:val="Normal"/>
    <w:link w:val="Ttulo4Char"/>
    <w:uiPriority w:val="9"/>
    <w:semiHidden/>
    <w:unhideWhenUsed/>
    <w:qFormat/>
    <w:rsid w:val="00E60697"/>
    <w:pPr>
      <w:keepNext/>
      <w:keepLines/>
      <w:spacing w:before="40" w:after="0"/>
      <w:outlineLvl w:val="3"/>
    </w:pPr>
    <w:rPr>
      <w:rFonts w:asciiTheme="majorHAnsi" w:eastAsiaTheme="majorEastAsia" w:hAnsiTheme="majorHAnsi" w:cstheme="majorBidi"/>
      <w:lang w:val="pt-BR" w:eastAsia="pt-BR"/>
    </w:rPr>
  </w:style>
  <w:style w:type="paragraph" w:styleId="Ttulo5">
    <w:name w:val="heading 5"/>
    <w:basedOn w:val="Normal"/>
    <w:next w:val="Normal"/>
    <w:link w:val="Ttulo5Char"/>
    <w:uiPriority w:val="9"/>
    <w:semiHidden/>
    <w:unhideWhenUsed/>
    <w:qFormat/>
    <w:rsid w:val="00E60697"/>
    <w:pPr>
      <w:keepNext/>
      <w:keepLines/>
      <w:spacing w:before="40" w:after="0"/>
      <w:outlineLvl w:val="4"/>
    </w:pPr>
    <w:rPr>
      <w:rFonts w:asciiTheme="majorHAnsi" w:eastAsiaTheme="majorEastAsia" w:hAnsiTheme="majorHAnsi" w:cstheme="majorBidi"/>
      <w:color w:val="0E2841" w:themeColor="text2"/>
      <w:lang w:val="pt-BR" w:eastAsia="pt-BR"/>
    </w:rPr>
  </w:style>
  <w:style w:type="paragraph" w:styleId="Ttulo6">
    <w:name w:val="heading 6"/>
    <w:basedOn w:val="Normal"/>
    <w:next w:val="Normal"/>
    <w:link w:val="Ttulo6Char"/>
    <w:uiPriority w:val="9"/>
    <w:semiHidden/>
    <w:unhideWhenUsed/>
    <w:qFormat/>
    <w:rsid w:val="00E60697"/>
    <w:pPr>
      <w:keepNext/>
      <w:keepLines/>
      <w:spacing w:before="40" w:after="0"/>
      <w:outlineLvl w:val="5"/>
    </w:pPr>
    <w:rPr>
      <w:rFonts w:asciiTheme="majorHAnsi" w:eastAsiaTheme="majorEastAsia" w:hAnsiTheme="majorHAnsi" w:cstheme="majorBidi"/>
      <w:i/>
      <w:iCs/>
      <w:color w:val="0E2841" w:themeColor="text2"/>
      <w:sz w:val="21"/>
      <w:szCs w:val="21"/>
      <w:lang w:val="pt-BR" w:eastAsia="pt-BR"/>
    </w:rPr>
  </w:style>
  <w:style w:type="paragraph" w:styleId="Ttulo7">
    <w:name w:val="heading 7"/>
    <w:basedOn w:val="Normal"/>
    <w:next w:val="Normal"/>
    <w:link w:val="Ttulo7Char"/>
    <w:uiPriority w:val="9"/>
    <w:semiHidden/>
    <w:unhideWhenUsed/>
    <w:qFormat/>
    <w:rsid w:val="00E60697"/>
    <w:pPr>
      <w:keepNext/>
      <w:keepLines/>
      <w:spacing w:before="40" w:after="0"/>
      <w:outlineLvl w:val="6"/>
    </w:pPr>
    <w:rPr>
      <w:rFonts w:asciiTheme="majorHAnsi" w:eastAsiaTheme="majorEastAsia" w:hAnsiTheme="majorHAnsi" w:cstheme="majorBidi"/>
      <w:i/>
      <w:iCs/>
      <w:color w:val="0A2F41" w:themeColor="accent1" w:themeShade="80"/>
      <w:sz w:val="21"/>
      <w:szCs w:val="21"/>
      <w:lang w:val="pt-BR" w:eastAsia="pt-BR"/>
    </w:rPr>
  </w:style>
  <w:style w:type="paragraph" w:styleId="Ttulo8">
    <w:name w:val="heading 8"/>
    <w:basedOn w:val="Normal"/>
    <w:next w:val="Normal"/>
    <w:link w:val="Ttulo8Char"/>
    <w:uiPriority w:val="9"/>
    <w:semiHidden/>
    <w:unhideWhenUsed/>
    <w:qFormat/>
    <w:rsid w:val="00E60697"/>
    <w:pPr>
      <w:keepNext/>
      <w:keepLines/>
      <w:spacing w:before="40" w:after="0"/>
      <w:outlineLvl w:val="7"/>
    </w:pPr>
    <w:rPr>
      <w:rFonts w:asciiTheme="majorHAnsi" w:eastAsiaTheme="majorEastAsia" w:hAnsiTheme="majorHAnsi" w:cstheme="majorBidi"/>
      <w:b/>
      <w:bCs/>
      <w:color w:val="0E2841" w:themeColor="text2"/>
      <w:sz w:val="20"/>
      <w:szCs w:val="20"/>
      <w:lang w:val="pt-BR" w:eastAsia="pt-BR"/>
    </w:rPr>
  </w:style>
  <w:style w:type="paragraph" w:styleId="Ttulo9">
    <w:name w:val="heading 9"/>
    <w:basedOn w:val="Normal"/>
    <w:next w:val="Normal"/>
    <w:link w:val="Ttulo9Char"/>
    <w:uiPriority w:val="9"/>
    <w:semiHidden/>
    <w:unhideWhenUsed/>
    <w:qFormat/>
    <w:rsid w:val="00E60697"/>
    <w:pPr>
      <w:keepNext/>
      <w:keepLines/>
      <w:spacing w:before="40" w:after="0"/>
      <w:outlineLvl w:val="8"/>
    </w:pPr>
    <w:rPr>
      <w:rFonts w:asciiTheme="majorHAnsi" w:eastAsiaTheme="majorEastAsia" w:hAnsiTheme="majorHAnsi" w:cstheme="majorBidi"/>
      <w:b/>
      <w:bCs/>
      <w:i/>
      <w:iCs/>
      <w:color w:val="0E2841" w:themeColor="text2"/>
      <w:sz w:val="20"/>
      <w:szCs w:val="20"/>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01Title">
    <w:name w:val="01 Title"/>
    <w:basedOn w:val="Normal"/>
    <w:next w:val="02Author"/>
    <w:rsid w:val="00F9355A"/>
    <w:pPr>
      <w:spacing w:before="520" w:after="460" w:line="500" w:lineRule="exact"/>
      <w:jc w:val="center"/>
    </w:pPr>
    <w:rPr>
      <w:rFonts w:ascii="Times New Roman" w:hAnsi="Times New Roman"/>
      <w:b/>
      <w:sz w:val="40"/>
      <w:szCs w:val="20"/>
      <w:lang w:val="pt-BR" w:eastAsia="pt-BR"/>
    </w:rPr>
  </w:style>
  <w:style w:type="paragraph" w:customStyle="1" w:styleId="02Author">
    <w:name w:val="02 Author"/>
    <w:basedOn w:val="Normal"/>
    <w:next w:val="03AuthorAffiliation"/>
    <w:rsid w:val="00F9355A"/>
    <w:pPr>
      <w:spacing w:before="360" w:after="200"/>
      <w:jc w:val="center"/>
    </w:pPr>
    <w:rPr>
      <w:rFonts w:ascii="Times New Roman" w:hAnsi="Times New Roman"/>
      <w:b/>
      <w:sz w:val="20"/>
      <w:szCs w:val="20"/>
      <w:lang w:val="pt-BR" w:eastAsia="pt-BR"/>
    </w:rPr>
  </w:style>
  <w:style w:type="paragraph" w:customStyle="1" w:styleId="03AuthorAffiliation">
    <w:name w:val="03 Author Affiliation"/>
    <w:basedOn w:val="02Author"/>
    <w:rsid w:val="00F9355A"/>
    <w:pPr>
      <w:spacing w:before="0" w:after="0" w:line="220" w:lineRule="exact"/>
    </w:pPr>
    <w:rPr>
      <w:b w:val="0"/>
      <w:sz w:val="18"/>
    </w:rPr>
  </w:style>
  <w:style w:type="character" w:styleId="TextodoEspaoReservado">
    <w:name w:val="Placeholder Text"/>
    <w:uiPriority w:val="99"/>
    <w:semiHidden/>
    <w:rsid w:val="00803B0A"/>
    <w:rPr>
      <w:color w:val="808080"/>
    </w:rPr>
  </w:style>
  <w:style w:type="paragraph" w:styleId="Textodebalo">
    <w:name w:val="Balloon Text"/>
    <w:basedOn w:val="Normal"/>
    <w:link w:val="TextodebaloChar"/>
    <w:uiPriority w:val="99"/>
    <w:semiHidden/>
    <w:unhideWhenUsed/>
    <w:rsid w:val="00803B0A"/>
    <w:rPr>
      <w:rFonts w:ascii="Tahoma" w:hAnsi="Tahoma"/>
      <w:sz w:val="16"/>
      <w:szCs w:val="16"/>
      <w:lang w:val="x-none" w:eastAsia="x-none"/>
    </w:rPr>
  </w:style>
  <w:style w:type="character" w:customStyle="1" w:styleId="TextodebaloChar">
    <w:name w:val="Texto de balão Char"/>
    <w:link w:val="Textodebalo"/>
    <w:uiPriority w:val="99"/>
    <w:semiHidden/>
    <w:rsid w:val="00803B0A"/>
    <w:rPr>
      <w:rFonts w:ascii="Tahoma" w:hAnsi="Tahoma" w:cs="Tahoma"/>
      <w:sz w:val="16"/>
      <w:szCs w:val="16"/>
    </w:rPr>
  </w:style>
  <w:style w:type="paragraph" w:customStyle="1" w:styleId="04CorrespondingAuthorEmail">
    <w:name w:val="04 Corresponding Author Email"/>
    <w:basedOn w:val="03AuthorAffiliation"/>
    <w:next w:val="05ReceivedLine"/>
    <w:rsid w:val="002B7B99"/>
    <w:pPr>
      <w:spacing w:after="156"/>
    </w:pPr>
  </w:style>
  <w:style w:type="paragraph" w:customStyle="1" w:styleId="05ReceivedLine">
    <w:name w:val="05 Received Line"/>
    <w:basedOn w:val="04CorrespondingAuthorEmail"/>
    <w:next w:val="06Abstract"/>
    <w:autoRedefine/>
    <w:rsid w:val="00CD31D5"/>
    <w:pPr>
      <w:spacing w:after="120" w:line="200" w:lineRule="exact"/>
    </w:pPr>
    <w:rPr>
      <w:i/>
      <w:sz w:val="20"/>
    </w:rPr>
  </w:style>
  <w:style w:type="paragraph" w:customStyle="1" w:styleId="06Abstract">
    <w:name w:val="06 Abstract"/>
    <w:basedOn w:val="05ReceivedLine"/>
    <w:next w:val="07KeyWords"/>
    <w:autoRedefine/>
    <w:rsid w:val="00E30B58"/>
    <w:pPr>
      <w:spacing w:after="0" w:line="240" w:lineRule="exact"/>
      <w:ind w:left="318" w:right="318"/>
      <w:jc w:val="both"/>
    </w:pPr>
    <w:rPr>
      <w:i w:val="0"/>
      <w:spacing w:val="-2"/>
    </w:rPr>
  </w:style>
  <w:style w:type="paragraph" w:customStyle="1" w:styleId="07KeyWords">
    <w:name w:val="07 Key Words"/>
    <w:basedOn w:val="06Abstract"/>
    <w:next w:val="08Body"/>
    <w:rsid w:val="0022708D"/>
    <w:pPr>
      <w:spacing w:before="320" w:after="240" w:line="240" w:lineRule="auto"/>
    </w:pPr>
    <w:rPr>
      <w:i/>
    </w:rPr>
  </w:style>
  <w:style w:type="paragraph" w:customStyle="1" w:styleId="08Body">
    <w:name w:val="08 Body"/>
    <w:basedOn w:val="Normal"/>
    <w:next w:val="09BodyIndent"/>
    <w:link w:val="08BodyChar"/>
    <w:autoRedefine/>
    <w:rsid w:val="00DC0E43"/>
    <w:pPr>
      <w:spacing w:after="0"/>
      <w:jc w:val="both"/>
    </w:pPr>
    <w:rPr>
      <w:rFonts w:ascii="Times New Roman" w:hAnsi="Times New Roman"/>
      <w:spacing w:val="-8"/>
      <w:sz w:val="20"/>
      <w:szCs w:val="20"/>
      <w:lang w:val="x-none" w:eastAsia="x-none"/>
    </w:rPr>
  </w:style>
  <w:style w:type="paragraph" w:customStyle="1" w:styleId="09BodyIndent">
    <w:name w:val="09 Body Indent"/>
    <w:basedOn w:val="08Body"/>
    <w:link w:val="09BodyIndentChar"/>
    <w:autoRedefine/>
    <w:rsid w:val="007F59D7"/>
    <w:pPr>
      <w:autoSpaceDE w:val="0"/>
      <w:autoSpaceDN w:val="0"/>
      <w:adjustRightInd w:val="0"/>
      <w:spacing w:line="360" w:lineRule="auto"/>
    </w:pPr>
    <w:rPr>
      <w:rFonts w:eastAsia="Malgun Gothic"/>
      <w:spacing w:val="0"/>
      <w:sz w:val="24"/>
      <w:szCs w:val="24"/>
      <w:lang w:val="pt-BR"/>
    </w:rPr>
  </w:style>
  <w:style w:type="paragraph" w:customStyle="1" w:styleId="10Acknowledgments">
    <w:name w:val="10 Acknowledgments"/>
    <w:basedOn w:val="09BodyIndent"/>
    <w:autoRedefine/>
    <w:rsid w:val="00EB42EF"/>
    <w:pPr>
      <w:spacing w:before="120"/>
    </w:pPr>
    <w:rPr>
      <w:rFonts w:cs="AdvOTdbe06fba"/>
      <w:color w:val="000000"/>
      <w:szCs w:val="20"/>
    </w:rPr>
  </w:style>
  <w:style w:type="paragraph" w:customStyle="1" w:styleId="12ReferenceHeader">
    <w:name w:val="12 Reference Header"/>
    <w:basedOn w:val="Normal"/>
    <w:rsid w:val="006440AD"/>
    <w:pPr>
      <w:autoSpaceDE w:val="0"/>
      <w:autoSpaceDN w:val="0"/>
      <w:adjustRightInd w:val="0"/>
      <w:spacing w:before="480" w:after="120"/>
      <w:jc w:val="both"/>
    </w:pPr>
    <w:rPr>
      <w:rFonts w:ascii="Century" w:hAnsi="Century" w:cs="AdvOT9cb306be.B"/>
      <w:b/>
      <w:sz w:val="18"/>
      <w:szCs w:val="18"/>
      <w:lang w:val="pt-BR" w:eastAsia="pt-BR"/>
    </w:rPr>
  </w:style>
  <w:style w:type="numbering" w:customStyle="1" w:styleId="12Refereces">
    <w:name w:val="12 Refereces"/>
    <w:basedOn w:val="Semlista"/>
    <w:uiPriority w:val="99"/>
    <w:rsid w:val="00EB42EF"/>
    <w:pPr>
      <w:numPr>
        <w:numId w:val="1"/>
      </w:numPr>
    </w:pPr>
  </w:style>
  <w:style w:type="numbering" w:customStyle="1" w:styleId="12References">
    <w:name w:val="12 References"/>
    <w:basedOn w:val="Semlista"/>
    <w:uiPriority w:val="99"/>
    <w:rsid w:val="00EB42EF"/>
    <w:pPr>
      <w:numPr>
        <w:numId w:val="5"/>
      </w:numPr>
    </w:pPr>
  </w:style>
  <w:style w:type="paragraph" w:customStyle="1" w:styleId="17Figure">
    <w:name w:val="17 Figure"/>
    <w:basedOn w:val="Normal"/>
    <w:next w:val="19FigureMulti-LinesCaption"/>
    <w:autoRedefine/>
    <w:rsid w:val="00EF2CB5"/>
    <w:pPr>
      <w:jc w:val="center"/>
    </w:pPr>
    <w:rPr>
      <w:rFonts w:cs="AdvOT8910dd71"/>
      <w:szCs w:val="14"/>
      <w:u w:val="single"/>
    </w:rPr>
  </w:style>
  <w:style w:type="paragraph" w:customStyle="1" w:styleId="19FigureMulti-LinesCaption">
    <w:name w:val="19 Figure Multi-Lines Caption"/>
    <w:basedOn w:val="17Figure"/>
    <w:next w:val="08Body"/>
    <w:autoRedefine/>
    <w:rsid w:val="00BC2D3D"/>
    <w:pPr>
      <w:spacing w:after="0" w:line="360" w:lineRule="auto"/>
      <w:jc w:val="both"/>
    </w:pPr>
    <w:rPr>
      <w:rFonts w:ascii="Times New Roman" w:hAnsi="Times New Roman"/>
      <w:sz w:val="24"/>
      <w:szCs w:val="24"/>
      <w:u w:val="none"/>
      <w:lang w:val="pt-BR" w:eastAsia="pt-BR"/>
    </w:rPr>
  </w:style>
  <w:style w:type="paragraph" w:customStyle="1" w:styleId="13Reference">
    <w:name w:val="13 Reference"/>
    <w:basedOn w:val="12ReferenceHeader"/>
    <w:rsid w:val="002432A8"/>
    <w:pPr>
      <w:numPr>
        <w:numId w:val="25"/>
      </w:numPr>
      <w:spacing w:before="0" w:after="0"/>
    </w:pPr>
    <w:rPr>
      <w:rFonts w:ascii="Times New Roman" w:hAnsi="Times New Roman"/>
      <w:b w:val="0"/>
      <w:sz w:val="16"/>
    </w:rPr>
  </w:style>
  <w:style w:type="table" w:styleId="Tabelacomgrade">
    <w:name w:val="Table Grid"/>
    <w:basedOn w:val="Tabelanormal"/>
    <w:uiPriority w:val="59"/>
    <w:rsid w:val="00897D7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4TableTitle">
    <w:name w:val="14 Table Title"/>
    <w:basedOn w:val="09BodyIndent"/>
    <w:rsid w:val="00CD31D5"/>
    <w:pPr>
      <w:spacing w:before="240"/>
      <w:jc w:val="center"/>
    </w:pPr>
    <w:rPr>
      <w:b/>
      <w:sz w:val="16"/>
      <w:szCs w:val="18"/>
    </w:rPr>
  </w:style>
  <w:style w:type="paragraph" w:customStyle="1" w:styleId="15TableHeading">
    <w:name w:val="15 Table Heading"/>
    <w:basedOn w:val="09BodyIndent"/>
    <w:rsid w:val="00847656"/>
    <w:pPr>
      <w:jc w:val="center"/>
    </w:pPr>
    <w:rPr>
      <w:sz w:val="16"/>
      <w:szCs w:val="18"/>
    </w:rPr>
  </w:style>
  <w:style w:type="paragraph" w:customStyle="1" w:styleId="16TableBody">
    <w:name w:val="16 Table Body"/>
    <w:basedOn w:val="09BodyIndent"/>
    <w:rsid w:val="00847656"/>
    <w:pPr>
      <w:jc w:val="center"/>
    </w:pPr>
    <w:rPr>
      <w:sz w:val="16"/>
      <w:szCs w:val="18"/>
    </w:rPr>
  </w:style>
  <w:style w:type="paragraph" w:customStyle="1" w:styleId="MTDisplayEquation">
    <w:name w:val="MTDisplayEquation"/>
    <w:basedOn w:val="09BodyIndent"/>
    <w:next w:val="Normal"/>
    <w:link w:val="MTDisplayEquationChar"/>
    <w:rsid w:val="00E74294"/>
    <w:pPr>
      <w:tabs>
        <w:tab w:val="center" w:pos="2480"/>
        <w:tab w:val="right" w:pos="4940"/>
      </w:tabs>
      <w:spacing w:before="240" w:after="120"/>
    </w:pPr>
  </w:style>
  <w:style w:type="character" w:customStyle="1" w:styleId="08BodyChar">
    <w:name w:val="08 Body Char"/>
    <w:link w:val="08Body"/>
    <w:rsid w:val="00DC0E43"/>
    <w:rPr>
      <w:rFonts w:ascii="Times New Roman" w:hAnsi="Times New Roman"/>
      <w:spacing w:val="-8"/>
      <w:lang w:val="x-none" w:eastAsia="x-none"/>
    </w:rPr>
  </w:style>
  <w:style w:type="character" w:customStyle="1" w:styleId="09BodyIndentChar">
    <w:name w:val="09 Body Indent Char"/>
    <w:link w:val="09BodyIndent"/>
    <w:rsid w:val="006B3AF1"/>
    <w:rPr>
      <w:rFonts w:ascii="Times New Roman" w:eastAsia="Malgun Gothic" w:hAnsi="Times New Roman"/>
      <w:sz w:val="24"/>
      <w:szCs w:val="24"/>
      <w:lang w:eastAsia="x-none"/>
    </w:rPr>
  </w:style>
  <w:style w:type="character" w:customStyle="1" w:styleId="MTDisplayEquationChar">
    <w:name w:val="MTDisplayEquation Char"/>
    <w:link w:val="MTDisplayEquation"/>
    <w:rsid w:val="00E74294"/>
    <w:rPr>
      <w:rFonts w:ascii="Times New Roman" w:eastAsia="Malgun Gothic" w:hAnsi="Times New Roman"/>
      <w:sz w:val="24"/>
      <w:szCs w:val="24"/>
      <w:lang w:val="x-none" w:eastAsia="x-none"/>
    </w:rPr>
  </w:style>
  <w:style w:type="character" w:styleId="Hyperlink">
    <w:name w:val="Hyperlink"/>
    <w:uiPriority w:val="99"/>
    <w:unhideWhenUsed/>
    <w:rsid w:val="00FE40B5"/>
    <w:rPr>
      <w:color w:val="0000FF"/>
      <w:u w:val="single"/>
    </w:rPr>
  </w:style>
  <w:style w:type="paragraph" w:customStyle="1" w:styleId="11Equations">
    <w:name w:val="11 Equations"/>
    <w:autoRedefine/>
    <w:rsid w:val="00CA32F4"/>
    <w:pPr>
      <w:spacing w:before="100" w:after="100"/>
      <w:jc w:val="both"/>
    </w:pPr>
    <w:rPr>
      <w:rFonts w:ascii="Century" w:hAnsi="Century"/>
      <w:szCs w:val="22"/>
      <w:lang w:val="en-US" w:eastAsia="en-US"/>
    </w:rPr>
  </w:style>
  <w:style w:type="character" w:styleId="MenoPendente">
    <w:name w:val="Unresolved Mention"/>
    <w:uiPriority w:val="99"/>
    <w:semiHidden/>
    <w:unhideWhenUsed/>
    <w:rsid w:val="00E029CC"/>
    <w:rPr>
      <w:color w:val="605E5C"/>
      <w:shd w:val="clear" w:color="auto" w:fill="E1DFDD"/>
    </w:rPr>
  </w:style>
  <w:style w:type="paragraph" w:styleId="NormalWeb">
    <w:name w:val="Normal (Web)"/>
    <w:basedOn w:val="Normal"/>
    <w:uiPriority w:val="99"/>
    <w:unhideWhenUsed/>
    <w:rsid w:val="000274AC"/>
    <w:pPr>
      <w:spacing w:before="100" w:beforeAutospacing="1" w:after="100" w:afterAutospacing="1"/>
    </w:pPr>
    <w:rPr>
      <w:rFonts w:ascii="Times New Roman" w:eastAsia="Times New Roman" w:hAnsi="Times New Roman"/>
      <w:sz w:val="24"/>
      <w:szCs w:val="24"/>
      <w:lang w:val="pt-BR" w:eastAsia="pt-BR"/>
    </w:rPr>
  </w:style>
  <w:style w:type="character" w:customStyle="1" w:styleId="Ttulo3Char">
    <w:name w:val="Título 3 Char"/>
    <w:link w:val="Ttulo3"/>
    <w:uiPriority w:val="9"/>
    <w:rsid w:val="00920A8B"/>
    <w:rPr>
      <w:rFonts w:asciiTheme="majorHAnsi" w:eastAsiaTheme="majorEastAsia" w:hAnsiTheme="majorHAnsi" w:cstheme="majorBidi"/>
      <w:color w:val="0E2841" w:themeColor="text2"/>
      <w:sz w:val="24"/>
      <w:szCs w:val="24"/>
    </w:rPr>
  </w:style>
  <w:style w:type="paragraph" w:styleId="Cabealho">
    <w:name w:val="header"/>
    <w:basedOn w:val="Normal"/>
    <w:link w:val="CabealhoChar"/>
    <w:uiPriority w:val="99"/>
    <w:unhideWhenUsed/>
    <w:rsid w:val="00A81FCC"/>
    <w:pPr>
      <w:tabs>
        <w:tab w:val="center" w:pos="4680"/>
        <w:tab w:val="right" w:pos="9360"/>
      </w:tabs>
    </w:pPr>
    <w:rPr>
      <w:lang w:val="x-none" w:eastAsia="x-none"/>
    </w:rPr>
  </w:style>
  <w:style w:type="character" w:customStyle="1" w:styleId="CabealhoChar">
    <w:name w:val="Cabeçalho Char"/>
    <w:link w:val="Cabealho"/>
    <w:uiPriority w:val="99"/>
    <w:rsid w:val="00A81FCC"/>
    <w:rPr>
      <w:sz w:val="22"/>
      <w:szCs w:val="22"/>
    </w:rPr>
  </w:style>
  <w:style w:type="paragraph" w:styleId="Rodap">
    <w:name w:val="footer"/>
    <w:basedOn w:val="Normal"/>
    <w:link w:val="RodapChar"/>
    <w:uiPriority w:val="99"/>
    <w:unhideWhenUsed/>
    <w:rsid w:val="00A81FCC"/>
    <w:pPr>
      <w:tabs>
        <w:tab w:val="center" w:pos="4680"/>
        <w:tab w:val="right" w:pos="9360"/>
      </w:tabs>
    </w:pPr>
    <w:rPr>
      <w:lang w:val="x-none" w:eastAsia="x-none"/>
    </w:rPr>
  </w:style>
  <w:style w:type="character" w:customStyle="1" w:styleId="RodapChar">
    <w:name w:val="Rodapé Char"/>
    <w:link w:val="Rodap"/>
    <w:uiPriority w:val="99"/>
    <w:rsid w:val="00A81FCC"/>
    <w:rPr>
      <w:sz w:val="22"/>
      <w:szCs w:val="22"/>
    </w:rPr>
  </w:style>
  <w:style w:type="paragraph" w:customStyle="1" w:styleId="21Heading2">
    <w:name w:val="21 Heading 2"/>
    <w:basedOn w:val="09BodyIndent"/>
    <w:rsid w:val="00F2439E"/>
    <w:pPr>
      <w:spacing w:before="220" w:after="100"/>
    </w:pPr>
    <w:rPr>
      <w:b/>
    </w:rPr>
  </w:style>
  <w:style w:type="paragraph" w:customStyle="1" w:styleId="20Heading1">
    <w:name w:val="20 Heading 1"/>
    <w:basedOn w:val="08Body"/>
    <w:autoRedefine/>
    <w:rsid w:val="00854234"/>
    <w:rPr>
      <w:b/>
      <w:sz w:val="24"/>
      <w:szCs w:val="24"/>
    </w:rPr>
  </w:style>
  <w:style w:type="paragraph" w:customStyle="1" w:styleId="22Heading3">
    <w:name w:val="22 Heading 3"/>
    <w:basedOn w:val="09BodyIndent"/>
    <w:rsid w:val="00E30B58"/>
    <w:pPr>
      <w:spacing w:before="200" w:after="80" w:line="220" w:lineRule="exact"/>
    </w:pPr>
    <w:rPr>
      <w:b/>
    </w:rPr>
  </w:style>
  <w:style w:type="character" w:styleId="Refdecomentrio">
    <w:name w:val="annotation reference"/>
    <w:uiPriority w:val="99"/>
    <w:semiHidden/>
    <w:unhideWhenUsed/>
    <w:rsid w:val="00723CA3"/>
    <w:rPr>
      <w:sz w:val="16"/>
      <w:szCs w:val="16"/>
    </w:rPr>
  </w:style>
  <w:style w:type="paragraph" w:styleId="Textodecomentrio">
    <w:name w:val="annotation text"/>
    <w:basedOn w:val="Normal"/>
    <w:link w:val="TextodecomentrioChar"/>
    <w:uiPriority w:val="99"/>
    <w:unhideWhenUsed/>
    <w:rsid w:val="00723CA3"/>
    <w:pPr>
      <w:spacing w:after="0"/>
    </w:pPr>
    <w:rPr>
      <w:rFonts w:eastAsia="Calibri"/>
      <w:sz w:val="20"/>
      <w:szCs w:val="20"/>
      <w:lang w:val="x-none" w:eastAsia="x-none"/>
    </w:rPr>
  </w:style>
  <w:style w:type="character" w:customStyle="1" w:styleId="TextodecomentrioChar">
    <w:name w:val="Texto de comentário Char"/>
    <w:link w:val="Textodecomentrio"/>
    <w:uiPriority w:val="99"/>
    <w:rsid w:val="00723CA3"/>
    <w:rPr>
      <w:rFonts w:eastAsia="Calibri"/>
      <w:lang w:val="x-none" w:eastAsia="x-none"/>
    </w:rPr>
  </w:style>
  <w:style w:type="character" w:styleId="Forte">
    <w:name w:val="Strong"/>
    <w:basedOn w:val="Fontepargpadro"/>
    <w:uiPriority w:val="22"/>
    <w:qFormat/>
    <w:rsid w:val="008E01FE"/>
    <w:rPr>
      <w:b/>
      <w:bCs/>
    </w:rPr>
  </w:style>
  <w:style w:type="character" w:styleId="nfase">
    <w:name w:val="Emphasis"/>
    <w:basedOn w:val="Fontepargpadro"/>
    <w:uiPriority w:val="20"/>
    <w:qFormat/>
    <w:rsid w:val="008E01FE"/>
    <w:rPr>
      <w:i/>
      <w:iCs/>
    </w:rPr>
  </w:style>
  <w:style w:type="character" w:customStyle="1" w:styleId="Ttulo1Char">
    <w:name w:val="Título 1 Char"/>
    <w:link w:val="Ttulo1"/>
    <w:uiPriority w:val="9"/>
    <w:rsid w:val="000C2C7F"/>
    <w:rPr>
      <w:rFonts w:ascii="Aptos Display" w:eastAsia="Times New Roman" w:hAnsi="Aptos Display" w:cs="Times New Roman"/>
      <w:b/>
      <w:bCs/>
      <w:kern w:val="32"/>
      <w:sz w:val="32"/>
      <w:szCs w:val="32"/>
      <w:lang w:val="en-US" w:eastAsia="en-US"/>
    </w:rPr>
  </w:style>
  <w:style w:type="paragraph" w:customStyle="1" w:styleId="figure">
    <w:name w:val="figure"/>
    <w:basedOn w:val="Normal"/>
    <w:link w:val="figure0"/>
    <w:rsid w:val="00A356A8"/>
    <w:pPr>
      <w:kinsoku w:val="0"/>
      <w:spacing w:beforeLines="50" w:before="120" w:after="0" w:line="360" w:lineRule="auto"/>
      <w:jc w:val="center"/>
    </w:pPr>
    <w:rPr>
      <w:rFonts w:ascii="Times New Roman" w:hAnsi="Times New Roman"/>
      <w:sz w:val="20"/>
      <w:szCs w:val="20"/>
      <w:lang w:val="x-none" w:eastAsia="x-none"/>
    </w:rPr>
  </w:style>
  <w:style w:type="character" w:customStyle="1" w:styleId="figure0">
    <w:name w:val="figure 字元"/>
    <w:link w:val="figure"/>
    <w:rsid w:val="00A356A8"/>
    <w:rPr>
      <w:rFonts w:ascii="Times New Roman" w:hAnsi="Times New Roman"/>
      <w:lang w:val="x-none" w:eastAsia="x-none"/>
    </w:rPr>
  </w:style>
  <w:style w:type="paragraph" w:customStyle="1" w:styleId="Corpodetexto1">
    <w:name w:val="Corpo de texto1"/>
    <w:rsid w:val="002E06CF"/>
    <w:pPr>
      <w:spacing w:line="228" w:lineRule="auto"/>
      <w:ind w:firstLine="288"/>
      <w:jc w:val="both"/>
    </w:pPr>
    <w:rPr>
      <w:rFonts w:ascii="Times New Roman" w:eastAsia="ヒラギノ角ゴ Pro W3" w:hAnsi="Times New Roman"/>
      <w:color w:val="000000"/>
      <w:spacing w:val="-1"/>
      <w:lang w:val="en-US" w:eastAsia="zh-CN"/>
    </w:rPr>
  </w:style>
  <w:style w:type="paragraph" w:customStyle="1" w:styleId="18FigureCaptionSingleLine">
    <w:name w:val="18 Figure Caption Single Line"/>
    <w:basedOn w:val="19FigureMulti-LinesCaption"/>
    <w:next w:val="17Figure"/>
    <w:rsid w:val="00FC1851"/>
  </w:style>
  <w:style w:type="paragraph" w:styleId="Assuntodocomentrio">
    <w:name w:val="annotation subject"/>
    <w:basedOn w:val="Textodecomentrio"/>
    <w:next w:val="Textodecomentrio"/>
    <w:link w:val="AssuntodocomentrioChar"/>
    <w:uiPriority w:val="99"/>
    <w:semiHidden/>
    <w:unhideWhenUsed/>
    <w:rsid w:val="00AB496D"/>
    <w:pPr>
      <w:spacing w:after="360"/>
    </w:pPr>
    <w:rPr>
      <w:rFonts w:eastAsia="SimSun"/>
      <w:b/>
      <w:bCs/>
      <w:lang w:val="en-US" w:eastAsia="en-US"/>
    </w:rPr>
  </w:style>
  <w:style w:type="character" w:customStyle="1" w:styleId="AssuntodocomentrioChar">
    <w:name w:val="Assunto do comentário Char"/>
    <w:link w:val="Assuntodocomentrio"/>
    <w:uiPriority w:val="99"/>
    <w:semiHidden/>
    <w:rsid w:val="00AB496D"/>
    <w:rPr>
      <w:rFonts w:eastAsia="Calibri"/>
      <w:b/>
      <w:bCs/>
      <w:lang w:val="en-US" w:eastAsia="en-US"/>
    </w:rPr>
  </w:style>
  <w:style w:type="character" w:customStyle="1" w:styleId="Ttulo2Char">
    <w:name w:val="Título 2 Char"/>
    <w:basedOn w:val="Fontepargpadro"/>
    <w:link w:val="Ttulo2"/>
    <w:uiPriority w:val="9"/>
    <w:semiHidden/>
    <w:rsid w:val="00E60697"/>
    <w:rPr>
      <w:rFonts w:asciiTheme="majorHAnsi" w:eastAsiaTheme="majorEastAsia" w:hAnsiTheme="majorHAnsi" w:cstheme="majorBidi"/>
      <w:color w:val="404040" w:themeColor="text1" w:themeTint="BF"/>
      <w:sz w:val="28"/>
      <w:szCs w:val="28"/>
    </w:rPr>
  </w:style>
  <w:style w:type="character" w:customStyle="1" w:styleId="Ttulo4Char">
    <w:name w:val="Título 4 Char"/>
    <w:basedOn w:val="Fontepargpadro"/>
    <w:link w:val="Ttulo4"/>
    <w:uiPriority w:val="9"/>
    <w:semiHidden/>
    <w:rsid w:val="00E60697"/>
    <w:rPr>
      <w:rFonts w:asciiTheme="majorHAnsi" w:eastAsiaTheme="majorEastAsia" w:hAnsiTheme="majorHAnsi" w:cstheme="majorBidi"/>
      <w:sz w:val="22"/>
      <w:szCs w:val="22"/>
    </w:rPr>
  </w:style>
  <w:style w:type="character" w:customStyle="1" w:styleId="Ttulo5Char">
    <w:name w:val="Título 5 Char"/>
    <w:basedOn w:val="Fontepargpadro"/>
    <w:link w:val="Ttulo5"/>
    <w:uiPriority w:val="9"/>
    <w:semiHidden/>
    <w:rsid w:val="00E60697"/>
    <w:rPr>
      <w:rFonts w:asciiTheme="majorHAnsi" w:eastAsiaTheme="majorEastAsia" w:hAnsiTheme="majorHAnsi" w:cstheme="majorBidi"/>
      <w:color w:val="0E2841" w:themeColor="text2"/>
      <w:sz w:val="22"/>
      <w:szCs w:val="22"/>
    </w:rPr>
  </w:style>
  <w:style w:type="character" w:customStyle="1" w:styleId="Ttulo6Char">
    <w:name w:val="Título 6 Char"/>
    <w:basedOn w:val="Fontepargpadro"/>
    <w:link w:val="Ttulo6"/>
    <w:uiPriority w:val="9"/>
    <w:semiHidden/>
    <w:rsid w:val="00E60697"/>
    <w:rPr>
      <w:rFonts w:asciiTheme="majorHAnsi" w:eastAsiaTheme="majorEastAsia" w:hAnsiTheme="majorHAnsi" w:cstheme="majorBidi"/>
      <w:i/>
      <w:iCs/>
      <w:color w:val="0E2841" w:themeColor="text2"/>
      <w:sz w:val="21"/>
      <w:szCs w:val="21"/>
    </w:rPr>
  </w:style>
  <w:style w:type="character" w:customStyle="1" w:styleId="Ttulo7Char">
    <w:name w:val="Título 7 Char"/>
    <w:basedOn w:val="Fontepargpadro"/>
    <w:link w:val="Ttulo7"/>
    <w:uiPriority w:val="9"/>
    <w:semiHidden/>
    <w:rsid w:val="00E60697"/>
    <w:rPr>
      <w:rFonts w:asciiTheme="majorHAnsi" w:eastAsiaTheme="majorEastAsia" w:hAnsiTheme="majorHAnsi" w:cstheme="majorBidi"/>
      <w:i/>
      <w:iCs/>
      <w:color w:val="0A2F41" w:themeColor="accent1" w:themeShade="80"/>
      <w:sz w:val="21"/>
      <w:szCs w:val="21"/>
    </w:rPr>
  </w:style>
  <w:style w:type="character" w:customStyle="1" w:styleId="Ttulo8Char">
    <w:name w:val="Título 8 Char"/>
    <w:basedOn w:val="Fontepargpadro"/>
    <w:link w:val="Ttulo8"/>
    <w:uiPriority w:val="9"/>
    <w:semiHidden/>
    <w:rsid w:val="00E60697"/>
    <w:rPr>
      <w:rFonts w:asciiTheme="majorHAnsi" w:eastAsiaTheme="majorEastAsia" w:hAnsiTheme="majorHAnsi" w:cstheme="majorBidi"/>
      <w:b/>
      <w:bCs/>
      <w:color w:val="0E2841" w:themeColor="text2"/>
    </w:rPr>
  </w:style>
  <w:style w:type="character" w:customStyle="1" w:styleId="Ttulo9Char">
    <w:name w:val="Título 9 Char"/>
    <w:basedOn w:val="Fontepargpadro"/>
    <w:link w:val="Ttulo9"/>
    <w:uiPriority w:val="9"/>
    <w:semiHidden/>
    <w:rsid w:val="00E60697"/>
    <w:rPr>
      <w:rFonts w:asciiTheme="majorHAnsi" w:eastAsiaTheme="majorEastAsia" w:hAnsiTheme="majorHAnsi" w:cstheme="majorBidi"/>
      <w:b/>
      <w:bCs/>
      <w:i/>
      <w:iCs/>
      <w:color w:val="0E2841" w:themeColor="text2"/>
    </w:rPr>
  </w:style>
  <w:style w:type="paragraph" w:styleId="Pr-formataoHTML">
    <w:name w:val="HTML Preformatted"/>
    <w:basedOn w:val="Normal"/>
    <w:link w:val="Pr-formataoHTMLChar"/>
    <w:uiPriority w:val="99"/>
    <w:semiHidden/>
    <w:unhideWhenUsed/>
    <w:rsid w:val="00E60697"/>
    <w:pPr>
      <w:spacing w:after="0"/>
    </w:pPr>
    <w:rPr>
      <w:rFonts w:ascii="Consolas" w:hAnsi="Consolas"/>
      <w:sz w:val="20"/>
      <w:szCs w:val="20"/>
      <w:lang w:val="pt-BR" w:eastAsia="pt-BR"/>
    </w:rPr>
  </w:style>
  <w:style w:type="character" w:customStyle="1" w:styleId="Pr-formataoHTMLChar">
    <w:name w:val="Pré-formatação HTML Char"/>
    <w:basedOn w:val="Fontepargpadro"/>
    <w:link w:val="Pr-formataoHTML"/>
    <w:uiPriority w:val="99"/>
    <w:semiHidden/>
    <w:rsid w:val="00E60697"/>
    <w:rPr>
      <w:rFonts w:ascii="Consolas" w:eastAsiaTheme="minorEastAsia" w:hAnsi="Consolas" w:cstheme="minorBidi"/>
    </w:rPr>
  </w:style>
  <w:style w:type="paragraph" w:customStyle="1" w:styleId="paragraph">
    <w:name w:val="paragraph"/>
    <w:basedOn w:val="Normal"/>
    <w:rsid w:val="00E60697"/>
    <w:pPr>
      <w:spacing w:before="100" w:beforeAutospacing="1" w:after="100" w:afterAutospacing="1"/>
    </w:pPr>
    <w:rPr>
      <w:rFonts w:ascii="Times New Roman" w:eastAsia="Times New Roman" w:hAnsi="Times New Roman"/>
      <w:sz w:val="24"/>
      <w:szCs w:val="24"/>
      <w:lang w:val="pt-BR" w:eastAsia="pt-BR"/>
    </w:rPr>
  </w:style>
  <w:style w:type="character" w:customStyle="1" w:styleId="normaltextrun">
    <w:name w:val="normaltextrun"/>
    <w:basedOn w:val="Fontepargpadro"/>
    <w:rsid w:val="00E60697"/>
  </w:style>
  <w:style w:type="character" w:customStyle="1" w:styleId="eop">
    <w:name w:val="eop"/>
    <w:basedOn w:val="Fontepargpadro"/>
    <w:rsid w:val="00E60697"/>
  </w:style>
  <w:style w:type="paragraph" w:styleId="Legenda">
    <w:name w:val="caption"/>
    <w:basedOn w:val="Normal"/>
    <w:next w:val="Normal"/>
    <w:uiPriority w:val="35"/>
    <w:semiHidden/>
    <w:unhideWhenUsed/>
    <w:qFormat/>
    <w:rsid w:val="00E60697"/>
    <w:pPr>
      <w:spacing w:after="120"/>
    </w:pPr>
    <w:rPr>
      <w:b/>
      <w:bCs/>
      <w:smallCaps/>
      <w:color w:val="595959" w:themeColor="text1" w:themeTint="A6"/>
      <w:spacing w:val="6"/>
      <w:sz w:val="20"/>
      <w:szCs w:val="20"/>
      <w:lang w:val="pt-BR" w:eastAsia="pt-BR"/>
    </w:rPr>
  </w:style>
  <w:style w:type="paragraph" w:styleId="Ttulo">
    <w:name w:val="Title"/>
    <w:basedOn w:val="Normal"/>
    <w:next w:val="Normal"/>
    <w:link w:val="TtuloChar"/>
    <w:uiPriority w:val="10"/>
    <w:qFormat/>
    <w:rsid w:val="00E60697"/>
    <w:pPr>
      <w:spacing w:after="0"/>
      <w:contextualSpacing/>
    </w:pPr>
    <w:rPr>
      <w:rFonts w:asciiTheme="majorHAnsi" w:eastAsiaTheme="majorEastAsia" w:hAnsiTheme="majorHAnsi" w:cstheme="majorBidi"/>
      <w:color w:val="156082" w:themeColor="accent1"/>
      <w:spacing w:val="-10"/>
      <w:sz w:val="56"/>
      <w:szCs w:val="56"/>
      <w:lang w:val="pt-BR" w:eastAsia="pt-BR"/>
    </w:rPr>
  </w:style>
  <w:style w:type="character" w:customStyle="1" w:styleId="TtuloChar">
    <w:name w:val="Título Char"/>
    <w:basedOn w:val="Fontepargpadro"/>
    <w:link w:val="Ttulo"/>
    <w:uiPriority w:val="10"/>
    <w:rsid w:val="00E60697"/>
    <w:rPr>
      <w:rFonts w:asciiTheme="majorHAnsi" w:eastAsiaTheme="majorEastAsia" w:hAnsiTheme="majorHAnsi" w:cstheme="majorBidi"/>
      <w:color w:val="156082" w:themeColor="accent1"/>
      <w:spacing w:val="-10"/>
      <w:sz w:val="56"/>
      <w:szCs w:val="56"/>
    </w:rPr>
  </w:style>
  <w:style w:type="paragraph" w:styleId="Subttulo">
    <w:name w:val="Subtitle"/>
    <w:basedOn w:val="Normal"/>
    <w:next w:val="Normal"/>
    <w:link w:val="SubttuloChar"/>
    <w:uiPriority w:val="11"/>
    <w:qFormat/>
    <w:rsid w:val="00E60697"/>
    <w:pPr>
      <w:numPr>
        <w:ilvl w:val="1"/>
      </w:numPr>
      <w:spacing w:after="120"/>
    </w:pPr>
    <w:rPr>
      <w:rFonts w:asciiTheme="majorHAnsi" w:eastAsiaTheme="majorEastAsia" w:hAnsiTheme="majorHAnsi" w:cstheme="majorBidi"/>
      <w:sz w:val="24"/>
      <w:szCs w:val="24"/>
      <w:lang w:val="pt-BR" w:eastAsia="pt-BR"/>
    </w:rPr>
  </w:style>
  <w:style w:type="character" w:customStyle="1" w:styleId="SubttuloChar">
    <w:name w:val="Subtítulo Char"/>
    <w:basedOn w:val="Fontepargpadro"/>
    <w:link w:val="Subttulo"/>
    <w:uiPriority w:val="11"/>
    <w:rsid w:val="00E60697"/>
    <w:rPr>
      <w:rFonts w:asciiTheme="majorHAnsi" w:eastAsiaTheme="majorEastAsia" w:hAnsiTheme="majorHAnsi" w:cstheme="majorBidi"/>
      <w:sz w:val="24"/>
      <w:szCs w:val="24"/>
    </w:rPr>
  </w:style>
  <w:style w:type="paragraph" w:styleId="SemEspaamento">
    <w:name w:val="No Spacing"/>
    <w:uiPriority w:val="1"/>
    <w:qFormat/>
    <w:rsid w:val="00E60697"/>
  </w:style>
  <w:style w:type="paragraph" w:styleId="Citao">
    <w:name w:val="Quote"/>
    <w:basedOn w:val="Normal"/>
    <w:next w:val="Normal"/>
    <w:link w:val="CitaoChar"/>
    <w:uiPriority w:val="29"/>
    <w:qFormat/>
    <w:rsid w:val="00E60697"/>
    <w:pPr>
      <w:spacing w:before="160" w:after="120"/>
      <w:ind w:left="720" w:right="720"/>
    </w:pPr>
    <w:rPr>
      <w:i/>
      <w:iCs/>
      <w:color w:val="404040" w:themeColor="text1" w:themeTint="BF"/>
      <w:sz w:val="20"/>
      <w:szCs w:val="20"/>
      <w:lang w:val="pt-BR" w:eastAsia="pt-BR"/>
    </w:rPr>
  </w:style>
  <w:style w:type="character" w:customStyle="1" w:styleId="CitaoChar">
    <w:name w:val="Citação Char"/>
    <w:basedOn w:val="Fontepargpadro"/>
    <w:link w:val="Citao"/>
    <w:uiPriority w:val="29"/>
    <w:rsid w:val="00E60697"/>
    <w:rPr>
      <w:rFonts w:asciiTheme="minorHAnsi" w:eastAsiaTheme="minorEastAsia" w:hAnsiTheme="minorHAnsi" w:cstheme="minorBidi"/>
      <w:i/>
      <w:iCs/>
      <w:color w:val="404040" w:themeColor="text1" w:themeTint="BF"/>
    </w:rPr>
  </w:style>
  <w:style w:type="paragraph" w:styleId="CitaoIntensa">
    <w:name w:val="Intense Quote"/>
    <w:basedOn w:val="Normal"/>
    <w:next w:val="Normal"/>
    <w:link w:val="CitaoIntensaChar"/>
    <w:uiPriority w:val="30"/>
    <w:qFormat/>
    <w:rsid w:val="00E60697"/>
    <w:pPr>
      <w:pBdr>
        <w:left w:val="single" w:sz="18" w:space="12" w:color="156082" w:themeColor="accent1"/>
      </w:pBdr>
      <w:spacing w:before="100" w:beforeAutospacing="1" w:after="120" w:line="300" w:lineRule="auto"/>
      <w:ind w:left="1224" w:right="1224"/>
    </w:pPr>
    <w:rPr>
      <w:rFonts w:asciiTheme="majorHAnsi" w:eastAsiaTheme="majorEastAsia" w:hAnsiTheme="majorHAnsi" w:cstheme="majorBidi"/>
      <w:color w:val="156082" w:themeColor="accent1"/>
      <w:sz w:val="28"/>
      <w:szCs w:val="28"/>
      <w:lang w:val="pt-BR" w:eastAsia="pt-BR"/>
    </w:rPr>
  </w:style>
  <w:style w:type="character" w:customStyle="1" w:styleId="CitaoIntensaChar">
    <w:name w:val="Citação Intensa Char"/>
    <w:basedOn w:val="Fontepargpadro"/>
    <w:link w:val="CitaoIntensa"/>
    <w:uiPriority w:val="30"/>
    <w:rsid w:val="00E60697"/>
    <w:rPr>
      <w:rFonts w:asciiTheme="majorHAnsi" w:eastAsiaTheme="majorEastAsia" w:hAnsiTheme="majorHAnsi" w:cstheme="majorBidi"/>
      <w:color w:val="156082" w:themeColor="accent1"/>
      <w:sz w:val="28"/>
      <w:szCs w:val="28"/>
    </w:rPr>
  </w:style>
  <w:style w:type="character" w:styleId="nfaseSutil">
    <w:name w:val="Subtle Emphasis"/>
    <w:basedOn w:val="Fontepargpadro"/>
    <w:uiPriority w:val="19"/>
    <w:qFormat/>
    <w:rsid w:val="00E60697"/>
    <w:rPr>
      <w:i/>
      <w:iCs/>
      <w:color w:val="404040" w:themeColor="text1" w:themeTint="BF"/>
    </w:rPr>
  </w:style>
  <w:style w:type="character" w:styleId="nfaseIntensa">
    <w:name w:val="Intense Emphasis"/>
    <w:basedOn w:val="Fontepargpadro"/>
    <w:uiPriority w:val="21"/>
    <w:qFormat/>
    <w:rsid w:val="00E60697"/>
    <w:rPr>
      <w:b/>
      <w:bCs/>
      <w:i/>
      <w:iCs/>
    </w:rPr>
  </w:style>
  <w:style w:type="character" w:styleId="RefernciaSutil">
    <w:name w:val="Subtle Reference"/>
    <w:basedOn w:val="Fontepargpadro"/>
    <w:uiPriority w:val="31"/>
    <w:qFormat/>
    <w:rsid w:val="00E60697"/>
    <w:rPr>
      <w:smallCaps/>
      <w:color w:val="404040" w:themeColor="text1" w:themeTint="BF"/>
      <w:u w:val="single" w:color="7F7F7F" w:themeColor="text1" w:themeTint="80"/>
    </w:rPr>
  </w:style>
  <w:style w:type="character" w:styleId="RefernciaIntensa">
    <w:name w:val="Intense Reference"/>
    <w:basedOn w:val="Fontepargpadro"/>
    <w:uiPriority w:val="32"/>
    <w:qFormat/>
    <w:rsid w:val="00E60697"/>
    <w:rPr>
      <w:b/>
      <w:bCs/>
      <w:smallCaps/>
      <w:spacing w:val="5"/>
      <w:u w:val="single"/>
    </w:rPr>
  </w:style>
  <w:style w:type="character" w:styleId="TtulodoLivro">
    <w:name w:val="Book Title"/>
    <w:basedOn w:val="Fontepargpadro"/>
    <w:uiPriority w:val="33"/>
    <w:qFormat/>
    <w:rsid w:val="00E60697"/>
    <w:rPr>
      <w:b/>
      <w:bCs/>
      <w:smallCaps/>
    </w:rPr>
  </w:style>
  <w:style w:type="paragraph" w:styleId="CabealhodoSumrio">
    <w:name w:val="TOC Heading"/>
    <w:basedOn w:val="Ttulo1"/>
    <w:next w:val="Normal"/>
    <w:uiPriority w:val="39"/>
    <w:semiHidden/>
    <w:unhideWhenUsed/>
    <w:qFormat/>
    <w:rsid w:val="00E60697"/>
    <w:pPr>
      <w:keepLines/>
      <w:spacing w:before="320" w:after="0"/>
      <w:outlineLvl w:val="9"/>
    </w:pPr>
    <w:rPr>
      <w:rFonts w:asciiTheme="majorHAnsi" w:eastAsiaTheme="majorEastAsia" w:hAnsiTheme="majorHAnsi" w:cstheme="majorBidi"/>
      <w:b w:val="0"/>
      <w:bCs w:val="0"/>
      <w:color w:val="0F4761" w:themeColor="accent1" w:themeShade="BF"/>
      <w:kern w:val="0"/>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85640">
      <w:bodyDiv w:val="1"/>
      <w:marLeft w:val="0"/>
      <w:marRight w:val="0"/>
      <w:marTop w:val="0"/>
      <w:marBottom w:val="0"/>
      <w:divBdr>
        <w:top w:val="none" w:sz="0" w:space="0" w:color="auto"/>
        <w:left w:val="none" w:sz="0" w:space="0" w:color="auto"/>
        <w:bottom w:val="none" w:sz="0" w:space="0" w:color="auto"/>
        <w:right w:val="none" w:sz="0" w:space="0" w:color="auto"/>
      </w:divBdr>
    </w:div>
    <w:div w:id="726493882">
      <w:bodyDiv w:val="1"/>
      <w:marLeft w:val="0"/>
      <w:marRight w:val="0"/>
      <w:marTop w:val="0"/>
      <w:marBottom w:val="0"/>
      <w:divBdr>
        <w:top w:val="none" w:sz="0" w:space="0" w:color="auto"/>
        <w:left w:val="none" w:sz="0" w:space="0" w:color="auto"/>
        <w:bottom w:val="none" w:sz="0" w:space="0" w:color="auto"/>
        <w:right w:val="none" w:sz="0" w:space="0" w:color="auto"/>
      </w:divBdr>
    </w:div>
    <w:div w:id="835263307">
      <w:bodyDiv w:val="1"/>
      <w:marLeft w:val="0"/>
      <w:marRight w:val="0"/>
      <w:marTop w:val="0"/>
      <w:marBottom w:val="0"/>
      <w:divBdr>
        <w:top w:val="none" w:sz="0" w:space="0" w:color="auto"/>
        <w:left w:val="none" w:sz="0" w:space="0" w:color="auto"/>
        <w:bottom w:val="none" w:sz="0" w:space="0" w:color="auto"/>
        <w:right w:val="none" w:sz="0" w:space="0" w:color="auto"/>
      </w:divBdr>
    </w:div>
    <w:div w:id="1049644169">
      <w:bodyDiv w:val="1"/>
      <w:marLeft w:val="0"/>
      <w:marRight w:val="0"/>
      <w:marTop w:val="0"/>
      <w:marBottom w:val="0"/>
      <w:divBdr>
        <w:top w:val="none" w:sz="0" w:space="0" w:color="auto"/>
        <w:left w:val="none" w:sz="0" w:space="0" w:color="auto"/>
        <w:bottom w:val="none" w:sz="0" w:space="0" w:color="auto"/>
        <w:right w:val="none" w:sz="0" w:space="0" w:color="auto"/>
      </w:divBdr>
    </w:div>
    <w:div w:id="1084493009">
      <w:bodyDiv w:val="1"/>
      <w:marLeft w:val="0"/>
      <w:marRight w:val="0"/>
      <w:marTop w:val="0"/>
      <w:marBottom w:val="0"/>
      <w:divBdr>
        <w:top w:val="none" w:sz="0" w:space="0" w:color="auto"/>
        <w:left w:val="none" w:sz="0" w:space="0" w:color="auto"/>
        <w:bottom w:val="none" w:sz="0" w:space="0" w:color="auto"/>
        <w:right w:val="none" w:sz="0" w:space="0" w:color="auto"/>
      </w:divBdr>
    </w:div>
    <w:div w:id="1842814705">
      <w:bodyDiv w:val="1"/>
      <w:marLeft w:val="0"/>
      <w:marRight w:val="0"/>
      <w:marTop w:val="0"/>
      <w:marBottom w:val="0"/>
      <w:divBdr>
        <w:top w:val="none" w:sz="0" w:space="0" w:color="auto"/>
        <w:left w:val="none" w:sz="0" w:space="0" w:color="auto"/>
        <w:bottom w:val="none" w:sz="0" w:space="0" w:color="auto"/>
        <w:right w:val="none" w:sz="0" w:space="0" w:color="auto"/>
      </w:divBdr>
    </w:div>
    <w:div w:id="190594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doi.org/10.3390/s120912347" TargetMode="External"/><Relationship Id="rId2" Type="http://schemas.openxmlformats.org/officeDocument/2006/relationships/numbering" Target="numbering.xml"/><Relationship Id="rId16" Type="http://schemas.openxmlformats.org/officeDocument/2006/relationships/hyperlink" Target="https://doi.org/10.1016/j.mimet.2015.09.00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doi.org/10.1590/2317-1545v46278215"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C60C8-27CE-4C1A-899F-1C4C3F801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2335</Words>
  <Characters>12612</Characters>
  <Application>Microsoft Office Word</Application>
  <DocSecurity>0</DocSecurity>
  <Lines>105</Lines>
  <Paragraphs>29</Paragraphs>
  <ScaleCrop>false</ScaleCrop>
  <Company>SciEP</Company>
  <LinksUpToDate>false</LinksUpToDate>
  <CharactersWithSpaces>14918</CharactersWithSpaces>
  <SharedDoc>false</SharedDoc>
  <HLinks>
    <vt:vector size="18" baseType="variant">
      <vt:variant>
        <vt:i4>2883623</vt:i4>
      </vt:variant>
      <vt:variant>
        <vt:i4>6</vt:i4>
      </vt:variant>
      <vt:variant>
        <vt:i4>0</vt:i4>
      </vt:variant>
      <vt:variant>
        <vt:i4>5</vt:i4>
      </vt:variant>
      <vt:variant>
        <vt:lpwstr>https://doi.org/10.3390/s120912347</vt:lpwstr>
      </vt:variant>
      <vt:variant>
        <vt:lpwstr/>
      </vt:variant>
      <vt:variant>
        <vt:i4>3473510</vt:i4>
      </vt:variant>
      <vt:variant>
        <vt:i4>3</vt:i4>
      </vt:variant>
      <vt:variant>
        <vt:i4>0</vt:i4>
      </vt:variant>
      <vt:variant>
        <vt:i4>5</vt:i4>
      </vt:variant>
      <vt:variant>
        <vt:lpwstr>https://doi.org/10.1016/j.mimet.2015.09.004</vt:lpwstr>
      </vt:variant>
      <vt:variant>
        <vt:lpwstr/>
      </vt:variant>
      <vt:variant>
        <vt:i4>7012478</vt:i4>
      </vt:variant>
      <vt:variant>
        <vt:i4>0</vt:i4>
      </vt:variant>
      <vt:variant>
        <vt:i4>0</vt:i4>
      </vt:variant>
      <vt:variant>
        <vt:i4>5</vt:i4>
      </vt:variant>
      <vt:variant>
        <vt:lpwstr>https://doi.org/10.1590/2317-1545v46278215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SciEP Productions</dc:creator>
  <cp:keywords/>
  <cp:lastModifiedBy>Paloma Freitas Araujo</cp:lastModifiedBy>
  <cp:revision>2</cp:revision>
  <cp:lastPrinted>2025-05-31T07:06:00Z</cp:lastPrinted>
  <dcterms:created xsi:type="dcterms:W3CDTF">2025-08-10T21:02:00Z</dcterms:created>
  <dcterms:modified xsi:type="dcterms:W3CDTF">2025-08-10T21:02:00Z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uationSection">
    <vt:lpwstr>1</vt:lpwstr>
  </property>
  <property fmtid="{D5CDD505-2E9C-101B-9397-08002B2CF9AE}" pid="4" name="MTWinEqns">
    <vt:bool>true</vt:bool>
  </property>
</Properties>
</file>