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D782" w14:textId="452E4222" w:rsidR="00FC41FE" w:rsidRPr="00FC41FE" w:rsidRDefault="00FC41FE" w:rsidP="00FF3E7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Expressão Genética e Interface Clínica da Gangliosidose e Acidúria D-Glicérica: Relato de Caso</w:t>
      </w:r>
    </w:p>
    <w:p w14:paraId="32A1F1D8" w14:textId="60ECE66D" w:rsidR="00905478" w:rsidRPr="00FF3E71" w:rsidRDefault="00063486" w:rsidP="00FF3E7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Autores:</w:t>
      </w:r>
      <w:r w:rsidRPr="00FF3E71">
        <w:rPr>
          <w:rFonts w:ascii="Times New Roman" w:hAnsi="Times New Roman" w:cs="Times New Roman"/>
          <w:color w:val="000000"/>
          <w:sz w:val="24"/>
          <w:szCs w:val="24"/>
        </w:rPr>
        <w:t xml:space="preserve"> Paulo Henrique de Carvalho Batista</w:t>
      </w:r>
      <w:r w:rsidR="00FF3E71" w:rsidRPr="00FF3E71">
        <w:rPr>
          <w:rFonts w:ascii="Times New Roman" w:hAnsi="Times New Roman" w:cs="Times New Roman"/>
          <w:color w:val="000000"/>
          <w:sz w:val="24"/>
          <w:szCs w:val="24"/>
        </w:rPr>
        <w:t>¹</w:t>
      </w:r>
      <w:r w:rsidRPr="00FF3E71">
        <w:rPr>
          <w:rFonts w:ascii="Times New Roman" w:hAnsi="Times New Roman" w:cs="Times New Roman"/>
          <w:color w:val="000000"/>
          <w:sz w:val="24"/>
          <w:szCs w:val="24"/>
        </w:rPr>
        <w:t>, Matheus Macedo Biaggione Barbosa</w:t>
      </w:r>
      <w:r w:rsidR="00FF3E71" w:rsidRPr="00FF3E71">
        <w:rPr>
          <w:rFonts w:ascii="Times New Roman" w:hAnsi="Times New Roman" w:cs="Times New Roman"/>
          <w:color w:val="000000"/>
          <w:sz w:val="24"/>
          <w:szCs w:val="24"/>
        </w:rPr>
        <w:t>¹, Lucas Corrêa Mendes¹, Natanael Lourenço Mota²</w:t>
      </w:r>
    </w:p>
    <w:p w14:paraId="6BA6CEF5" w14:textId="27B39B58" w:rsidR="00FF3E71" w:rsidRPr="00FF3E71" w:rsidRDefault="00FF3E71" w:rsidP="00FF3E7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E71">
        <w:rPr>
          <w:rFonts w:ascii="Times New Roman" w:hAnsi="Times New Roman" w:cs="Times New Roman"/>
          <w:color w:val="000000"/>
          <w:sz w:val="24"/>
          <w:szCs w:val="24"/>
        </w:rPr>
        <w:t>¹Acadêmico Universidade Federal de Lavras (UFLA)</w:t>
      </w:r>
    </w:p>
    <w:p w14:paraId="305B53B7" w14:textId="06AB3D15" w:rsidR="00FF3E71" w:rsidRPr="00FF3E71" w:rsidRDefault="00FF3E71" w:rsidP="00FF3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71">
        <w:rPr>
          <w:rFonts w:ascii="Times New Roman" w:hAnsi="Times New Roman" w:cs="Times New Roman"/>
          <w:color w:val="000000"/>
          <w:sz w:val="24"/>
          <w:szCs w:val="24"/>
        </w:rPr>
        <w:t xml:space="preserve">² Médico </w:t>
      </w:r>
      <w:r w:rsidR="004109B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F3E71">
        <w:rPr>
          <w:rFonts w:ascii="Times New Roman" w:hAnsi="Times New Roman" w:cs="Times New Roman"/>
          <w:color w:val="000000"/>
          <w:sz w:val="24"/>
          <w:szCs w:val="24"/>
        </w:rPr>
        <w:t>europediatra</w:t>
      </w:r>
    </w:p>
    <w:p w14:paraId="09C7C397" w14:textId="49B5A04B" w:rsidR="00554712" w:rsidRDefault="00554712"/>
    <w:p w14:paraId="19971FEF" w14:textId="732625E8" w:rsidR="00554712" w:rsidRDefault="00554712" w:rsidP="00554712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Relatar</w:t>
      </w:r>
      <w:r w:rsidR="009878E6">
        <w:rPr>
          <w:color w:val="000000"/>
        </w:rPr>
        <w:t xml:space="preserve"> </w:t>
      </w:r>
      <w:r w:rsidR="00A7529E">
        <w:rPr>
          <w:color w:val="000000"/>
        </w:rPr>
        <w:t xml:space="preserve">o </w:t>
      </w:r>
      <w:r>
        <w:rPr>
          <w:color w:val="000000"/>
        </w:rPr>
        <w:t>caso de</w:t>
      </w:r>
      <w:r w:rsidR="009878E6">
        <w:rPr>
          <w:color w:val="000000"/>
        </w:rPr>
        <w:t xml:space="preserve"> uma</w:t>
      </w:r>
      <w:r>
        <w:rPr>
          <w:color w:val="000000"/>
        </w:rPr>
        <w:t xml:space="preserve"> paciente </w:t>
      </w:r>
      <w:r w:rsidR="001C7289">
        <w:rPr>
          <w:color w:val="000000"/>
        </w:rPr>
        <w:t>com</w:t>
      </w:r>
      <w:r>
        <w:rPr>
          <w:color w:val="000000"/>
        </w:rPr>
        <w:t xml:space="preserve"> atraso do desenvolvimento neuropsicomotor e </w:t>
      </w:r>
      <w:r w:rsidR="00063486">
        <w:rPr>
          <w:color w:val="000000"/>
        </w:rPr>
        <w:t>através</w:t>
      </w:r>
      <w:r>
        <w:rPr>
          <w:color w:val="000000"/>
        </w:rPr>
        <w:t xml:space="preserve"> da </w:t>
      </w:r>
      <w:r w:rsidR="001C7289">
        <w:rPr>
          <w:color w:val="000000"/>
        </w:rPr>
        <w:t>propedêutica estabelecida</w:t>
      </w:r>
      <w:r>
        <w:rPr>
          <w:color w:val="000000"/>
        </w:rPr>
        <w:t xml:space="preserve"> teve diagnóstic</w:t>
      </w:r>
      <w:r w:rsidR="00A7529E">
        <w:rPr>
          <w:color w:val="000000"/>
        </w:rPr>
        <w:t>o</w:t>
      </w:r>
      <w:r>
        <w:rPr>
          <w:color w:val="000000"/>
        </w:rPr>
        <w:t xml:space="preserve"> de 2 doenças hereditárias</w:t>
      </w:r>
      <w:r w:rsidR="009878E6">
        <w:rPr>
          <w:color w:val="000000"/>
        </w:rPr>
        <w:t xml:space="preserve"> em homozigose. </w:t>
      </w:r>
      <w:r w:rsidR="001C7289">
        <w:rPr>
          <w:color w:val="000000"/>
        </w:rPr>
        <w:t>Lactente</w:t>
      </w:r>
      <w:r>
        <w:rPr>
          <w:color w:val="000000"/>
        </w:rPr>
        <w:t xml:space="preserve"> do sexo feminino, 7 meses e 4 dias,</w:t>
      </w:r>
      <w:r w:rsidR="00A7529E">
        <w:rPr>
          <w:color w:val="000000"/>
        </w:rPr>
        <w:t xml:space="preserve"> </w:t>
      </w:r>
      <w:r>
        <w:rPr>
          <w:color w:val="000000"/>
        </w:rPr>
        <w:t>avaliação clínica</w:t>
      </w:r>
      <w:r w:rsidR="00A7529E">
        <w:rPr>
          <w:color w:val="000000"/>
        </w:rPr>
        <w:t xml:space="preserve"> com</w:t>
      </w:r>
      <w:r>
        <w:rPr>
          <w:color w:val="000000"/>
        </w:rPr>
        <w:t xml:space="preserve"> </w:t>
      </w:r>
      <w:r w:rsidR="009878E6">
        <w:rPr>
          <w:color w:val="000000"/>
        </w:rPr>
        <w:t>ausência de</w:t>
      </w:r>
      <w:r>
        <w:rPr>
          <w:color w:val="000000"/>
        </w:rPr>
        <w:t xml:space="preserve"> sustento cefálico, não pega objetos, não leva à boca, não levanta os pés e há relato de engasgo durante a amamentação</w:t>
      </w:r>
      <w:r w:rsidR="009878E6">
        <w:rPr>
          <w:color w:val="000000"/>
        </w:rPr>
        <w:t xml:space="preserve">, também foi </w:t>
      </w:r>
      <w:r w:rsidR="009878E6">
        <w:rPr>
          <w:color w:val="000000"/>
        </w:rPr>
        <w:t>relatado consanguinidade entre</w:t>
      </w:r>
      <w:r w:rsidR="00A7529E">
        <w:rPr>
          <w:color w:val="000000"/>
        </w:rPr>
        <w:t xml:space="preserve"> </w:t>
      </w:r>
      <w:r w:rsidR="009878E6">
        <w:rPr>
          <w:color w:val="000000"/>
        </w:rPr>
        <w:t>os pais (primos)</w:t>
      </w:r>
      <w:r>
        <w:rPr>
          <w:color w:val="000000"/>
        </w:rPr>
        <w:t xml:space="preserve">. </w:t>
      </w:r>
      <w:r w:rsidR="009878E6">
        <w:rPr>
          <w:color w:val="000000"/>
        </w:rPr>
        <w:t>E</w:t>
      </w:r>
      <w:r>
        <w:rPr>
          <w:color w:val="000000"/>
        </w:rPr>
        <w:t xml:space="preserve">xame físico com hipomímica, hipoatividade, hiporreflexia e macrossomia. </w:t>
      </w:r>
      <w:r w:rsidR="00A7529E">
        <w:rPr>
          <w:color w:val="000000"/>
        </w:rPr>
        <w:t>Realizado</w:t>
      </w:r>
      <w:r>
        <w:rPr>
          <w:color w:val="000000"/>
        </w:rPr>
        <w:t xml:space="preserve"> eletroencefalograma, ressonância magnética</w:t>
      </w:r>
      <w:r w:rsidR="001C7289">
        <w:rPr>
          <w:color w:val="000000"/>
        </w:rPr>
        <w:t xml:space="preserve"> (RM)</w:t>
      </w:r>
      <w:r>
        <w:rPr>
          <w:color w:val="000000"/>
        </w:rPr>
        <w:t>, fish para Prader Willi</w:t>
      </w:r>
      <w:r>
        <w:rPr>
          <w:color w:val="000000"/>
        </w:rPr>
        <w:t xml:space="preserve">, </w:t>
      </w:r>
      <w:r>
        <w:rPr>
          <w:color w:val="000000"/>
        </w:rPr>
        <w:t>teste para amiotrofia</w:t>
      </w:r>
      <w:r>
        <w:rPr>
          <w:color w:val="000000"/>
        </w:rPr>
        <w:t xml:space="preserve">, </w:t>
      </w:r>
      <w:r>
        <w:rPr>
          <w:color w:val="000000"/>
        </w:rPr>
        <w:t>sequenciamento de exoma e análise de ácidos orgânicos da urina</w:t>
      </w:r>
      <w:r w:rsidR="00A7529E">
        <w:rPr>
          <w:color w:val="000000"/>
        </w:rPr>
        <w:t xml:space="preserve"> que </w:t>
      </w:r>
      <w:r>
        <w:rPr>
          <w:color w:val="000000"/>
        </w:rPr>
        <w:t xml:space="preserve">demonstraram achado sugestivo de </w:t>
      </w:r>
      <w:r w:rsidR="009878E6">
        <w:rPr>
          <w:color w:val="000000"/>
        </w:rPr>
        <w:t>alteração</w:t>
      </w:r>
      <w:r>
        <w:rPr>
          <w:color w:val="000000"/>
        </w:rPr>
        <w:t xml:space="preserve"> no padrão de mielinização da substância cerebral esperado para a idade (RM); aumento de ácido glicérico na urina e identificação de variante patogênica, em homozigose, no gene GLB1, associado à gangliosidose GM1, tipos I, II e III; mucopolissacarídeos tipo IVB, de herança autossômica recessiva. A GM1 é um erro inato do metabolismo causado por defeitos no gene da Beta galactosidase 1 (GMB1), resultando numa deficiência da enzima lisossomal beta-galactosidase, enquanto a Acidúria D-Glicérica é resultado de um mal funcionamento da enzima glicerato 2-kinase. </w:t>
      </w:r>
      <w:r w:rsidR="00063486">
        <w:rPr>
          <w:color w:val="000000"/>
        </w:rPr>
        <w:t>O</w:t>
      </w:r>
      <w:r>
        <w:rPr>
          <w:color w:val="000000"/>
        </w:rPr>
        <w:t xml:space="preserve"> exoma do paciente evidenciou a presença das duas patologias em homozigose. </w:t>
      </w:r>
      <w:r w:rsidR="00A7529E">
        <w:rPr>
          <w:color w:val="000000"/>
        </w:rPr>
        <w:t>A literatura relata</w:t>
      </w:r>
      <w:r>
        <w:rPr>
          <w:color w:val="000000"/>
        </w:rPr>
        <w:t xml:space="preserve"> que os sintomas do sistema nervoso possam ser causados por qualquer uma das duas patologias, enquanto a visceromegalia e disfagia </w:t>
      </w:r>
      <w:r w:rsidR="00063486">
        <w:rPr>
          <w:color w:val="000000"/>
        </w:rPr>
        <w:t>foram</w:t>
      </w:r>
      <w:r>
        <w:rPr>
          <w:color w:val="000000"/>
        </w:rPr>
        <w:t xml:space="preserve"> descrit</w:t>
      </w:r>
      <w:r w:rsidR="00063486">
        <w:rPr>
          <w:color w:val="000000"/>
        </w:rPr>
        <w:t>a</w:t>
      </w:r>
      <w:r>
        <w:rPr>
          <w:color w:val="000000"/>
        </w:rPr>
        <w:t xml:space="preserve">s apenas em pacientes com GM1, principalmente do Tipo 1 (infantil). </w:t>
      </w:r>
      <w:r w:rsidR="00063486">
        <w:rPr>
          <w:color w:val="000000"/>
        </w:rPr>
        <w:t>O tratamento direciona-se</w:t>
      </w:r>
      <w:r w:rsidR="001C7289">
        <w:rPr>
          <w:color w:val="000000"/>
        </w:rPr>
        <w:t xml:space="preserve"> para medidas sintomáticas como</w:t>
      </w:r>
      <w:r>
        <w:rPr>
          <w:color w:val="000000"/>
        </w:rPr>
        <w:t xml:space="preserve"> uso de </w:t>
      </w:r>
      <w:r w:rsidR="001C7289">
        <w:rPr>
          <w:color w:val="000000"/>
        </w:rPr>
        <w:t>anticonvulsivantes,</w:t>
      </w:r>
      <w:r>
        <w:rPr>
          <w:color w:val="000000"/>
        </w:rPr>
        <w:t xml:space="preserve"> uso de bicarbonato </w:t>
      </w:r>
      <w:r w:rsidR="00063486">
        <w:rPr>
          <w:color w:val="000000"/>
        </w:rPr>
        <w:t>se</w:t>
      </w:r>
      <w:r>
        <w:rPr>
          <w:color w:val="000000"/>
        </w:rPr>
        <w:t xml:space="preserve"> acidose metabólica importante</w:t>
      </w:r>
      <w:r w:rsidR="00063486">
        <w:rPr>
          <w:color w:val="000000"/>
        </w:rPr>
        <w:t xml:space="preserve"> e</w:t>
      </w:r>
      <w:r>
        <w:rPr>
          <w:color w:val="000000"/>
        </w:rPr>
        <w:t xml:space="preserve"> restrição dietética de frutose (com recomendação subjetiva) </w:t>
      </w:r>
      <w:r w:rsidR="00063486">
        <w:rPr>
          <w:color w:val="000000"/>
        </w:rPr>
        <w:t>se</w:t>
      </w:r>
      <w:r>
        <w:rPr>
          <w:color w:val="000000"/>
        </w:rPr>
        <w:t xml:space="preserve"> acidúria. O caso </w:t>
      </w:r>
      <w:r w:rsidR="00A7529E">
        <w:rPr>
          <w:color w:val="000000"/>
        </w:rPr>
        <w:t>descrito</w:t>
      </w:r>
      <w:r>
        <w:rPr>
          <w:color w:val="000000"/>
        </w:rPr>
        <w:t xml:space="preserve"> e as publicações levantadas apresentam duas condições raras, cujo mecanismos fisiopatológicos e abordagem são pouco compreendidos, o que torna o relato como fonte de pesquisa.</w:t>
      </w:r>
    </w:p>
    <w:p w14:paraId="57D33968" w14:textId="77777777" w:rsidR="00554712" w:rsidRDefault="00554712"/>
    <w:sectPr w:rsidR="00554712" w:rsidSect="005D0D79"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12"/>
    <w:rsid w:val="00063486"/>
    <w:rsid w:val="001C7289"/>
    <w:rsid w:val="004109B0"/>
    <w:rsid w:val="00554712"/>
    <w:rsid w:val="005D0D79"/>
    <w:rsid w:val="00905478"/>
    <w:rsid w:val="009878E6"/>
    <w:rsid w:val="00A7529E"/>
    <w:rsid w:val="00FC41FE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D3B6"/>
  <w15:chartTrackingRefBased/>
  <w15:docId w15:val="{879126DD-0E8D-42EE-A798-F389782E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83A7-1AA9-4199-9A77-89EB8F96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</dc:creator>
  <cp:keywords/>
  <dc:description/>
  <cp:lastModifiedBy>Paulo Henrique</cp:lastModifiedBy>
  <cp:revision>2</cp:revision>
  <dcterms:created xsi:type="dcterms:W3CDTF">2022-03-11T21:31:00Z</dcterms:created>
  <dcterms:modified xsi:type="dcterms:W3CDTF">2022-03-11T23:08:00Z</dcterms:modified>
</cp:coreProperties>
</file>