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ESTRESSE OXIDATIVO E DESENVOLVIMENTO DO CÓRTEX AUDITIVO EM RATOS MODELO DE AUTISMO: BUSCANDO UM MARCADOR MOLECULAR E O TRATAMENTO POR NANOPARTÍCULAS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Giovanna Karen de Souza Rodrigues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Virginia Kelly Fernandes Rodrigues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Elisa Pellizzon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 Alcilene Duarte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Renata Figueiredo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Anomal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Departamento de Morfologia. Universidade Federal do Rio Grande do Norte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Autor correspondente: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renata.anomal@ufrn.br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Transtorno do Espectro Autista (TEA) é um distúrbio do neurodesenvolvimento, caracterizado por três manifestações clássicas: prejuízo na interação social e na comunicação, verbal e não verbal, e reprodução de comportamentos estereotipados. É comum que autistas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apresentem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déficits no processamento auditivo,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como a redução da acuidade auditiva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Acredita-se que uma das causas destas alterações seja o desequilíbrio entre o estresse oxidativo e os sistemas antioxidantes durante o período crítico. O período crítico é uma fase do desenvolvimento pós-natal marcada por alta plasticidade cerebral, que permite a formação dos mapas sensoriais corticais a partir da mat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uração de interneurônios GABAérgicos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parvalbumino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-positivos (PV+) e formação das redes perineuronais ao seu redor. O aumento do estresse oxidativo durante o período crítico seria responsável por disfunções nos neurônios PV+ e suas redes perineuronais, reduzindo assim a plasticidade cerebral e prejudicando o desenvolvimento dos mapas tonotópicos, isto é, de frequências sonoras, no córtex auditivo primário (A1).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nvestigar se os déficits no desenvolvimento de A1, em ratos modelos de autismo, são caracterizados pelo estresse oxidativo aumentado nas redes perineuronais durante seu período crítico pós-natal.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Método: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presente estudo caracteriza-se como caso-controle e foi aprovado pela CEUA: parecer 010/2021.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Foram utilizados ratos da espécie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Rattus novergicus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divididos em grupo controle e grupo VPA. As fêmeas grávidas do grupo controle receberam injeção intraperitoneal (i.p.) de solução salina, e as do grupo VPA receberam solução de ácido valpróico no dia embrionário 12. A prole destas fêmeas foi utilizada na análise do projeto. O grupo VPA foi subdividido em dois subgrupos: um no qual a prole foi administrada com solução de nanopartículas de ouro contendo moléculas antioxidantes, e outro com solução de nanopartículas sem antioxidantes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Em ambos, a administração de nanopartículas (i.p.) ocorreu durante o período crítico pós-natal de A1, entre os dias pós-natais 10 e 12. Os animais foram eutanasiados 10 dias após o período crítico, quando ocorreu a perfusão e dissecação dos cérebros. Para revelar a rede perineuronal foi feita a imuno-histoquímica do tipo imunoperoxidase pelo método ABC para Lectina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Wisteria Floribunda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 a coloração de Nissl para a identificação das camadas e áreas corticais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Dados estatísticos ainda não foram obtidos. Ao todo, foram feitas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lâminas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das quais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47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marcadas pela imuno-histoquímica 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46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pela coloração de Nissl, cada uma contendo de quatro a cinco cortes dos cérebros dos animais utilizados neste estudo. O material está sendo catalogado com auxílio do atlas “Atlas of the Developing Rat Nervous System”, de modo a classificá-lo segundo a anatomia e nível estereotáxico de cada corte. Após a catalogação, a próxima etapa será a identificação das áreas e camadas corticais, e a contagem de células.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imuno-histoquímica do tipo imunoperoxidase pelo método ABC para Lectina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Wisteria floribunda,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têm se mostrado um método satisfatório para a marcação de redes perineuronais de neurônios PV+. Desta forma, será possível observar a influência do estresse oxidativo na formação das redes perineuronais durante o período crítico pós-natal do desenvolvimento de A1.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Autismo; Desenvolvimento pós-natal; Córtex auditivo primário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Descritores: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Anatomia; Histologia.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enata.anomal@ufrn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