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5F0B9" w14:textId="77777777" w:rsidR="008C5DD1" w:rsidRDefault="009B3003" w:rsidP="000C7BF5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r w:rsidRPr="000C7BF5">
        <w:rPr>
          <w:b/>
          <w:sz w:val="24"/>
          <w:szCs w:val="24"/>
          <w:highlight w:val="white"/>
        </w:rPr>
        <w:t xml:space="preserve">TÍTULO: </w:t>
      </w:r>
      <w:r w:rsidRPr="000C7BF5">
        <w:rPr>
          <w:sz w:val="24"/>
          <w:szCs w:val="24"/>
          <w:highlight w:val="white"/>
        </w:rPr>
        <w:t>Síndrome de Takotsubo e Síndrome Coronariana Aguda: uma sobreposição de diagnósticos</w:t>
      </w:r>
    </w:p>
    <w:p w14:paraId="327EF0B6" w14:textId="77777777" w:rsidR="000C7BF5" w:rsidRPr="000C7BF5" w:rsidRDefault="000C7BF5" w:rsidP="000C7BF5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</w:p>
    <w:p w14:paraId="56BB1BF6" w14:textId="11D1FE8F" w:rsidR="000C7BF5" w:rsidRPr="000C7BF5" w:rsidRDefault="000C7BF5" w:rsidP="000C7BF5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r w:rsidRPr="000C7BF5">
        <w:rPr>
          <w:b/>
          <w:sz w:val="24"/>
          <w:szCs w:val="24"/>
          <w:highlight w:val="white"/>
        </w:rPr>
        <w:t xml:space="preserve">Autores: </w:t>
      </w:r>
      <w:r w:rsidRPr="000C7BF5">
        <w:rPr>
          <w:sz w:val="24"/>
          <w:szCs w:val="24"/>
          <w:highlight w:val="white"/>
        </w:rPr>
        <w:t>Bianca Vianna Pedrosa – Fundação Técnico Educacional Souza Marques</w:t>
      </w:r>
    </w:p>
    <w:p w14:paraId="474C2425" w14:textId="2428E27A" w:rsidR="000C7BF5" w:rsidRPr="000C7BF5" w:rsidRDefault="000C7BF5" w:rsidP="000C7BF5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r w:rsidRPr="000C7BF5">
        <w:rPr>
          <w:sz w:val="24"/>
          <w:szCs w:val="24"/>
          <w:highlight w:val="white"/>
        </w:rPr>
        <w:t xml:space="preserve">Tiago Mansur Kobbaz - </w:t>
      </w:r>
      <w:r w:rsidRPr="000C7BF5">
        <w:rPr>
          <w:sz w:val="24"/>
          <w:szCs w:val="24"/>
          <w:highlight w:val="white"/>
        </w:rPr>
        <w:t>Fundação Técnico Educacional Souza Marques</w:t>
      </w:r>
    </w:p>
    <w:p w14:paraId="5B3A181D" w14:textId="454223FD" w:rsidR="000C7BF5" w:rsidRPr="000C7BF5" w:rsidRDefault="000C7BF5" w:rsidP="000C7BF5">
      <w:pPr>
        <w:pStyle w:val="Normal1"/>
        <w:spacing w:line="331" w:lineRule="auto"/>
        <w:jc w:val="both"/>
        <w:rPr>
          <w:sz w:val="24"/>
          <w:szCs w:val="24"/>
        </w:rPr>
      </w:pPr>
      <w:r w:rsidRPr="000C7BF5">
        <w:rPr>
          <w:sz w:val="24"/>
          <w:szCs w:val="24"/>
        </w:rPr>
        <w:t>Luíza de Almeida Silva</w:t>
      </w:r>
      <w:r w:rsidRPr="000C7BF5">
        <w:rPr>
          <w:sz w:val="24"/>
          <w:szCs w:val="24"/>
        </w:rPr>
        <w:t xml:space="preserve"> - </w:t>
      </w:r>
      <w:r w:rsidRPr="000C7BF5">
        <w:rPr>
          <w:sz w:val="24"/>
          <w:szCs w:val="24"/>
          <w:highlight w:val="white"/>
        </w:rPr>
        <w:t>Fundação Técnico Educacional Souza Marques</w:t>
      </w:r>
    </w:p>
    <w:p w14:paraId="2C7AF2A9" w14:textId="584AFE2B" w:rsidR="000C7BF5" w:rsidRPr="000C7BF5" w:rsidRDefault="000C7BF5" w:rsidP="000C7BF5">
      <w:pPr>
        <w:pStyle w:val="Normal1"/>
        <w:spacing w:line="331" w:lineRule="auto"/>
        <w:jc w:val="both"/>
        <w:rPr>
          <w:sz w:val="24"/>
          <w:szCs w:val="24"/>
        </w:rPr>
      </w:pPr>
      <w:r w:rsidRPr="000C7BF5">
        <w:rPr>
          <w:sz w:val="24"/>
          <w:szCs w:val="24"/>
        </w:rPr>
        <w:t xml:space="preserve">Fernanda Vianna Pedrosa - </w:t>
      </w:r>
      <w:r w:rsidRPr="000C7BF5">
        <w:rPr>
          <w:sz w:val="24"/>
          <w:szCs w:val="24"/>
          <w:highlight w:val="white"/>
        </w:rPr>
        <w:t>Fundação Técnico Educacional Souza Marques</w:t>
      </w:r>
    </w:p>
    <w:p w14:paraId="30B3AF9D" w14:textId="045BE2FF" w:rsidR="000C7BF5" w:rsidRPr="000C7BF5" w:rsidRDefault="000C7BF5" w:rsidP="000C7BF5">
      <w:pPr>
        <w:pStyle w:val="Normal1"/>
        <w:spacing w:line="331" w:lineRule="auto"/>
        <w:jc w:val="both"/>
        <w:rPr>
          <w:sz w:val="24"/>
          <w:szCs w:val="24"/>
        </w:rPr>
      </w:pPr>
      <w:r w:rsidRPr="000C7BF5">
        <w:rPr>
          <w:sz w:val="24"/>
          <w:szCs w:val="24"/>
        </w:rPr>
        <w:t xml:space="preserve">Luiza Novais Mattheis Londres - </w:t>
      </w:r>
      <w:r w:rsidRPr="000C7BF5">
        <w:rPr>
          <w:sz w:val="24"/>
          <w:szCs w:val="24"/>
          <w:highlight w:val="white"/>
        </w:rPr>
        <w:t>Fundação Técnico Educacional Souza Marques</w:t>
      </w:r>
    </w:p>
    <w:p w14:paraId="568BFC35" w14:textId="6942559D" w:rsidR="000C7BF5" w:rsidRPr="000C7BF5" w:rsidRDefault="000C7BF5" w:rsidP="000C7BF5">
      <w:pPr>
        <w:pStyle w:val="Normal1"/>
        <w:spacing w:line="331" w:lineRule="auto"/>
        <w:jc w:val="both"/>
        <w:rPr>
          <w:sz w:val="24"/>
          <w:szCs w:val="24"/>
        </w:rPr>
      </w:pPr>
      <w:r w:rsidRPr="000C7BF5">
        <w:rPr>
          <w:sz w:val="24"/>
          <w:szCs w:val="24"/>
        </w:rPr>
        <w:t xml:space="preserve">Lívia Barbosa Peixoto - </w:t>
      </w:r>
      <w:r w:rsidRPr="000C7BF5">
        <w:rPr>
          <w:sz w:val="24"/>
          <w:szCs w:val="24"/>
          <w:highlight w:val="white"/>
        </w:rPr>
        <w:t>Fundação Técnico Educacional Souza Marques</w:t>
      </w:r>
    </w:p>
    <w:p w14:paraId="1CC9E639" w14:textId="68F64377" w:rsidR="000C7BF5" w:rsidRPr="000C7BF5" w:rsidRDefault="000C7BF5" w:rsidP="000C7BF5">
      <w:pPr>
        <w:pStyle w:val="Normal1"/>
        <w:spacing w:line="331" w:lineRule="auto"/>
        <w:jc w:val="both"/>
        <w:rPr>
          <w:sz w:val="24"/>
          <w:szCs w:val="24"/>
        </w:rPr>
      </w:pPr>
      <w:r w:rsidRPr="000C7BF5">
        <w:rPr>
          <w:sz w:val="24"/>
          <w:szCs w:val="24"/>
        </w:rPr>
        <w:t xml:space="preserve">Bruna Albuquerque de Souza - </w:t>
      </w:r>
      <w:r w:rsidRPr="000C7BF5">
        <w:rPr>
          <w:sz w:val="24"/>
          <w:szCs w:val="24"/>
          <w:highlight w:val="white"/>
        </w:rPr>
        <w:t>Fundação Técnico Educacional Souza Marques</w:t>
      </w:r>
    </w:p>
    <w:p w14:paraId="2A5ADD34" w14:textId="3A6DC1CA" w:rsidR="000C7BF5" w:rsidRPr="000C7BF5" w:rsidRDefault="000C7BF5" w:rsidP="000C7BF5">
      <w:pPr>
        <w:pStyle w:val="Normal1"/>
        <w:spacing w:line="331" w:lineRule="auto"/>
        <w:jc w:val="both"/>
        <w:rPr>
          <w:sz w:val="24"/>
          <w:szCs w:val="24"/>
        </w:rPr>
      </w:pPr>
      <w:r w:rsidRPr="000C7BF5">
        <w:rPr>
          <w:sz w:val="24"/>
          <w:szCs w:val="24"/>
        </w:rPr>
        <w:t xml:space="preserve">Lilian Soares da Costa - </w:t>
      </w:r>
      <w:r w:rsidRPr="000C7BF5">
        <w:rPr>
          <w:sz w:val="24"/>
          <w:szCs w:val="24"/>
          <w:highlight w:val="white"/>
        </w:rPr>
        <w:t>Fundação Técnico Educacional Souza Marques</w:t>
      </w:r>
    </w:p>
    <w:p w14:paraId="6420C824" w14:textId="77777777" w:rsidR="008C5DD1" w:rsidRPr="000C7BF5" w:rsidRDefault="008C5DD1" w:rsidP="000C7BF5">
      <w:pPr>
        <w:pStyle w:val="Normal1"/>
        <w:spacing w:line="331" w:lineRule="auto"/>
        <w:jc w:val="both"/>
        <w:rPr>
          <w:b/>
          <w:sz w:val="24"/>
          <w:szCs w:val="24"/>
          <w:highlight w:val="white"/>
        </w:rPr>
      </w:pPr>
    </w:p>
    <w:p w14:paraId="58AAEC3C" w14:textId="622BE4B3" w:rsidR="008C5DD1" w:rsidRPr="000C7BF5" w:rsidRDefault="009B3003" w:rsidP="000C7BF5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r w:rsidRPr="000C7BF5">
        <w:rPr>
          <w:b/>
          <w:sz w:val="24"/>
          <w:szCs w:val="24"/>
          <w:highlight w:val="white"/>
        </w:rPr>
        <w:t xml:space="preserve">INTRODUÇÃO: </w:t>
      </w:r>
      <w:r w:rsidRPr="000C7BF5">
        <w:rPr>
          <w:sz w:val="24"/>
          <w:szCs w:val="24"/>
          <w:highlight w:val="white"/>
        </w:rPr>
        <w:t>A Síndrome de Takotsubo (ST) ou “Síndrome do Coração Partido</w:t>
      </w:r>
      <w:r w:rsidR="000C7BF5" w:rsidRPr="000C7BF5">
        <w:rPr>
          <w:sz w:val="24"/>
          <w:szCs w:val="24"/>
          <w:highlight w:val="white"/>
        </w:rPr>
        <w:t>”, foi</w:t>
      </w:r>
      <w:r w:rsidRPr="000C7BF5">
        <w:rPr>
          <w:color w:val="222222"/>
          <w:sz w:val="24"/>
          <w:szCs w:val="24"/>
        </w:rPr>
        <w:t xml:space="preserve"> descrita em 1990, e </w:t>
      </w:r>
      <w:r w:rsidRPr="000C7BF5">
        <w:rPr>
          <w:sz w:val="24"/>
          <w:szCs w:val="24"/>
        </w:rPr>
        <w:t xml:space="preserve">é uma insuficiência cardíaca reversível </w:t>
      </w:r>
      <w:r w:rsidR="000C7BF5" w:rsidRPr="000C7BF5">
        <w:rPr>
          <w:sz w:val="24"/>
          <w:szCs w:val="24"/>
        </w:rPr>
        <w:t>aguda (</w:t>
      </w:r>
      <w:r w:rsidRPr="000C7BF5">
        <w:rPr>
          <w:sz w:val="24"/>
          <w:szCs w:val="24"/>
        </w:rPr>
        <w:t xml:space="preserve">&lt; 21 dias) com anormalidade transitória do movimento da parede do ventrículo esquerdo (VE). </w:t>
      </w:r>
      <w:r w:rsidRPr="000C7BF5">
        <w:rPr>
          <w:color w:val="222222"/>
          <w:sz w:val="24"/>
          <w:szCs w:val="24"/>
        </w:rPr>
        <w:t xml:space="preserve">Representa aproximadamente 1 a 3% do total de pacientes e 5 a 6% das mulheres com suspeita de infarto agudo do miocárdio com supra de ST (IAMCST) nos EUA, sendo 90% destas com média de 67 a 70 anos. O padrão clínico da doença é composto </w:t>
      </w:r>
      <w:r w:rsidR="000C7BF5" w:rsidRPr="000C7BF5">
        <w:rPr>
          <w:color w:val="222222"/>
          <w:sz w:val="24"/>
          <w:szCs w:val="24"/>
        </w:rPr>
        <w:t>por dor</w:t>
      </w:r>
      <w:r w:rsidRPr="000C7BF5">
        <w:rPr>
          <w:color w:val="222222"/>
          <w:sz w:val="24"/>
          <w:szCs w:val="24"/>
        </w:rPr>
        <w:t xml:space="preserve"> precordial típica e dispneia, resultante sobretudo do estresse, remetendo a síndrome coronariana aguda (SCA) inclusive a nível de mortalidade hospitalar. </w:t>
      </w:r>
      <w:r w:rsidRPr="000C7BF5">
        <w:rPr>
          <w:sz w:val="24"/>
          <w:szCs w:val="24"/>
        </w:rPr>
        <w:t>A eletrocardiografia (ECG) revela elevação ou depressão do segmento ST, inversão da onda T e intervalo QTc prolongado e os biomarcadores cardíacos podem estar elevados.</w:t>
      </w:r>
      <w:r w:rsidR="009A78BE" w:rsidRPr="000C7BF5">
        <w:rPr>
          <w:sz w:val="24"/>
          <w:szCs w:val="24"/>
        </w:rPr>
        <w:t xml:space="preserve"> Objetivo do presente trabalho é d</w:t>
      </w:r>
      <w:r w:rsidRPr="000C7BF5">
        <w:rPr>
          <w:sz w:val="24"/>
          <w:szCs w:val="24"/>
          <w:highlight w:val="white"/>
        </w:rPr>
        <w:t xml:space="preserve">iferenciar a ST da SCA na admissão hospitalar, avaliando a influência da sobreposição desses diagnósticos na morbimortalidade. </w:t>
      </w:r>
      <w:r w:rsidRPr="000C7BF5">
        <w:rPr>
          <w:b/>
          <w:sz w:val="24"/>
          <w:szCs w:val="24"/>
          <w:highlight w:val="white"/>
        </w:rPr>
        <w:t xml:space="preserve">MÉTODOS: </w:t>
      </w:r>
      <w:r w:rsidRPr="000C7BF5">
        <w:rPr>
          <w:sz w:val="24"/>
          <w:szCs w:val="24"/>
          <w:highlight w:val="white"/>
        </w:rPr>
        <w:t>Revisão bibliográfica</w:t>
      </w:r>
      <w:r w:rsidR="00D901DD" w:rsidRPr="000C7BF5">
        <w:rPr>
          <w:sz w:val="24"/>
          <w:szCs w:val="24"/>
          <w:highlight w:val="white"/>
        </w:rPr>
        <w:t xml:space="preserve"> </w:t>
      </w:r>
      <w:r w:rsidRPr="000C7BF5">
        <w:rPr>
          <w:sz w:val="24"/>
          <w:szCs w:val="24"/>
          <w:highlight w:val="white"/>
        </w:rPr>
        <w:t>de</w:t>
      </w:r>
      <w:r w:rsidR="00D901DD" w:rsidRPr="000C7BF5">
        <w:rPr>
          <w:sz w:val="24"/>
          <w:szCs w:val="24"/>
          <w:highlight w:val="white"/>
        </w:rPr>
        <w:t xml:space="preserve"> </w:t>
      </w:r>
      <w:r w:rsidRPr="000C7BF5">
        <w:rPr>
          <w:sz w:val="24"/>
          <w:szCs w:val="24"/>
          <w:highlight w:val="white"/>
        </w:rPr>
        <w:t>artigos publicados no Scielo, NCBI, European Heart Journals, BMJ journals</w:t>
      </w:r>
      <w:r w:rsidR="00D901DD" w:rsidRPr="000C7BF5">
        <w:rPr>
          <w:sz w:val="24"/>
          <w:szCs w:val="24"/>
          <w:highlight w:val="white"/>
        </w:rPr>
        <w:t>, DATASUS</w:t>
      </w:r>
      <w:r w:rsidRPr="000C7BF5">
        <w:rPr>
          <w:sz w:val="24"/>
          <w:szCs w:val="24"/>
          <w:highlight w:val="white"/>
        </w:rPr>
        <w:t xml:space="preserve"> e Arquivos Brasileiros de Cardiologia entre 2014 e 2020 em português e inglês. Os descritores foram: “takotsubo”, “síndrome do coração partido” e “síndrome coronariana aguda”. </w:t>
      </w:r>
      <w:r w:rsidR="000C7BF5" w:rsidRPr="000C7BF5">
        <w:rPr>
          <w:b/>
          <w:sz w:val="24"/>
          <w:szCs w:val="24"/>
          <w:highlight w:val="white"/>
        </w:rPr>
        <w:t>DESENVOLVIMENTO</w:t>
      </w:r>
      <w:r w:rsidRPr="000C7BF5">
        <w:rPr>
          <w:b/>
          <w:sz w:val="24"/>
          <w:szCs w:val="24"/>
          <w:highlight w:val="white"/>
        </w:rPr>
        <w:t xml:space="preserve">: </w:t>
      </w:r>
      <w:r w:rsidRPr="000C7BF5">
        <w:rPr>
          <w:sz w:val="24"/>
          <w:szCs w:val="24"/>
          <w:highlight w:val="white"/>
        </w:rPr>
        <w:t>A ST é muitas vezes subdiagnosticada por ter uma clínica semelhante à SCA, sendo esta responsável por uma média de 94 mil mortes no Brasil.  A diferença entre elas é sutil, na primeira a elevação do segmento ST é menos expressiva em V1 e não limitada nas derivações inferiores (II, III, aVF). BNP e biomarcadores de necrose miocárdica elevadas são achados comuns das duas síndromes, apesar de ficarem mais alteradas na SCA. A ST ocorre mais em mulheres no pós menopausa (média de idade de 56,7 anos), enquanto a SCA é mais prevalente em homens (67,6%) com média de 63 ± 12 anos.</w:t>
      </w:r>
      <w:r w:rsidRPr="000C7BF5">
        <w:rPr>
          <w:i/>
          <w:sz w:val="24"/>
          <w:szCs w:val="24"/>
          <w:highlight w:val="white"/>
        </w:rPr>
        <w:t xml:space="preserve"> </w:t>
      </w:r>
      <w:r w:rsidRPr="000C7BF5">
        <w:rPr>
          <w:sz w:val="24"/>
          <w:szCs w:val="24"/>
          <w:highlight w:val="white"/>
        </w:rPr>
        <w:t xml:space="preserve"> A angiografia coronária com </w:t>
      </w:r>
      <w:r w:rsidRPr="000C7BF5">
        <w:rPr>
          <w:sz w:val="24"/>
          <w:szCs w:val="24"/>
          <w:highlight w:val="white"/>
        </w:rPr>
        <w:lastRenderedPageBreak/>
        <w:t xml:space="preserve">ventriculografia esquerda é o método invasivo padrão ouro para confirmar diagnóstico </w:t>
      </w:r>
      <w:r w:rsidR="009A78BE" w:rsidRPr="000C7BF5">
        <w:rPr>
          <w:sz w:val="24"/>
          <w:szCs w:val="24"/>
        </w:rPr>
        <w:t>da</w:t>
      </w:r>
      <w:r w:rsidR="000C7BF5" w:rsidRPr="000C7BF5">
        <w:rPr>
          <w:sz w:val="24"/>
          <w:szCs w:val="24"/>
        </w:rPr>
        <w:t xml:space="preserve"> ST</w:t>
      </w:r>
      <w:r w:rsidRPr="000C7BF5">
        <w:rPr>
          <w:sz w:val="24"/>
          <w:szCs w:val="24"/>
          <w:highlight w:val="white"/>
        </w:rPr>
        <w:t xml:space="preserve"> demonstrando artérias coronárias desobstruídas e um VE com balonamento apical com disfunção aguda e formato de “armadilh</w:t>
      </w:r>
      <w:bookmarkStart w:id="0" w:name="_GoBack"/>
      <w:bookmarkEnd w:id="0"/>
      <w:r w:rsidRPr="000C7BF5">
        <w:rPr>
          <w:sz w:val="24"/>
          <w:szCs w:val="24"/>
          <w:highlight w:val="white"/>
        </w:rPr>
        <w:t xml:space="preserve">a de polvo”. </w:t>
      </w:r>
      <w:r w:rsidRPr="000C7BF5">
        <w:rPr>
          <w:b/>
          <w:sz w:val="24"/>
          <w:szCs w:val="24"/>
          <w:highlight w:val="white"/>
        </w:rPr>
        <w:t xml:space="preserve">CONCLUSÃO: </w:t>
      </w:r>
      <w:r w:rsidRPr="000C7BF5">
        <w:rPr>
          <w:sz w:val="24"/>
          <w:szCs w:val="24"/>
          <w:highlight w:val="white"/>
        </w:rPr>
        <w:t xml:space="preserve">Sendo a SCA uma entidade de elevada mortalidade, sua distinção com a ST torna-se uma realidade necessária. Embora já existam estudos sobre a epidemiologia da ST, critérios diagnósticos, padrões eletrocardiográficos e angiografia coronária com ventriculografia esquerda auxiliam na decisão diagnóstica, sendo a última indispensável para sua confirmação. </w:t>
      </w:r>
    </w:p>
    <w:p w14:paraId="3035ADDD" w14:textId="77777777" w:rsidR="009B3003" w:rsidRPr="000C7BF5" w:rsidRDefault="009B3003" w:rsidP="000C7BF5">
      <w:pPr>
        <w:pStyle w:val="Normal1"/>
        <w:jc w:val="both"/>
        <w:rPr>
          <w:b/>
          <w:sz w:val="24"/>
          <w:szCs w:val="24"/>
        </w:rPr>
      </w:pPr>
    </w:p>
    <w:p w14:paraId="165BB8A0" w14:textId="3CB3BF35" w:rsidR="009B3003" w:rsidRPr="000C7BF5" w:rsidRDefault="000C7BF5" w:rsidP="000C7BF5">
      <w:pPr>
        <w:pStyle w:val="Normal1"/>
        <w:jc w:val="both"/>
        <w:rPr>
          <w:sz w:val="24"/>
          <w:szCs w:val="24"/>
        </w:rPr>
      </w:pPr>
      <w:r w:rsidRPr="000C7BF5">
        <w:rPr>
          <w:b/>
          <w:sz w:val="24"/>
          <w:szCs w:val="24"/>
        </w:rPr>
        <w:t xml:space="preserve">Palavras-chave: </w:t>
      </w:r>
      <w:r w:rsidRPr="000C7BF5">
        <w:rPr>
          <w:sz w:val="24"/>
          <w:szCs w:val="24"/>
          <w:highlight w:val="white"/>
        </w:rPr>
        <w:t>T</w:t>
      </w:r>
      <w:r w:rsidRPr="000C7BF5">
        <w:rPr>
          <w:sz w:val="24"/>
          <w:szCs w:val="24"/>
          <w:highlight w:val="white"/>
        </w:rPr>
        <w:t>akotsu</w:t>
      </w:r>
      <w:r w:rsidRPr="000C7BF5">
        <w:rPr>
          <w:sz w:val="24"/>
          <w:szCs w:val="24"/>
          <w:highlight w:val="white"/>
        </w:rPr>
        <w:t>bo, Síndrome do Coração Partido, Síndrome Coronariana A</w:t>
      </w:r>
      <w:r w:rsidRPr="000C7BF5">
        <w:rPr>
          <w:sz w:val="24"/>
          <w:szCs w:val="24"/>
          <w:highlight w:val="white"/>
        </w:rPr>
        <w:t>guda</w:t>
      </w:r>
      <w:r w:rsidRPr="000C7BF5">
        <w:rPr>
          <w:sz w:val="24"/>
          <w:szCs w:val="24"/>
        </w:rPr>
        <w:t>.</w:t>
      </w:r>
    </w:p>
    <w:p w14:paraId="234B801C" w14:textId="0F43DEAD" w:rsidR="008C5DD1" w:rsidRDefault="008C5DD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  <w:sz w:val="24"/>
          <w:szCs w:val="24"/>
        </w:rPr>
      </w:pPr>
    </w:p>
    <w:sectPr w:rsidR="008C5DD1" w:rsidSect="008C5D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475DDC" w16cid:durableId="22AB82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D1"/>
    <w:rsid w:val="000C7BF5"/>
    <w:rsid w:val="00645295"/>
    <w:rsid w:val="008C5DD1"/>
    <w:rsid w:val="009A78BE"/>
    <w:rsid w:val="009B3003"/>
    <w:rsid w:val="00D901DD"/>
    <w:rsid w:val="00F0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8833"/>
  <w15:docId w15:val="{D5B85440-F760-4AF5-B194-4CF4F0E0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576"/>
  </w:style>
  <w:style w:type="paragraph" w:styleId="Ttulo1">
    <w:name w:val="heading 1"/>
    <w:basedOn w:val="Normal1"/>
    <w:next w:val="Normal1"/>
    <w:rsid w:val="008C5D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C5D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C5D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C5D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C5DD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C5D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C5DD1"/>
  </w:style>
  <w:style w:type="table" w:customStyle="1" w:styleId="TableNormal">
    <w:name w:val="Table Normal"/>
    <w:rsid w:val="008C5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C5DD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C5DD1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6452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52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52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52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529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2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Pedrosa</dc:creator>
  <cp:lastModifiedBy>Bianca Pedrosa</cp:lastModifiedBy>
  <cp:revision>2</cp:revision>
  <dcterms:created xsi:type="dcterms:W3CDTF">2020-07-05T19:25:00Z</dcterms:created>
  <dcterms:modified xsi:type="dcterms:W3CDTF">2020-07-05T19:25:00Z</dcterms:modified>
</cp:coreProperties>
</file>