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SÍNDROME DE ABSTINÊNCIA NEONATAL - REVISÃO DE LITERATURA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André Portela de Medeiros Oliveira Albuquerque</w:t>
      </w:r>
      <w:r w:rsidDel="00000000" w:rsidR="00000000" w:rsidRPr="00000000">
        <w:rPr>
          <w:sz w:val="24"/>
          <w:szCs w:val="24"/>
          <w:rtl w:val="0"/>
        </w:rPr>
        <w:t xml:space="preserve">; Maria Luísa Moreira da Silva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Brenda Cavalcante Alves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sz w:val="24"/>
          <w:szCs w:val="24"/>
          <w:rtl w:val="0"/>
        </w:rPr>
        <w:t xml:space="preserve">; Marcelo Ribeiro Artiaga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Graduando em medicina pelo Centro Universitário do Planalto Central Apparecido dos Santos, Brasília - Distrito Federal,andreportela08@gmail.com ;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Graduando em medicina pelo Centro Universitário do Planalto Central Apparecido dos Santos, Brasília - Distrito Federal,maria.moreira@medicina.uniceplac.edu.br ;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Graduando em medicina pelo Centro Universitário do Planalto Central Apparecido dos Santos, Brasília - Distrito Federal,  brenda.alves@medicina.uniceplac.edu.br;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Médico, Brasília - Distrito Federal, marceloartiaga0@gmail.com.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Síndrome de Abstinência Neonatal (SAN) surge da interrupção súbita da exposição da criança a substâncias utilizadas continuamente pela mãe na gravidez.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sz w:val="24"/>
          <w:szCs w:val="24"/>
          <w:rtl w:val="0"/>
        </w:rPr>
        <w:t xml:space="preserve">Esta revisão visa simplificar a compreensão da SAN para alunos e profissionais da saúde na prática clínica.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Pesquisa na base de dados PubMed com os termos "withdrawal syndrome", “neonatal” e "pregnancy", com o operador booleano AND, contendo artigos em inglês e português, publicados entre 2013-2023, com 342 trabalhos, dos quais foram escolhidos 5 artigos, excluindo-se aqueles não disponíveis na íntegra e os incompatíveis com o objetivo do trabalho.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REVISÃO DE LITERATURA:</w:t>
      </w:r>
      <w:r w:rsidDel="00000000" w:rsidR="00000000" w:rsidRPr="00000000">
        <w:rPr>
          <w:sz w:val="24"/>
          <w:szCs w:val="24"/>
          <w:rtl w:val="0"/>
        </w:rPr>
        <w:t xml:space="preserve"> É notório que várias drogas podem atravessar a placenta com efeito sobre a gestação e que, no início desta, podem ser teratogênicas, porém, durante o período fetal, quando o desenvolvimento estrutural principal foi concluído, elas têm efeitos menos significativos. A interrupção súbita da disponibilidade de opióides leva ao aumento da atividade da adenilato-ciclase, aumentando a liberação de monofosfato de adenosina cíclico e proteína quinase, que atuam na produção de fatores de transcrição envolvidos na síntese de mensageiros químicos, os quais elevam a produção de neurotransmissores como noradrenalina, acetilcolina e corticotrofina. Também ocorre a redução na disponibilidade de dopamina e serotonina. Para tratar a SAN, é vital conhecer os seus sinais e sintomas, que são: irritabilidade, agitação, choro excessivo e inconsolável, hipertonia, tremores, dificuldades alimentares, distúrbios do sono, vômitos, diarreia, dificuldades respiratórias, convulsões, temperatura instável, sudorese e espirros. Essas alterações podem persistir por muitos meses, sobretudo nos casos de uso de buprenorfina pela mãe. Apesar de o diagnóstico da SAN ser clínico, a confirmação toxicológica pode ser essencial para iniciar o tratamento. Para essa tarefa, o exame de urina é o mais utilizado pela sua praticidade. O uso de fármacos é indicado em 4 situações: terapia de suporte ineficaz no controle dos sinais e sintomas; altas pontuações de retirada; sinais de gravidade; desidratação grave por diarreia e/ou êmese. Atrasos no início do tratamento estão ligados a maior morbidade e a longas internações. Nenhum medicamento ou protocolo único é adequado para todos os pacientes, sendo preciso personalizar o tratamento. A morfina é o fármaco preferido, pois é segura, reduz as convulsões, elimina a diarreia e melhora a alimentação, controla a agitação e sintomas graves. Contudo, o seu uso também estende o tempo de internação. A metadona é uma boa alternativa, porém deve-se ter cuidado ao utilizá-la com outras drogas, como antirretrovirais e fenobarbital. A novidade no tratamento da SAN é a buprenorfina (administração via sublingual), mas faltam mais estudos para apoiar seu uso.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O mecanismo fisiopatológico da SAN ainda é pouco conhecido, dificultando o manejo da patologia, desse modo faz-se necessário uma investigação de sua ação a fim de implementar terapêuticas direcionadas, que sejam capazes de reverter os sinais e sintomas.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Abstinência; Neonatal; Tratamento 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BEHNKE, Marylou et al. “Prenatal substance abuse: short- and long-term effects on the exposed fetus.” </w:t>
      </w:r>
      <w:r w:rsidDel="00000000" w:rsidR="00000000" w:rsidRPr="00000000">
        <w:rPr>
          <w:b w:val="1"/>
          <w:sz w:val="20"/>
          <w:szCs w:val="20"/>
          <w:rtl w:val="0"/>
        </w:rPr>
        <w:t xml:space="preserve">Pediatrics</w:t>
      </w:r>
      <w:r w:rsidDel="00000000" w:rsidR="00000000" w:rsidRPr="00000000">
        <w:rPr>
          <w:sz w:val="20"/>
          <w:szCs w:val="20"/>
          <w:rtl w:val="0"/>
        </w:rPr>
        <w:t xml:space="preserve"> vol. 131,3 (2013): e1009-24. </w:t>
      </w:r>
    </w:p>
    <w:p w:rsidR="00000000" w:rsidDel="00000000" w:rsidP="00000000" w:rsidRDefault="00000000" w:rsidRPr="00000000" w14:paraId="00000011">
      <w:pPr>
        <w:spacing w:line="240" w:lineRule="auto"/>
        <w:ind w:left="14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HUSSAINI, Khaleel S, and George Yocher. “Adverse Maternal Experiences and Neonatal Abstinence Syndrome.” </w:t>
      </w:r>
      <w:r w:rsidDel="00000000" w:rsidR="00000000" w:rsidRPr="00000000">
        <w:rPr>
          <w:b w:val="1"/>
          <w:sz w:val="20"/>
          <w:szCs w:val="20"/>
          <w:rtl w:val="0"/>
        </w:rPr>
        <w:t xml:space="preserve">Maternal and child health journal</w:t>
      </w:r>
      <w:r w:rsidDel="00000000" w:rsidR="00000000" w:rsidRPr="00000000">
        <w:rPr>
          <w:sz w:val="20"/>
          <w:szCs w:val="20"/>
          <w:rtl w:val="0"/>
        </w:rPr>
        <w:t xml:space="preserve"> vol. 27,3 (2023): 497-507. </w:t>
      </w:r>
    </w:p>
    <w:p w:rsidR="00000000" w:rsidDel="00000000" w:rsidP="00000000" w:rsidRDefault="00000000" w:rsidRPr="00000000" w14:paraId="00000013">
      <w:pPr>
        <w:spacing w:line="240" w:lineRule="auto"/>
        <w:ind w:left="14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KOCHERLAKOTA, Prabhakar. “Neonatal abstinence syndrome.” </w:t>
      </w:r>
      <w:r w:rsidDel="00000000" w:rsidR="00000000" w:rsidRPr="00000000">
        <w:rPr>
          <w:b w:val="1"/>
          <w:sz w:val="20"/>
          <w:szCs w:val="20"/>
          <w:rtl w:val="0"/>
        </w:rPr>
        <w:t xml:space="preserve">Pediatrics</w:t>
      </w:r>
      <w:r w:rsidDel="00000000" w:rsidR="00000000" w:rsidRPr="00000000">
        <w:rPr>
          <w:sz w:val="20"/>
          <w:szCs w:val="20"/>
          <w:rtl w:val="0"/>
        </w:rPr>
        <w:t xml:space="preserve"> vol. 134,2 (2014): e547-61. </w:t>
      </w:r>
    </w:p>
    <w:p w:rsidR="00000000" w:rsidDel="00000000" w:rsidP="00000000" w:rsidRDefault="00000000" w:rsidRPr="00000000" w14:paraId="00000015">
      <w:pPr>
        <w:spacing w:line="240" w:lineRule="auto"/>
        <w:ind w:left="14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LOGAN, Beth A et al. “Neonatal abstinence syndrome: treatment and pediatric outcomes.”</w:t>
      </w:r>
      <w:r w:rsidDel="00000000" w:rsidR="00000000" w:rsidRPr="00000000">
        <w:rPr>
          <w:b w:val="1"/>
          <w:sz w:val="20"/>
          <w:szCs w:val="20"/>
          <w:rtl w:val="0"/>
        </w:rPr>
        <w:t xml:space="preserve"> Clinical obstetrics and gynecology</w:t>
      </w:r>
      <w:r w:rsidDel="00000000" w:rsidR="00000000" w:rsidRPr="00000000">
        <w:rPr>
          <w:sz w:val="20"/>
          <w:szCs w:val="20"/>
          <w:rtl w:val="0"/>
        </w:rPr>
        <w:t xml:space="preserve"> vol. 56,1 (2013): 186-92. </w:t>
      </w:r>
    </w:p>
    <w:p w:rsidR="00000000" w:rsidDel="00000000" w:rsidP="00000000" w:rsidRDefault="00000000" w:rsidRPr="00000000" w14:paraId="00000017">
      <w:pPr>
        <w:spacing w:line="240" w:lineRule="auto"/>
        <w:ind w:left="14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TOBON, Amalia Londono et al. “Opioid Use in Pregnancy.” </w:t>
      </w:r>
      <w:r w:rsidDel="00000000" w:rsidR="00000000" w:rsidRPr="00000000">
        <w:rPr>
          <w:b w:val="1"/>
          <w:sz w:val="20"/>
          <w:szCs w:val="20"/>
          <w:rtl w:val="0"/>
        </w:rPr>
        <w:t xml:space="preserve">Current psychiatry reports </w:t>
      </w:r>
      <w:r w:rsidDel="00000000" w:rsidR="00000000" w:rsidRPr="00000000">
        <w:rPr>
          <w:sz w:val="20"/>
          <w:szCs w:val="20"/>
          <w:rtl w:val="0"/>
        </w:rPr>
        <w:t xml:space="preserve">vol. 21,12 118. 16 Nov. 2019.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240" w:lineRule="auto"/>
      <w:jc w:val="both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0" distB="14400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b="0" l="0" r="0" t="0"/>
          <wp:wrapTopAndBottom distB="14400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9428" l="0" r="-1758" t="0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2LinpQA8rJEghHreQ1CVqEXWoQ==">CgMxLjA4AHIhMWExU1V3YXYySklFenFzdmc2TjVTOVd5YVNRQ1BfcEtr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