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96" w:rsidRDefault="00EA1996" w:rsidP="00EA1996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480910">
        <w:rPr>
          <w:rFonts w:cs="Times New Roman"/>
          <w:b/>
          <w:szCs w:val="24"/>
        </w:rPr>
        <w:t>ANÁLISE DAS DEMONST</w:t>
      </w:r>
      <w:r>
        <w:rPr>
          <w:rFonts w:cs="Times New Roman"/>
          <w:b/>
          <w:szCs w:val="24"/>
        </w:rPr>
        <w:t xml:space="preserve">RAÇÕES FINANCEIRAS E CONTÁBEIS DE </w:t>
      </w:r>
      <w:r w:rsidRPr="00480910">
        <w:rPr>
          <w:rFonts w:cs="Times New Roman"/>
          <w:b/>
          <w:szCs w:val="24"/>
        </w:rPr>
        <w:t xml:space="preserve">UMA </w:t>
      </w:r>
      <w:r>
        <w:rPr>
          <w:rFonts w:cs="Times New Roman"/>
          <w:b/>
          <w:szCs w:val="24"/>
        </w:rPr>
        <w:t xml:space="preserve">S.A. DO SETOR DE CALÇADOS </w:t>
      </w:r>
      <w:r w:rsidRPr="00480910">
        <w:rPr>
          <w:rFonts w:cs="Times New Roman"/>
          <w:b/>
          <w:szCs w:val="24"/>
        </w:rPr>
        <w:t xml:space="preserve">– UM ESTUDO DE </w:t>
      </w:r>
      <w:proofErr w:type="gramStart"/>
      <w:r w:rsidRPr="00480910">
        <w:rPr>
          <w:rFonts w:cs="Times New Roman"/>
          <w:b/>
          <w:szCs w:val="24"/>
        </w:rPr>
        <w:t>CASO</w:t>
      </w:r>
      <w:proofErr w:type="gramEnd"/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Maxweel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Veras Rodrigues, (UFC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02ABD">
          <w:rPr>
            <w:rStyle w:val="Hyperlink"/>
            <w:rFonts w:ascii="Times New Roman" w:hAnsi="Times New Roman" w:cs="Times New Roman"/>
            <w:sz w:val="24"/>
            <w:szCs w:val="24"/>
          </w:rPr>
          <w:t>maxweelveras@gmail.com</w:t>
        </w:r>
      </w:hyperlink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Henrique Camurça Pinheiro</w:t>
      </w:r>
      <w:r>
        <w:rPr>
          <w:rFonts w:ascii="Times New Roman" w:hAnsi="Times New Roman" w:cs="Times New Roman"/>
          <w:sz w:val="24"/>
          <w:szCs w:val="24"/>
        </w:rPr>
        <w:t>, (UFC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02ABD">
          <w:rPr>
            <w:rStyle w:val="Hyperlink"/>
            <w:rFonts w:ascii="Times New Roman" w:hAnsi="Times New Roman" w:cs="Times New Roman"/>
            <w:sz w:val="24"/>
            <w:szCs w:val="24"/>
          </w:rPr>
          <w:t>paulocamurcap@gmail.com</w:t>
        </w:r>
      </w:hyperlink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Sousa Garcia</w:t>
      </w:r>
      <w:r>
        <w:rPr>
          <w:rFonts w:ascii="Times New Roman" w:hAnsi="Times New Roman" w:cs="Times New Roman"/>
          <w:sz w:val="24"/>
          <w:szCs w:val="24"/>
        </w:rPr>
        <w:t>, (UFC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02ABD">
          <w:rPr>
            <w:rStyle w:val="Hyperlink"/>
            <w:rFonts w:ascii="Times New Roman" w:hAnsi="Times New Roman" w:cs="Times New Roman"/>
            <w:sz w:val="24"/>
            <w:szCs w:val="24"/>
          </w:rPr>
          <w:t>laiza.sousa.garcia@gmail.com</w:t>
        </w:r>
      </w:hyperlink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Rocha Negreiros</w:t>
      </w:r>
      <w:r>
        <w:rPr>
          <w:rFonts w:ascii="Times New Roman" w:hAnsi="Times New Roman" w:cs="Times New Roman"/>
          <w:sz w:val="24"/>
          <w:szCs w:val="24"/>
        </w:rPr>
        <w:t>, (UFC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02ABD">
          <w:rPr>
            <w:rStyle w:val="Hyperlink"/>
            <w:rFonts w:ascii="Times New Roman" w:hAnsi="Times New Roman" w:cs="Times New Roman"/>
            <w:sz w:val="24"/>
            <w:szCs w:val="24"/>
          </w:rPr>
          <w:t>renata.dinegreiros@gmail.com</w:t>
        </w:r>
      </w:hyperlink>
    </w:p>
    <w:p w:rsidR="000B55A1" w:rsidRDefault="000B55A1" w:rsidP="000B55A1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Lucas </w:t>
      </w:r>
      <w:r w:rsidR="00364C86">
        <w:rPr>
          <w:rFonts w:ascii="Times New Roman" w:hAnsi="Times New Roman" w:cs="Times New Roman"/>
          <w:sz w:val="24"/>
          <w:szCs w:val="24"/>
        </w:rPr>
        <w:t xml:space="preserve">de Almeida </w:t>
      </w:r>
      <w:r>
        <w:rPr>
          <w:rFonts w:ascii="Times New Roman" w:hAnsi="Times New Roman" w:cs="Times New Roman"/>
          <w:sz w:val="24"/>
          <w:szCs w:val="24"/>
        </w:rPr>
        <w:t>Braga</w:t>
      </w:r>
      <w:r>
        <w:rPr>
          <w:rFonts w:ascii="Times New Roman" w:hAnsi="Times New Roman" w:cs="Times New Roman"/>
          <w:sz w:val="24"/>
          <w:szCs w:val="24"/>
        </w:rPr>
        <w:t>, (UFC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A0EAF" w:rsidRPr="00364C86" w:rsidRDefault="00364C86" w:rsidP="00364C86">
      <w:pPr>
        <w:pStyle w:val="Corpodetexto"/>
        <w:spacing w:before="0" w:beforeAutospacing="0" w:after="120" w:afterAutospacing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902ABD">
          <w:rPr>
            <w:rStyle w:val="Hyperlink"/>
            <w:rFonts w:ascii="Times New Roman" w:hAnsi="Times New Roman" w:cs="Times New Roman"/>
            <w:sz w:val="24"/>
            <w:szCs w:val="24"/>
          </w:rPr>
          <w:t>lucasbrags8@gmail.com</w:t>
        </w:r>
      </w:hyperlink>
    </w:p>
    <w:p w:rsidR="00BC5AB8" w:rsidRPr="000B55A1" w:rsidRDefault="00BC5AB8" w:rsidP="00800B44"/>
    <w:p w:rsidR="00050E48" w:rsidRDefault="00050E48" w:rsidP="00800B44">
      <w:r w:rsidRPr="00BC5AB8">
        <w:rPr>
          <w:b/>
        </w:rPr>
        <w:t>Resumo</w:t>
      </w:r>
      <w:r>
        <w:t>:</w:t>
      </w:r>
      <w:r w:rsidR="00EA1996" w:rsidRPr="00EA1996">
        <w:rPr>
          <w:rFonts w:eastAsiaTheme="minorHAnsi" w:cs="Times New Roman"/>
          <w:szCs w:val="24"/>
        </w:rPr>
        <w:t xml:space="preserve"> </w:t>
      </w:r>
      <w:r w:rsidR="00EA1996" w:rsidRPr="0025370D">
        <w:rPr>
          <w:rFonts w:eastAsiaTheme="minorHAnsi" w:cs="Times New Roman"/>
          <w:szCs w:val="24"/>
        </w:rPr>
        <w:t xml:space="preserve">A utilização de demonstrações financeiras e contábeis mostra-se como uma ferramenta fundamental de análise no atual contexto das organizações, uma vez que </w:t>
      </w:r>
      <w:r w:rsidR="00EA1996" w:rsidRPr="0025370D">
        <w:rPr>
          <w:rFonts w:eastAsiaTheme="minorHAnsi" w:cs="Times New Roman"/>
          <w:szCs w:val="24"/>
        </w:rPr>
        <w:t>auxiliam</w:t>
      </w:r>
      <w:r w:rsidR="00EA1996" w:rsidRPr="0025370D">
        <w:rPr>
          <w:rFonts w:eastAsiaTheme="minorHAnsi" w:cs="Times New Roman"/>
          <w:szCs w:val="24"/>
        </w:rPr>
        <w:t xml:space="preserve"> na tomada de decisões estratégicas mais </w:t>
      </w:r>
      <w:r w:rsidR="00EA1996">
        <w:rPr>
          <w:rFonts w:eastAsiaTheme="minorHAnsi" w:cs="Times New Roman"/>
          <w:szCs w:val="24"/>
        </w:rPr>
        <w:t xml:space="preserve">assertivas e </w:t>
      </w:r>
      <w:r w:rsidR="00EA1996" w:rsidRPr="0025370D">
        <w:rPr>
          <w:rFonts w:eastAsiaTheme="minorHAnsi" w:cs="Times New Roman"/>
          <w:szCs w:val="24"/>
        </w:rPr>
        <w:t>confiáveis. Assim, a partir do estudo da composição do Balanço Patrimonial e DRE de uma das maiores empresas brasileiras do ramo de calçado</w:t>
      </w:r>
      <w:r w:rsidR="00EA1996">
        <w:rPr>
          <w:rFonts w:eastAsiaTheme="minorHAnsi" w:cs="Times New Roman"/>
          <w:szCs w:val="24"/>
        </w:rPr>
        <w:t>s</w:t>
      </w:r>
      <w:r w:rsidR="00EA1996" w:rsidRPr="0025370D">
        <w:rPr>
          <w:rFonts w:eastAsiaTheme="minorHAnsi" w:cs="Times New Roman"/>
          <w:szCs w:val="24"/>
        </w:rPr>
        <w:t xml:space="preserve"> durante o período de 2012 a 2016, foram construídos e avaliados seus índices econômico-financeiros. Em um primeiro momento, foram coletadas as informações financeiras da organização e, em seguida, uma análise vertical e horizontal foi feita para identificação de quais componentes mais impactavam no ativo, passivo e patrimônio líquido da empresa. Calculou-se e analisou-se, ainda, os índices de liquidez, rentabilidade e endividamento da S.A. A conclusão desse trabalho apresenta-se como um meio para que a organização </w:t>
      </w:r>
      <w:r w:rsidR="00EA1996">
        <w:rPr>
          <w:rFonts w:eastAsiaTheme="minorHAnsi" w:cs="Times New Roman"/>
          <w:szCs w:val="24"/>
        </w:rPr>
        <w:t>visualize</w:t>
      </w:r>
      <w:r w:rsidR="00EA1996" w:rsidRPr="0025370D">
        <w:rPr>
          <w:rFonts w:eastAsiaTheme="minorHAnsi" w:cs="Times New Roman"/>
          <w:szCs w:val="24"/>
        </w:rPr>
        <w:t xml:space="preserve"> quais contas exigem maior acompanhamento e, se necessário, crie planos de ação para solucionar problemas que limitem seu crescimento.</w:t>
      </w:r>
    </w:p>
    <w:p w:rsidR="00EA1996" w:rsidRDefault="007A0EAF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7A0EAF">
        <w:rPr>
          <w:b/>
        </w:rPr>
        <w:t>Palavras-chave</w:t>
      </w:r>
      <w:r>
        <w:t xml:space="preserve">: </w:t>
      </w:r>
      <w:r w:rsidR="00EA1996">
        <w:rPr>
          <w:szCs w:val="24"/>
        </w:rPr>
        <w:t>Índices econômico-financeiros, Análise vertical e horizontal,</w:t>
      </w:r>
      <w:r w:rsidR="00EA1996" w:rsidRPr="003A30F0">
        <w:rPr>
          <w:szCs w:val="24"/>
        </w:rPr>
        <w:t xml:space="preserve"> Indústria têxtil.</w:t>
      </w:r>
      <w:r w:rsidR="00EA1996" w:rsidRPr="00EA1996">
        <w:rPr>
          <w:rFonts w:cs="Times New Roman"/>
          <w:color w:val="000000"/>
          <w:szCs w:val="24"/>
        </w:rPr>
        <w:t xml:space="preserve"> </w:t>
      </w:r>
    </w:p>
    <w:p w:rsidR="00EA1996" w:rsidRPr="003A30F0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EA1996" w:rsidRDefault="00EA1996" w:rsidP="00EA1996">
      <w:pPr>
        <w:pStyle w:val="PargrafodaLista"/>
        <w:numPr>
          <w:ilvl w:val="0"/>
          <w:numId w:val="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771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EA1996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EA1996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115771">
        <w:rPr>
          <w:rFonts w:cs="Times New Roman"/>
          <w:color w:val="000000"/>
          <w:szCs w:val="24"/>
        </w:rPr>
        <w:t>No atual</w:t>
      </w:r>
      <w:r>
        <w:rPr>
          <w:rFonts w:cs="Times New Roman"/>
          <w:color w:val="000000"/>
          <w:szCs w:val="24"/>
        </w:rPr>
        <w:t xml:space="preserve"> </w:t>
      </w:r>
      <w:r w:rsidRPr="00115771">
        <w:rPr>
          <w:rFonts w:cs="Times New Roman"/>
          <w:color w:val="000000"/>
          <w:szCs w:val="24"/>
        </w:rPr>
        <w:t>cenário</w:t>
      </w:r>
      <w:r>
        <w:rPr>
          <w:rFonts w:cs="Times New Roman"/>
          <w:color w:val="000000"/>
          <w:szCs w:val="24"/>
        </w:rPr>
        <w:t xml:space="preserve"> organizacional </w:t>
      </w:r>
      <w:r w:rsidRPr="00115771">
        <w:rPr>
          <w:rFonts w:cs="Times New Roman"/>
          <w:color w:val="000000"/>
          <w:szCs w:val="24"/>
        </w:rPr>
        <w:t xml:space="preserve">é muito importante que os gestores </w:t>
      </w:r>
      <w:r>
        <w:rPr>
          <w:rFonts w:cs="Times New Roman"/>
          <w:color w:val="000000"/>
          <w:szCs w:val="24"/>
        </w:rPr>
        <w:t xml:space="preserve">tenham pleno conhecimento acerca de seus </w:t>
      </w:r>
      <w:r w:rsidRPr="00115771">
        <w:rPr>
          <w:rFonts w:cs="Times New Roman"/>
          <w:color w:val="000000"/>
          <w:szCs w:val="24"/>
        </w:rPr>
        <w:t>negócios</w:t>
      </w:r>
      <w:r>
        <w:rPr>
          <w:rFonts w:cs="Times New Roman"/>
          <w:color w:val="000000"/>
          <w:szCs w:val="24"/>
        </w:rPr>
        <w:t>. O desenvolvimento de um</w:t>
      </w:r>
      <w:r w:rsidRPr="00C0277C">
        <w:rPr>
          <w:rFonts w:cs="Times New Roman"/>
          <w:color w:val="000000"/>
          <w:szCs w:val="24"/>
        </w:rPr>
        <w:t xml:space="preserve"> olhar </w:t>
      </w:r>
      <w:r>
        <w:rPr>
          <w:rFonts w:cs="Times New Roman"/>
          <w:color w:val="000000"/>
          <w:szCs w:val="24"/>
        </w:rPr>
        <w:t xml:space="preserve">mais </w:t>
      </w:r>
      <w:r w:rsidRPr="00C0277C">
        <w:rPr>
          <w:rFonts w:cs="Times New Roman"/>
          <w:color w:val="000000"/>
          <w:szCs w:val="24"/>
        </w:rPr>
        <w:t>estratégico sobre a organizaç</w:t>
      </w:r>
      <w:r>
        <w:rPr>
          <w:rFonts w:cs="Times New Roman"/>
          <w:color w:val="000000"/>
          <w:szCs w:val="24"/>
        </w:rPr>
        <w:t>ão é fundamental para que esses administradores</w:t>
      </w:r>
      <w:r w:rsidRPr="00C0277C">
        <w:rPr>
          <w:rFonts w:cs="Times New Roman"/>
          <w:color w:val="000000"/>
          <w:szCs w:val="24"/>
        </w:rPr>
        <w:t xml:space="preserve"> não </w:t>
      </w:r>
      <w:r>
        <w:rPr>
          <w:rFonts w:cs="Times New Roman"/>
          <w:color w:val="000000"/>
          <w:szCs w:val="24"/>
        </w:rPr>
        <w:t>estabeleçam apenas uma visão do seu setor</w:t>
      </w:r>
      <w:r w:rsidRPr="00C0277C">
        <w:rPr>
          <w:rFonts w:cs="Times New Roman"/>
          <w:color w:val="000000"/>
          <w:szCs w:val="24"/>
        </w:rPr>
        <w:t xml:space="preserve">, mas </w:t>
      </w:r>
      <w:r>
        <w:rPr>
          <w:rFonts w:cs="Times New Roman"/>
          <w:color w:val="000000"/>
          <w:szCs w:val="24"/>
        </w:rPr>
        <w:t xml:space="preserve">de </w:t>
      </w:r>
      <w:r w:rsidRPr="00C0277C">
        <w:rPr>
          <w:rFonts w:cs="Times New Roman"/>
          <w:color w:val="000000"/>
          <w:szCs w:val="24"/>
        </w:rPr>
        <w:t>todo o funcionamento da empresa, para que possa</w:t>
      </w:r>
      <w:r>
        <w:rPr>
          <w:rFonts w:cs="Times New Roman"/>
          <w:color w:val="000000"/>
          <w:szCs w:val="24"/>
        </w:rPr>
        <w:t xml:space="preserve">m tomar </w:t>
      </w:r>
      <w:r w:rsidRPr="00C0277C">
        <w:rPr>
          <w:rFonts w:cs="Times New Roman"/>
          <w:color w:val="000000"/>
          <w:szCs w:val="24"/>
        </w:rPr>
        <w:t>decisões com maior assertividade.</w:t>
      </w:r>
      <w:r w:rsidRPr="00115771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Nesse contexto, a construção e análise </w:t>
      </w:r>
      <w:r w:rsidRPr="0025370D">
        <w:rPr>
          <w:rFonts w:cs="Times New Roman"/>
          <w:color w:val="000000"/>
          <w:szCs w:val="24"/>
        </w:rPr>
        <w:t>de demonstrações financeiras e contábeis</w:t>
      </w:r>
      <w:r>
        <w:rPr>
          <w:rFonts w:cs="Times New Roman"/>
          <w:color w:val="000000"/>
          <w:szCs w:val="24"/>
        </w:rPr>
        <w:t xml:space="preserve"> surgem como um instrumento fundamental para avaliar os resultados financeiros de uma organização e aliá-los às suas decisões estratégicas. </w:t>
      </w:r>
    </w:p>
    <w:p w:rsidR="00EA1996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  <w:lang w:val="pt-PT"/>
        </w:rPr>
      </w:pPr>
      <w:r>
        <w:rPr>
          <w:rFonts w:cs="Times New Roman"/>
          <w:color w:val="000000"/>
          <w:szCs w:val="24"/>
          <w:lang w:val="pt-PT"/>
        </w:rPr>
        <w:t>Essa análise</w:t>
      </w:r>
      <w:r w:rsidRPr="00115771">
        <w:rPr>
          <w:rFonts w:cs="Times New Roman"/>
          <w:color w:val="000000"/>
          <w:szCs w:val="24"/>
          <w:lang w:val="pt-PT"/>
        </w:rPr>
        <w:t xml:space="preserve"> da composição </w:t>
      </w:r>
      <w:r>
        <w:rPr>
          <w:rFonts w:cs="Times New Roman"/>
          <w:color w:val="000000"/>
          <w:szCs w:val="24"/>
          <w:lang w:val="pt-PT"/>
        </w:rPr>
        <w:t>demonstrativa financeira e contábil serve como base para que as empresas comparem seu desempenho e seus índices do período</w:t>
      </w:r>
      <w:r w:rsidRPr="00115771">
        <w:rPr>
          <w:rFonts w:cs="Times New Roman"/>
          <w:color w:val="000000"/>
          <w:szCs w:val="24"/>
          <w:lang w:val="pt-PT"/>
        </w:rPr>
        <w:t xml:space="preserve"> com </w:t>
      </w:r>
      <w:r>
        <w:rPr>
          <w:rFonts w:cs="Times New Roman"/>
          <w:color w:val="000000"/>
          <w:szCs w:val="24"/>
          <w:lang w:val="pt-PT"/>
        </w:rPr>
        <w:t>os de seus concorrentes, desenvolvendo planos de ação muito mais direcionados e efetivos para os aspectos que compõem as contas que não apresentaram resultados esperados, garantindo, assim, certa</w:t>
      </w:r>
      <w:r w:rsidRPr="00115771">
        <w:rPr>
          <w:rFonts w:cs="Times New Roman"/>
          <w:color w:val="000000"/>
          <w:szCs w:val="24"/>
          <w:lang w:val="pt-PT"/>
        </w:rPr>
        <w:t xml:space="preserve"> vantagem competitiva. </w:t>
      </w:r>
    </w:p>
    <w:p w:rsidR="00EA1996" w:rsidRPr="00545612" w:rsidRDefault="00EA1996" w:rsidP="00EA1996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rFonts w:cs="Times New Roman"/>
          <w:color w:val="000000"/>
          <w:szCs w:val="24"/>
          <w:lang w:val="pt-PT"/>
        </w:rPr>
        <w:t xml:space="preserve">As </w:t>
      </w:r>
      <w:r>
        <w:rPr>
          <w:color w:val="000000"/>
          <w:szCs w:val="24"/>
        </w:rPr>
        <w:t>informações contidas nessas demonstrações possibilitam, ainda, a avaliação dos pontos</w:t>
      </w:r>
      <w:r w:rsidRPr="0092163D">
        <w:rPr>
          <w:color w:val="000000"/>
          <w:szCs w:val="24"/>
        </w:rPr>
        <w:t xml:space="preserve"> positivos e negativos que </w:t>
      </w:r>
      <w:r>
        <w:rPr>
          <w:color w:val="000000"/>
          <w:szCs w:val="24"/>
        </w:rPr>
        <w:t xml:space="preserve">compõe o cenário da empresa, além de fornecer uma base de dados mais consolidada e confiável para análise de </w:t>
      </w:r>
      <w:r w:rsidRPr="00545612">
        <w:rPr>
          <w:rFonts w:cs="Times New Roman"/>
          <w:color w:val="000000"/>
          <w:szCs w:val="24"/>
          <w:lang w:val="pt-PT"/>
        </w:rPr>
        <w:t>possíveis investidores</w:t>
      </w:r>
      <w:r>
        <w:rPr>
          <w:rFonts w:cs="Times New Roman"/>
          <w:color w:val="000000"/>
          <w:szCs w:val="24"/>
          <w:lang w:val="pt-PT"/>
        </w:rPr>
        <w:t>.</w:t>
      </w:r>
    </w:p>
    <w:p w:rsidR="00EA1996" w:rsidRPr="00115771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  <w:lang w:val="pt-PT"/>
        </w:rPr>
      </w:pPr>
      <w:r w:rsidRPr="00C5787A">
        <w:rPr>
          <w:color w:val="000000"/>
          <w:szCs w:val="24"/>
        </w:rPr>
        <w:t>Este</w:t>
      </w:r>
      <w:r>
        <w:rPr>
          <w:color w:val="000000"/>
          <w:szCs w:val="24"/>
        </w:rPr>
        <w:t xml:space="preserve"> trabalho visa analisar o Balanço Patrimonial e DRE de um</w:t>
      </w:r>
      <w:r w:rsidRPr="00115771">
        <w:rPr>
          <w:rFonts w:cs="Times New Roman"/>
          <w:szCs w:val="24"/>
        </w:rPr>
        <w:t xml:space="preserve">a </w:t>
      </w:r>
      <w:r>
        <w:rPr>
          <w:rFonts w:cs="Times New Roman"/>
          <w:szCs w:val="24"/>
        </w:rPr>
        <w:t>das maiores</w:t>
      </w:r>
      <w:r w:rsidRPr="00115771">
        <w:rPr>
          <w:rFonts w:cs="Times New Roman"/>
          <w:szCs w:val="24"/>
        </w:rPr>
        <w:t xml:space="preserve"> empresa</w:t>
      </w:r>
      <w:r>
        <w:rPr>
          <w:rFonts w:cs="Times New Roman"/>
          <w:szCs w:val="24"/>
        </w:rPr>
        <w:t>s</w:t>
      </w:r>
      <w:r w:rsidRPr="00115771">
        <w:rPr>
          <w:rFonts w:cs="Times New Roman"/>
          <w:szCs w:val="24"/>
        </w:rPr>
        <w:t xml:space="preserve"> do Brasil do setor têxtil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color w:val="000000"/>
          <w:szCs w:val="24"/>
          <w:lang w:val="pt-PT"/>
        </w:rPr>
        <w:t xml:space="preserve">a Alpargatas S.A. e comparar seus </w:t>
      </w:r>
      <w:r>
        <w:rPr>
          <w:color w:val="000000"/>
          <w:szCs w:val="24"/>
        </w:rPr>
        <w:t>í</w:t>
      </w:r>
      <w:r w:rsidRPr="00BC5CCF">
        <w:rPr>
          <w:color w:val="000000"/>
          <w:szCs w:val="24"/>
        </w:rPr>
        <w:t xml:space="preserve">ndices econômico-financeiros com de seus principais concorrentes. </w:t>
      </w:r>
      <w:r>
        <w:rPr>
          <w:color w:val="000000"/>
          <w:szCs w:val="24"/>
        </w:rPr>
        <w:t>Foram identificados</w:t>
      </w:r>
      <w:r w:rsidRPr="00BC5CCF">
        <w:rPr>
          <w:color w:val="000000"/>
          <w:szCs w:val="24"/>
        </w:rPr>
        <w:t xml:space="preserve"> pontos</w:t>
      </w:r>
      <w:r>
        <w:rPr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pt-PT"/>
        </w:rPr>
        <w:t>que levam a empresa a se manter</w:t>
      </w:r>
      <w:r w:rsidRPr="00115771">
        <w:rPr>
          <w:rFonts w:cs="Times New Roman"/>
          <w:color w:val="000000"/>
          <w:szCs w:val="24"/>
          <w:lang w:val="pt-PT"/>
        </w:rPr>
        <w:t xml:space="preserve"> </w:t>
      </w:r>
      <w:r>
        <w:rPr>
          <w:rFonts w:cs="Times New Roman"/>
          <w:color w:val="000000"/>
          <w:szCs w:val="24"/>
          <w:lang w:val="pt-PT"/>
        </w:rPr>
        <w:t>lider no mercado</w:t>
      </w:r>
      <w:r w:rsidRPr="00115771">
        <w:rPr>
          <w:rFonts w:cs="Times New Roman"/>
          <w:color w:val="000000"/>
          <w:szCs w:val="24"/>
          <w:lang w:val="pt-PT"/>
        </w:rPr>
        <w:t>, be</w:t>
      </w:r>
      <w:r>
        <w:rPr>
          <w:rFonts w:cs="Times New Roman"/>
          <w:color w:val="000000"/>
          <w:szCs w:val="24"/>
          <w:lang w:val="pt-PT"/>
        </w:rPr>
        <w:t>m como pontos que exigem maior foco</w:t>
      </w:r>
      <w:r w:rsidRPr="00115771">
        <w:rPr>
          <w:rFonts w:cs="Times New Roman"/>
          <w:color w:val="000000"/>
          <w:szCs w:val="24"/>
          <w:lang w:val="pt-PT"/>
        </w:rPr>
        <w:t xml:space="preserve">, o que pode refletir em planos de ação para </w:t>
      </w:r>
      <w:r>
        <w:rPr>
          <w:rFonts w:cs="Times New Roman"/>
          <w:color w:val="000000"/>
          <w:szCs w:val="24"/>
          <w:lang w:val="pt-PT"/>
        </w:rPr>
        <w:t>melhorar seus resultados.</w:t>
      </w:r>
      <w:r w:rsidRPr="00115771">
        <w:rPr>
          <w:rFonts w:cs="Times New Roman"/>
          <w:color w:val="000000"/>
          <w:szCs w:val="24"/>
          <w:lang w:val="pt-PT"/>
        </w:rPr>
        <w:t xml:space="preserve"> </w:t>
      </w:r>
    </w:p>
    <w:p w:rsidR="00EA1996" w:rsidRPr="00115771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  <w:lang w:val="pt-PT"/>
        </w:rPr>
      </w:pPr>
    </w:p>
    <w:p w:rsidR="00EA1996" w:rsidRDefault="00EA1996" w:rsidP="00EA1996">
      <w:pPr>
        <w:rPr>
          <w:rFonts w:cs="Times New Roman"/>
          <w:b/>
          <w:color w:val="000000"/>
          <w:szCs w:val="24"/>
        </w:rPr>
      </w:pPr>
      <w:r w:rsidRPr="00115771">
        <w:rPr>
          <w:rFonts w:cs="Times New Roman"/>
          <w:b/>
          <w:color w:val="000000"/>
          <w:szCs w:val="24"/>
        </w:rPr>
        <w:t>2. Fundamentação teórica</w:t>
      </w:r>
    </w:p>
    <w:p w:rsidR="00EA1996" w:rsidRDefault="00EA1996" w:rsidP="00EA1996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2.1. Indústria têxtil no Brasil</w:t>
      </w:r>
    </w:p>
    <w:p w:rsidR="00EA1996" w:rsidRDefault="00EA1996" w:rsidP="00EA1996">
      <w:pPr>
        <w:rPr>
          <w:rFonts w:cs="Times New Roman"/>
          <w:b/>
          <w:color w:val="000000"/>
          <w:szCs w:val="24"/>
        </w:rPr>
      </w:pPr>
    </w:p>
    <w:p w:rsidR="00EA1996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  <w:lang w:val="pt-PT"/>
        </w:rPr>
      </w:pPr>
      <w:r w:rsidRPr="00115771">
        <w:rPr>
          <w:rFonts w:cs="Times New Roman"/>
          <w:color w:val="000000"/>
          <w:szCs w:val="24"/>
          <w:lang w:val="pt-PT"/>
        </w:rPr>
        <w:t xml:space="preserve">De acordo com a Associação Brasileira de Indústria Têxtil e de Confecção (ABIT), o Brasil pode ser considerado o segundo maior empregador da indústria de transformação e o quarto maior parque de confecções do mundo. São mais de 33 mil empresas formais, em todo o </w:t>
      </w:r>
      <w:r w:rsidRPr="00115771">
        <w:rPr>
          <w:rFonts w:cs="Times New Roman"/>
          <w:color w:val="000000"/>
          <w:szCs w:val="24"/>
          <w:lang w:val="pt-PT"/>
        </w:rPr>
        <w:lastRenderedPageBreak/>
        <w:t>território nacional, gerando 5,3 bilhões de peças de vestuário anualmente (ABIT, 2016). Desse modo, torna-se evidente a importância de uma boa gestão financeira em empresas deste setor.</w:t>
      </w:r>
    </w:p>
    <w:p w:rsidR="00EA1996" w:rsidRPr="00C0277C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115771">
        <w:rPr>
          <w:rFonts w:cs="Times New Roman"/>
          <w:color w:val="000000"/>
          <w:szCs w:val="24"/>
          <w:lang w:val="pt-PT"/>
        </w:rPr>
        <w:t xml:space="preserve">  </w:t>
      </w:r>
    </w:p>
    <w:p w:rsidR="00EA1996" w:rsidRDefault="00EA1996" w:rsidP="00EA1996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2.2. Demonstrações c</w:t>
      </w:r>
      <w:r w:rsidRPr="00115771">
        <w:rPr>
          <w:rFonts w:cs="Times New Roman"/>
          <w:b/>
          <w:color w:val="000000"/>
          <w:szCs w:val="24"/>
        </w:rPr>
        <w:t>ontábeis</w:t>
      </w:r>
    </w:p>
    <w:p w:rsidR="00EA1996" w:rsidRPr="00115771" w:rsidRDefault="00EA1996" w:rsidP="00EA1996">
      <w:pPr>
        <w:rPr>
          <w:rFonts w:cs="Times New Roman"/>
          <w:b/>
          <w:color w:val="000000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>Conforme Sá (2006, p. 46) a contabilidade é a ciência que estuda os fenômenos patrimoniais, preocupando-se com comportamentos, evidências e realidades dos mesmos, em relação à eficácia funcional das células sociais.</w:t>
      </w:r>
    </w:p>
    <w:p w:rsidR="00EA1996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>Dentro deste contexto, as demonstrações contábeis podem ser entendidas como relatórios capazes de demonstrar a situação de uma empresa em determinado momento, com o objetivo de fornecer informações a respeito da situação em que a mesma se encontra.</w:t>
      </w:r>
    </w:p>
    <w:p w:rsidR="00EA1996" w:rsidRPr="00115771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2.3. Balanço p</w:t>
      </w:r>
      <w:r w:rsidRPr="00115771">
        <w:rPr>
          <w:rFonts w:ascii="Times New Roman" w:hAnsi="Times New Roman" w:cs="Times New Roman"/>
          <w:b/>
          <w:color w:val="000000"/>
          <w:sz w:val="24"/>
          <w:szCs w:val="24"/>
        </w:rPr>
        <w:t>atrimonial</w:t>
      </w:r>
    </w:p>
    <w:p w:rsidR="00EA1996" w:rsidRPr="00115771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>O Balanço Patrimonial é uma das demonstrações contábeis obrigatórias, ele apresenta a situação patrimonial da empresa em um determina</w:t>
      </w:r>
      <w:r>
        <w:rPr>
          <w:rFonts w:eastAsia="Times New Roman" w:cs="Times New Roman"/>
          <w:szCs w:val="24"/>
          <w:lang w:eastAsia="pt-BR"/>
        </w:rPr>
        <w:t xml:space="preserve">do momento, geralmente o final </w:t>
      </w:r>
      <w:r w:rsidRPr="00115771">
        <w:rPr>
          <w:rFonts w:eastAsia="Times New Roman" w:cs="Times New Roman"/>
          <w:szCs w:val="24"/>
          <w:lang w:eastAsia="pt-BR"/>
        </w:rPr>
        <w:t xml:space="preserve">do exercício. De acordo com Marion (2009), entre os relatórios gerados pela Contabilidade, o Balanço Patrimonial é o mais importante.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Separado em dois grandes grupos, o Balanço Patrimonial é composto por uma coluna do lado esquerda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denominada “Ativo”</w:t>
      </w:r>
      <w:proofErr w:type="gramEnd"/>
      <w:r w:rsidRPr="00115771">
        <w:rPr>
          <w:rFonts w:eastAsia="Times New Roman" w:cs="Times New Roman"/>
          <w:szCs w:val="24"/>
          <w:lang w:eastAsia="pt-BR"/>
        </w:rPr>
        <w:t>, e uma do lado direito, denominada “Passivo”, dividida em Passivo Exigível e Patrimônio Líquido. Segundo Marion (2009), o ativo é constituído por itens positivos do patrimônio e trazem ganhos para a empresa. São as aplicações do capital proveniente do Passivo e Patrimônio Líquido. No lado do Passivo estão as obrigações da empresa, ou seja, suas dívidas.</w:t>
      </w:r>
    </w:p>
    <w:p w:rsidR="00EA1996" w:rsidRPr="00115771" w:rsidRDefault="00EA1996" w:rsidP="00EA1996">
      <w:pPr>
        <w:rPr>
          <w:rFonts w:cs="Times New Roman"/>
          <w:color w:val="000000"/>
          <w:szCs w:val="24"/>
        </w:rPr>
      </w:pPr>
      <w:r w:rsidRPr="00115771">
        <w:rPr>
          <w:rFonts w:cs="Times New Roman"/>
          <w:color w:val="000000"/>
          <w:szCs w:val="24"/>
        </w:rPr>
        <w:t xml:space="preserve">Segundo Matarazzo (1992), o Ativo mostra o que existe concretamente na empresa. Assim, todos os bens e direitos devem ter comprovantes documentais, com exceção de despesas antecipadas e as diferidas. O Passivo exigível e o Patrimônio Líquido mostram a origem dos recursos que estão investidos no Ativo. </w:t>
      </w:r>
    </w:p>
    <w:p w:rsidR="00F121DA" w:rsidRPr="00364C86" w:rsidRDefault="00EA1996" w:rsidP="00364C86">
      <w:pPr>
        <w:rPr>
          <w:rFonts w:cs="Times New Roman"/>
          <w:color w:val="000000"/>
          <w:szCs w:val="24"/>
        </w:rPr>
      </w:pPr>
      <w:r w:rsidRPr="00115771">
        <w:rPr>
          <w:rFonts w:cs="Times New Roman"/>
          <w:color w:val="000000"/>
          <w:szCs w:val="24"/>
        </w:rPr>
        <w:lastRenderedPageBreak/>
        <w:t>A imagem a seguir ilustra de forma detalhada os principais componentes do balanço patrimonial.</w:t>
      </w:r>
    </w:p>
    <w:p w:rsidR="00EA1996" w:rsidRPr="002D503F" w:rsidRDefault="00EA1996" w:rsidP="00EA1996">
      <w:pPr>
        <w:jc w:val="center"/>
        <w:rPr>
          <w:rFonts w:cs="Times New Roman"/>
          <w:sz w:val="20"/>
        </w:rPr>
      </w:pPr>
      <w:r w:rsidRPr="002D503F">
        <w:rPr>
          <w:rFonts w:cs="Times New Roman"/>
          <w:sz w:val="20"/>
        </w:rPr>
        <w:t>Figura 1 - Quadro explicativo dos componentes do Ativo e do Passivo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48D61B31" wp14:editId="58DE07D5">
            <wp:extent cx="4429125" cy="3448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96" w:rsidRPr="00E920EF" w:rsidRDefault="00EA1996" w:rsidP="00EA1996">
      <w:pPr>
        <w:jc w:val="center"/>
        <w:rPr>
          <w:rFonts w:cs="Times New Roman"/>
          <w:sz w:val="20"/>
          <w:szCs w:val="24"/>
        </w:rPr>
      </w:pPr>
      <w:r w:rsidRPr="002D503F">
        <w:rPr>
          <w:rFonts w:cs="Times New Roman"/>
          <w:sz w:val="20"/>
          <w:szCs w:val="24"/>
        </w:rPr>
        <w:t>Fonte: MARION, 1998, p.81. Adaptado</w:t>
      </w:r>
    </w:p>
    <w:p w:rsidR="00EA1996" w:rsidRDefault="00EA1996" w:rsidP="00EA1996">
      <w:pPr>
        <w:pStyle w:val="PargrafodaLista"/>
        <w:numPr>
          <w:ilvl w:val="1"/>
          <w:numId w:val="7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 das demonstrações financeiras</w:t>
      </w: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Técnicas adicionais podem ser utilizadas para aprimorar a análise geral feita em determinada empresa. Como exemplo,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utiliza-se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 técnicas de análise vertical e horizontal, conforme explicado a seguir.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EA1996">
      <w:pPr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2.4</w:t>
      </w:r>
      <w:r w:rsidRPr="00115771">
        <w:rPr>
          <w:rFonts w:eastAsiaTheme="minorEastAsia" w:cs="Times New Roman"/>
          <w:b/>
          <w:szCs w:val="24"/>
        </w:rPr>
        <w:t>.</w:t>
      </w:r>
      <w:r>
        <w:rPr>
          <w:rFonts w:eastAsiaTheme="minorEastAsia" w:cs="Times New Roman"/>
          <w:b/>
          <w:szCs w:val="24"/>
        </w:rPr>
        <w:t>1</w:t>
      </w:r>
      <w:r w:rsidRPr="00115771">
        <w:rPr>
          <w:rFonts w:eastAsiaTheme="minorEastAsia" w:cs="Times New Roman"/>
          <w:b/>
          <w:szCs w:val="24"/>
        </w:rPr>
        <w:t xml:space="preserve"> </w:t>
      </w:r>
      <w:r>
        <w:rPr>
          <w:rFonts w:eastAsiaTheme="minorEastAsia" w:cs="Times New Roman"/>
          <w:b/>
          <w:szCs w:val="24"/>
        </w:rPr>
        <w:t>Análise vertical</w:t>
      </w: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Ribeiro (1997, p. 173) afirma que através da análise vertical pode-se comparar cada um dos elementos do conjunto em relação ao total do conjunto. Ela evidencia a percentagem de cada </w:t>
      </w:r>
      <w:r w:rsidRPr="00115771">
        <w:rPr>
          <w:rFonts w:eastAsia="Times New Roman" w:cs="Times New Roman"/>
          <w:szCs w:val="24"/>
          <w:lang w:eastAsia="pt-BR"/>
        </w:rPr>
        <w:lastRenderedPageBreak/>
        <w:t>um dos elementos no conjunto. É no Balanço Patrimonial e na Demonstração de Resultados de Exercício (DRE) que sua aplicação tem maior importância.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EA1996">
      <w:pPr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2.4</w:t>
      </w:r>
      <w:r w:rsidRPr="00115771">
        <w:rPr>
          <w:rFonts w:eastAsiaTheme="minorEastAsia" w:cs="Times New Roman"/>
          <w:b/>
          <w:szCs w:val="24"/>
        </w:rPr>
        <w:t>.</w:t>
      </w:r>
      <w:r>
        <w:rPr>
          <w:rFonts w:eastAsiaTheme="minorEastAsia" w:cs="Times New Roman"/>
          <w:b/>
          <w:szCs w:val="24"/>
        </w:rPr>
        <w:t>2</w:t>
      </w:r>
      <w:r w:rsidRPr="00115771">
        <w:rPr>
          <w:rFonts w:eastAsiaTheme="minorEastAsia" w:cs="Times New Roman"/>
          <w:b/>
          <w:szCs w:val="24"/>
        </w:rPr>
        <w:t xml:space="preserve"> </w:t>
      </w:r>
      <w:r>
        <w:rPr>
          <w:rFonts w:eastAsiaTheme="minorEastAsia" w:cs="Times New Roman"/>
          <w:b/>
          <w:szCs w:val="24"/>
        </w:rPr>
        <w:t>Análise horizontal</w:t>
      </w: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A análise horizontal verifica a variação das contas que compõem as demonstrações contábeis em diversos momentos.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Matarazzo (2003, p. 245) cita que “a análise horizontal se baseia na evolução de cada conta de uma série de demonstrações financeiras em relação à demonstração anterior e/ou em relação à demonstração financeira básica, geralmente a mais antiga”. </w:t>
      </w:r>
    </w:p>
    <w:p w:rsidR="00EA1996" w:rsidRPr="00115771" w:rsidRDefault="00EA1996" w:rsidP="00EA1996">
      <w:pPr>
        <w:rPr>
          <w:rFonts w:eastAsia="Times New Roman" w:cs="Times New Roman"/>
          <w:b/>
          <w:szCs w:val="24"/>
          <w:lang w:eastAsia="pt-BR"/>
        </w:rPr>
      </w:pPr>
    </w:p>
    <w:p w:rsidR="00EA1996" w:rsidRDefault="00EA1996" w:rsidP="00EA1996">
      <w:pPr>
        <w:pStyle w:val="PargrafodaLista"/>
        <w:numPr>
          <w:ilvl w:val="1"/>
          <w:numId w:val="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771">
        <w:rPr>
          <w:rFonts w:ascii="Times New Roman" w:hAnsi="Times New Roman" w:cs="Times New Roman"/>
          <w:b/>
          <w:sz w:val="24"/>
          <w:szCs w:val="24"/>
        </w:rPr>
        <w:t xml:space="preserve">Índices </w:t>
      </w:r>
      <w:r>
        <w:rPr>
          <w:rFonts w:ascii="Times New Roman" w:hAnsi="Times New Roman" w:cs="Times New Roman"/>
          <w:b/>
          <w:sz w:val="24"/>
          <w:szCs w:val="24"/>
        </w:rPr>
        <w:t>de l</w:t>
      </w:r>
      <w:r w:rsidRPr="00115771">
        <w:rPr>
          <w:rFonts w:ascii="Times New Roman" w:hAnsi="Times New Roman" w:cs="Times New Roman"/>
          <w:b/>
          <w:sz w:val="24"/>
          <w:szCs w:val="24"/>
        </w:rPr>
        <w:t>iquidez</w:t>
      </w:r>
    </w:p>
    <w:p w:rsidR="00EA1996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cs="Times New Roman"/>
          <w:szCs w:val="24"/>
        </w:rPr>
        <w:t xml:space="preserve">A análise de Liquidez e Endividamento, de acordo com </w:t>
      </w:r>
      <w:proofErr w:type="spellStart"/>
      <w:r w:rsidRPr="00115771">
        <w:rPr>
          <w:rFonts w:cs="Times New Roman"/>
          <w:szCs w:val="24"/>
        </w:rPr>
        <w:t>Iudícibus</w:t>
      </w:r>
      <w:proofErr w:type="spellEnd"/>
      <w:r w:rsidRPr="00115771">
        <w:rPr>
          <w:rFonts w:cs="Times New Roman"/>
          <w:szCs w:val="24"/>
        </w:rPr>
        <w:t xml:space="preserve"> (1998, p.99) “engloba os relacionamentos entre contas do balanço que refletem uma situação estática de posição de liquidez ou o relacionamento entre fontes diferenciadas de capital”.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Os índices de liquidez demonstram a capacidade de a empresa liquidar em dia as suas obrigações. </w:t>
      </w:r>
      <w:proofErr w:type="spellStart"/>
      <w:r w:rsidRPr="00115771">
        <w:rPr>
          <w:rFonts w:eastAsia="Times New Roman" w:cs="Times New Roman"/>
          <w:szCs w:val="24"/>
          <w:lang w:eastAsia="pt-BR"/>
        </w:rPr>
        <w:t>Gitman</w:t>
      </w:r>
      <w:proofErr w:type="spellEnd"/>
      <w:r w:rsidRPr="00115771">
        <w:rPr>
          <w:rFonts w:eastAsia="Times New Roman" w:cs="Times New Roman"/>
          <w:szCs w:val="24"/>
          <w:lang w:eastAsia="pt-BR"/>
        </w:rPr>
        <w:t xml:space="preserve"> (2010, p. 51) dispõe que “a liquidez de uma empresa é medida em termos de sua capacidade de saldar suas obrigações de curto prazo à medida que se tornam devidas”.</w:t>
      </w:r>
    </w:p>
    <w:p w:rsidR="00EA1996" w:rsidRPr="00B21C12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 </w:t>
      </w:r>
      <w:r w:rsidRPr="00115771">
        <w:rPr>
          <w:rFonts w:cs="Times New Roman"/>
          <w:color w:val="000000"/>
          <w:szCs w:val="24"/>
        </w:rPr>
        <w:t xml:space="preserve">Já </w:t>
      </w:r>
      <w:proofErr w:type="spellStart"/>
      <w:r w:rsidRPr="00115771">
        <w:rPr>
          <w:rFonts w:cs="Times New Roman"/>
          <w:color w:val="000000"/>
          <w:szCs w:val="24"/>
        </w:rPr>
        <w:t>Zdanawicz</w:t>
      </w:r>
      <w:proofErr w:type="spellEnd"/>
      <w:r w:rsidRPr="00115771">
        <w:rPr>
          <w:rFonts w:cs="Times New Roman"/>
          <w:color w:val="000000"/>
          <w:szCs w:val="24"/>
        </w:rPr>
        <w:t xml:space="preserve"> (1998, p. 60) afirma que “a liquidez é denominada de análise de razão ou quociente, visa a mensuração da capacidade financeira da empresa em pagar seus compromissos de formas imediata, a curto e </w:t>
      </w:r>
      <w:proofErr w:type="gramStart"/>
      <w:r w:rsidRPr="00115771">
        <w:rPr>
          <w:rFonts w:cs="Times New Roman"/>
          <w:color w:val="000000"/>
          <w:szCs w:val="24"/>
        </w:rPr>
        <w:t>a longo prazo</w:t>
      </w:r>
      <w:proofErr w:type="gramEnd"/>
      <w:r w:rsidRPr="00115771">
        <w:rPr>
          <w:rFonts w:cs="Times New Roman"/>
          <w:color w:val="000000"/>
          <w:szCs w:val="24"/>
        </w:rPr>
        <w:t>”.</w:t>
      </w:r>
    </w:p>
    <w:p w:rsidR="00EA1996" w:rsidRDefault="00EA1996" w:rsidP="00EA1996">
      <w:pPr>
        <w:rPr>
          <w:rFonts w:cs="Times New Roman"/>
          <w:color w:val="00000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Liquidez g</w:t>
      </w:r>
      <w:r w:rsidRPr="00115771">
        <w:rPr>
          <w:rFonts w:ascii="Times New Roman" w:hAnsi="Times New Roman" w:cs="Times New Roman"/>
          <w:b/>
          <w:sz w:val="24"/>
          <w:szCs w:val="24"/>
        </w:rPr>
        <w:t>eral</w:t>
      </w: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O índice de Liquidez Geral indica quanto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a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 empresa possui em dinheiro e tudo que converterá, para liquidar suas dívidas a curto e longo prazo (MARION, 2012). Ele é obtido </w:t>
      </w:r>
      <w:r w:rsidRPr="00115771">
        <w:rPr>
          <w:rFonts w:eastAsia="Times New Roman" w:cs="Times New Roman"/>
          <w:szCs w:val="24"/>
          <w:lang w:eastAsia="pt-BR"/>
        </w:rPr>
        <w:lastRenderedPageBreak/>
        <w:t xml:space="preserve">pela soma entre o ativo circulante e o realizável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a longo prazo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 dividido pela soma entre o passivo circulante e o exigido a longo prazo.</w:t>
      </w:r>
    </w:p>
    <w:p w:rsidR="00EA199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771">
        <w:rPr>
          <w:rFonts w:ascii="Times New Roman" w:hAnsi="Times New Roman" w:cs="Times New Roman"/>
          <w:b/>
          <w:sz w:val="24"/>
          <w:szCs w:val="24"/>
        </w:rPr>
        <w:t xml:space="preserve">Liquidez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115771">
        <w:rPr>
          <w:rFonts w:ascii="Times New Roman" w:hAnsi="Times New Roman" w:cs="Times New Roman"/>
          <w:b/>
          <w:sz w:val="24"/>
          <w:szCs w:val="24"/>
        </w:rPr>
        <w:t>orrente</w:t>
      </w: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O índice de liquidez corrente é o mais comum. Segundo Assaf. (2006, p.191) </w:t>
      </w:r>
      <w:r w:rsidRPr="00115771">
        <w:rPr>
          <w:rFonts w:cs="Times New Roman"/>
          <w:szCs w:val="24"/>
        </w:rPr>
        <w:t xml:space="preserve">“quanto maior a liquidez corrente mais alta se apresenta a capacidade da empresa em financiar suas necessidades de capital de giro”.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Silva (2008) defende que o índice de liquidez corrente de uma empresa deve ser comparado entre empresas do mesmo porte, mesma atividade e mesma região geográfica, pois ele sozinho não demonstra se a situação da empresa é boa ou não.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EA1996">
      <w:pPr>
        <w:pStyle w:val="PargrafodaLista"/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Liquidez s</w:t>
      </w:r>
      <w:r w:rsidRPr="0011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eca</w:t>
      </w: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Já o índice de liquidez seca avalia se a organização tem condições de cumprir com suas obrigações sem precisar recorrer a vendas futuras, e pode ser obtida pela diferença entre o ativo circulante e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o estoque dividida pelo passivo circulante</w:t>
      </w:r>
      <w:proofErr w:type="gramEnd"/>
      <w:r w:rsidRPr="00115771">
        <w:rPr>
          <w:rFonts w:eastAsia="Times New Roman" w:cs="Times New Roman"/>
          <w:szCs w:val="24"/>
          <w:lang w:eastAsia="pt-BR"/>
        </w:rPr>
        <w:t>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Para Marion (2012) e </w:t>
      </w:r>
      <w:proofErr w:type="spellStart"/>
      <w:r w:rsidRPr="00115771">
        <w:rPr>
          <w:rFonts w:eastAsia="Times New Roman" w:cs="Times New Roman"/>
          <w:szCs w:val="24"/>
          <w:lang w:eastAsia="pt-BR"/>
        </w:rPr>
        <w:t>Gitman</w:t>
      </w:r>
      <w:proofErr w:type="spellEnd"/>
      <w:r w:rsidRPr="00115771">
        <w:rPr>
          <w:rFonts w:eastAsia="Times New Roman" w:cs="Times New Roman"/>
          <w:szCs w:val="24"/>
          <w:lang w:eastAsia="pt-BR"/>
        </w:rPr>
        <w:t xml:space="preserve"> (2010), embora um índice de liquidez seca a partir de 1,0 seja considerado bom, o valor aceitável depende do setor da empresa analisada. Se a empresa converter o estoque em caixa em pouco tempo, o índice de liquidez corrente é mais indicado. Empresas onde o investimento em estoque é elevado e a maioria das suas vendas é a vista, um índice baixo não significa uma situação financeira ruim.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EA1996">
      <w:pPr>
        <w:pStyle w:val="PargrafodaLista"/>
        <w:numPr>
          <w:ilvl w:val="1"/>
          <w:numId w:val="5"/>
        </w:numPr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Índice de e</w:t>
      </w:r>
      <w:r w:rsidRPr="0011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ndividamento</w:t>
      </w:r>
    </w:p>
    <w:p w:rsidR="00EA1996" w:rsidRPr="00115771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Para Matarazzo (2003), os índices de endividamento mostram as grandes linhas de decisões, em termos de obtenção e aplicações de atividades.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lastRenderedPageBreak/>
        <w:t xml:space="preserve">Neste índice é possível observar qual o grau de endividamento da empresa e em que proporção o seu Ativo vem sendo financiado com Recursos Próprios (Patrimônio Líquido) ou de Terceiros (Passivo Circulante + Exigível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a Longo Prazo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).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Da mesma forma em que a liquidez tem suas subdivisões o endividamento também tem, como: índice de endividamento geral (Passivo Total/Ativo Total), índice de cobertura de juros (Lucro antes de juros e IR/ juros) e índices de cobertura de obrigações fixas ((lucro antes do imposto de renda + arrendamentos/ Obrigações fixas)). </w:t>
      </w:r>
    </w:p>
    <w:p w:rsidR="00EA1996" w:rsidRPr="00115771" w:rsidRDefault="00EA1996" w:rsidP="00EA1996">
      <w:pPr>
        <w:rPr>
          <w:rFonts w:eastAsia="Times New Roman" w:cs="Times New Roman"/>
          <w:b/>
          <w:szCs w:val="24"/>
          <w:lang w:eastAsia="pt-BR"/>
        </w:rPr>
      </w:pPr>
    </w:p>
    <w:p w:rsidR="00EA1996" w:rsidRDefault="00EA1996" w:rsidP="00EA1996">
      <w:pPr>
        <w:pStyle w:val="PargrafodaLista"/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Índice de endividamento g</w:t>
      </w:r>
      <w:r w:rsidRPr="0011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eral</w:t>
      </w:r>
    </w:p>
    <w:p w:rsidR="00EA1996" w:rsidRPr="0074370C" w:rsidRDefault="00EA1996" w:rsidP="00EA1996">
      <w:pPr>
        <w:rPr>
          <w:rFonts w:eastAsia="Times New Roman" w:cs="Times New Roman"/>
          <w:b/>
          <w:szCs w:val="24"/>
          <w:lang w:eastAsia="pt-BR"/>
        </w:rPr>
      </w:pP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Segundo </w:t>
      </w:r>
      <w:proofErr w:type="spellStart"/>
      <w:r w:rsidRPr="00115771">
        <w:rPr>
          <w:rFonts w:eastAsia="Times New Roman" w:cs="Times New Roman"/>
          <w:szCs w:val="24"/>
          <w:lang w:eastAsia="pt-BR"/>
        </w:rPr>
        <w:t>Gitman</w:t>
      </w:r>
      <w:proofErr w:type="spellEnd"/>
      <w:r w:rsidRPr="00115771">
        <w:rPr>
          <w:rFonts w:eastAsia="Times New Roman" w:cs="Times New Roman"/>
          <w:szCs w:val="24"/>
          <w:lang w:eastAsia="pt-BR"/>
        </w:rPr>
        <w:t xml:space="preserve">, (2010, p. 56), o índice de endividamento geral “mede a proporção a proporção do ativo total financiada pelos credores da empresa. Quanto mais elevado maior o montante de capital de terceiros usado para gerar lucros”. </w:t>
      </w:r>
      <w:bookmarkStart w:id="0" w:name="_Toc497169436"/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EA1996">
      <w:pPr>
        <w:pStyle w:val="PargrafodaLista"/>
        <w:numPr>
          <w:ilvl w:val="0"/>
          <w:numId w:val="8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EA199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  <w:r w:rsidRPr="00A81AAB">
        <w:rPr>
          <w:rFonts w:eastAsia="Times New Roman" w:cs="Times New Roman"/>
          <w:szCs w:val="24"/>
          <w:lang w:eastAsia="pt-BR"/>
        </w:rPr>
        <w:t>Mello (2007)</w:t>
      </w:r>
      <w:r>
        <w:rPr>
          <w:rFonts w:eastAsia="Times New Roman" w:cs="Times New Roman"/>
          <w:szCs w:val="24"/>
          <w:lang w:eastAsia="pt-BR"/>
        </w:rPr>
        <w:t xml:space="preserve"> afirma que</w:t>
      </w:r>
      <w:r w:rsidRPr="00A81AAB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 xml:space="preserve">a pesquisa científica pode </w:t>
      </w:r>
      <w:r w:rsidRPr="00A81AAB">
        <w:rPr>
          <w:rFonts w:eastAsia="Times New Roman" w:cs="Times New Roman"/>
          <w:szCs w:val="24"/>
          <w:lang w:eastAsia="pt-BR"/>
        </w:rPr>
        <w:t>ser classificada de acordo com sua natureza</w:t>
      </w:r>
      <w:r>
        <w:rPr>
          <w:rFonts w:eastAsia="Times New Roman" w:cs="Times New Roman"/>
          <w:szCs w:val="24"/>
          <w:lang w:eastAsia="pt-BR"/>
        </w:rPr>
        <w:t>,</w:t>
      </w:r>
      <w:r w:rsidRPr="00A81AAB">
        <w:rPr>
          <w:rFonts w:eastAsia="Times New Roman" w:cs="Times New Roman"/>
          <w:szCs w:val="24"/>
          <w:lang w:eastAsia="pt-BR"/>
        </w:rPr>
        <w:t xml:space="preserve"> seus objetivos</w:t>
      </w:r>
      <w:r>
        <w:rPr>
          <w:rFonts w:eastAsia="Times New Roman" w:cs="Times New Roman"/>
          <w:szCs w:val="24"/>
          <w:lang w:eastAsia="pt-BR"/>
        </w:rPr>
        <w:t xml:space="preserve">, </w:t>
      </w:r>
      <w:r w:rsidRPr="00A81AAB">
        <w:rPr>
          <w:rFonts w:eastAsia="Times New Roman" w:cs="Times New Roman"/>
          <w:szCs w:val="24"/>
          <w:lang w:eastAsia="pt-BR"/>
        </w:rPr>
        <w:t xml:space="preserve">a forma de abordar o problema, </w:t>
      </w:r>
      <w:r>
        <w:rPr>
          <w:rFonts w:eastAsia="Times New Roman" w:cs="Times New Roman"/>
          <w:szCs w:val="24"/>
          <w:lang w:eastAsia="pt-BR"/>
        </w:rPr>
        <w:t>e conforme os métodos. Assim, de acordo com os objetivos desse artigo, podemos caracterizar a pesquisa realizada na próxima seção como do tipo descritiva</w:t>
      </w:r>
      <w:bookmarkEnd w:id="0"/>
      <w:r>
        <w:rPr>
          <w:rFonts w:eastAsia="Times New Roman" w:cs="Times New Roman"/>
          <w:szCs w:val="24"/>
          <w:lang w:eastAsia="pt-BR"/>
        </w:rPr>
        <w:t>, uma vez que um estudo descritivo, segundo Cooper e Schindler (2003), se caracteriza por “</w:t>
      </w:r>
      <w:r w:rsidRPr="00D25BA8">
        <w:rPr>
          <w:rFonts w:eastAsia="Times New Roman" w:cs="Times New Roman"/>
          <w:szCs w:val="24"/>
          <w:lang w:eastAsia="pt-BR"/>
        </w:rPr>
        <w:t>tenta</w:t>
      </w:r>
      <w:r>
        <w:rPr>
          <w:rFonts w:eastAsia="Times New Roman" w:cs="Times New Roman"/>
          <w:szCs w:val="24"/>
          <w:lang w:eastAsia="pt-BR"/>
        </w:rPr>
        <w:t xml:space="preserve">r </w:t>
      </w:r>
      <w:r w:rsidRPr="00D25BA8">
        <w:rPr>
          <w:rFonts w:eastAsia="Times New Roman" w:cs="Times New Roman"/>
          <w:szCs w:val="24"/>
          <w:lang w:eastAsia="pt-BR"/>
        </w:rPr>
        <w:t>descobrir respostas para as perguntas quem, o que, quando, onde, e, algumas vezes, como”.</w:t>
      </w:r>
      <w:r>
        <w:rPr>
          <w:rFonts w:eastAsia="Times New Roman" w:cs="Times New Roman"/>
          <w:szCs w:val="24"/>
          <w:lang w:eastAsia="pt-BR"/>
        </w:rPr>
        <w:t xml:space="preserve"> Além disso,</w:t>
      </w:r>
      <w:r w:rsidRPr="00D25BA8">
        <w:rPr>
          <w:rFonts w:eastAsia="Times New Roman" w:cs="Times New Roman"/>
          <w:szCs w:val="24"/>
          <w:lang w:eastAsia="pt-BR"/>
        </w:rPr>
        <w:t xml:space="preserve"> </w:t>
      </w:r>
      <w:r>
        <w:rPr>
          <w:rFonts w:eastAsia="Times New Roman" w:cs="Times New Roman"/>
          <w:szCs w:val="24"/>
          <w:lang w:eastAsia="pt-BR"/>
        </w:rPr>
        <w:t xml:space="preserve">o teor do problema se enquadra como quantitativa e qualitativa, uma vez que </w:t>
      </w:r>
      <w:r w:rsidRPr="00A81AAB">
        <w:rPr>
          <w:rFonts w:eastAsia="Times New Roman" w:cs="Times New Roman"/>
          <w:szCs w:val="24"/>
          <w:lang w:eastAsia="pt-BR"/>
        </w:rPr>
        <w:t>busca traduzir números</w:t>
      </w:r>
      <w:r>
        <w:rPr>
          <w:rFonts w:eastAsia="Times New Roman" w:cs="Times New Roman"/>
          <w:szCs w:val="24"/>
          <w:lang w:eastAsia="pt-BR"/>
        </w:rPr>
        <w:t xml:space="preserve"> </w:t>
      </w:r>
      <w:r w:rsidRPr="00A81AAB">
        <w:rPr>
          <w:rFonts w:eastAsia="Times New Roman" w:cs="Times New Roman"/>
          <w:szCs w:val="24"/>
          <w:lang w:eastAsia="pt-BR"/>
        </w:rPr>
        <w:t>em informações para classificá-</w:t>
      </w:r>
      <w:r>
        <w:rPr>
          <w:rFonts w:eastAsia="Times New Roman" w:cs="Times New Roman"/>
          <w:szCs w:val="24"/>
          <w:lang w:eastAsia="pt-BR"/>
        </w:rPr>
        <w:t>las e analisá-las.</w:t>
      </w:r>
    </w:p>
    <w:p w:rsidR="00EA1996" w:rsidRPr="00115771" w:rsidRDefault="00EA1996" w:rsidP="00EA1996">
      <w:pPr>
        <w:autoSpaceDE w:val="0"/>
        <w:autoSpaceDN w:val="0"/>
        <w:adjustRightInd w:val="0"/>
        <w:rPr>
          <w:rFonts w:cs="Times New Roman"/>
          <w:color w:val="000000"/>
          <w:szCs w:val="24"/>
          <w:lang w:val="pt-PT"/>
        </w:rPr>
      </w:pPr>
      <w:r w:rsidRPr="00115771">
        <w:rPr>
          <w:rFonts w:cs="Times New Roman"/>
          <w:color w:val="000000"/>
          <w:szCs w:val="24"/>
          <w:lang w:val="pt-PT"/>
        </w:rPr>
        <w:t>Para o estudo de caso foi escolhida a empresa Alpargatas S.A</w:t>
      </w:r>
      <w:r>
        <w:rPr>
          <w:rFonts w:cs="Times New Roman"/>
          <w:color w:val="000000"/>
          <w:szCs w:val="24"/>
          <w:lang w:val="pt-PT"/>
        </w:rPr>
        <w:t xml:space="preserve">, comapanhia de sapatos que já completou mais de </w:t>
      </w:r>
      <w:r w:rsidRPr="00115771">
        <w:rPr>
          <w:rFonts w:cs="Times New Roman"/>
          <w:color w:val="000000"/>
          <w:szCs w:val="24"/>
          <w:lang w:val="pt-PT"/>
        </w:rPr>
        <w:t>100 anos na Bolsa de Valores de São Paulo</w:t>
      </w:r>
      <w:r>
        <w:rPr>
          <w:rFonts w:cs="Times New Roman"/>
          <w:color w:val="000000"/>
          <w:szCs w:val="24"/>
          <w:lang w:val="pt-PT"/>
        </w:rPr>
        <w:t>, tendo passado diversos cenários</w:t>
      </w:r>
      <w:r w:rsidRPr="00115771">
        <w:rPr>
          <w:rFonts w:cs="Times New Roman"/>
          <w:color w:val="000000"/>
          <w:szCs w:val="24"/>
          <w:lang w:val="pt-PT"/>
        </w:rPr>
        <w:t xml:space="preserve"> </w:t>
      </w:r>
      <w:r>
        <w:rPr>
          <w:rFonts w:cs="Times New Roman"/>
          <w:color w:val="000000"/>
          <w:szCs w:val="24"/>
          <w:lang w:val="pt-PT"/>
        </w:rPr>
        <w:t xml:space="preserve">adversos </w:t>
      </w:r>
      <w:r w:rsidRPr="00115771">
        <w:rPr>
          <w:rFonts w:cs="Times New Roman"/>
          <w:color w:val="000000"/>
          <w:szCs w:val="24"/>
          <w:lang w:val="pt-PT"/>
        </w:rPr>
        <w:t xml:space="preserve">durante este </w:t>
      </w:r>
      <w:r>
        <w:rPr>
          <w:rFonts w:cs="Times New Roman"/>
          <w:color w:val="000000"/>
          <w:szCs w:val="24"/>
          <w:lang w:val="pt-PT"/>
        </w:rPr>
        <w:t xml:space="preserve">até ser consgrada como </w:t>
      </w:r>
      <w:r w:rsidRPr="00115771">
        <w:rPr>
          <w:rFonts w:cs="Times New Roman"/>
          <w:color w:val="000000"/>
          <w:szCs w:val="24"/>
          <w:lang w:val="pt-PT"/>
        </w:rPr>
        <w:t>uma das</w:t>
      </w:r>
      <w:r>
        <w:rPr>
          <w:rFonts w:cs="Times New Roman"/>
          <w:color w:val="000000"/>
          <w:szCs w:val="24"/>
          <w:lang w:val="pt-PT"/>
        </w:rPr>
        <w:t xml:space="preserve"> empresas</w:t>
      </w:r>
      <w:r w:rsidRPr="00115771">
        <w:rPr>
          <w:rFonts w:cs="Times New Roman"/>
          <w:color w:val="000000"/>
          <w:szCs w:val="24"/>
          <w:lang w:val="pt-PT"/>
        </w:rPr>
        <w:t xml:space="preserve"> brasileiras percussoras da difícil arte de tornar-se um negócio global.</w:t>
      </w:r>
    </w:p>
    <w:p w:rsidR="00EA1996" w:rsidRPr="00D25BA8" w:rsidRDefault="00EA1996" w:rsidP="00EA1996">
      <w:pPr>
        <w:rPr>
          <w:rFonts w:eastAsia="Times New Roman" w:cs="Times New Roman"/>
          <w:szCs w:val="24"/>
          <w:lang w:eastAsia="pt-BR"/>
        </w:rPr>
      </w:pPr>
      <w:r>
        <w:rPr>
          <w:rFonts w:eastAsia="Times New Roman" w:cs="Times New Roman"/>
          <w:szCs w:val="24"/>
          <w:lang w:eastAsia="pt-BR"/>
        </w:rPr>
        <w:lastRenderedPageBreak/>
        <w:t>Dito isso, foi realizada uma revisão bibliográfica sobre índices financeiros importantes para a verificação da saúde de empresas, para que estes fossem aplicados dentro de uma análise temporal da empresa e mais tarde uma comparação com as maiores empresas do ramo têxtil, incluindo uma discussão sobre os possíveis fatores que levaram ao histórico exposto.</w:t>
      </w:r>
    </w:p>
    <w:p w:rsidR="00EA1996" w:rsidRDefault="00EA1996" w:rsidP="00EA1996">
      <w:pPr>
        <w:pStyle w:val="PargrafodaLista"/>
        <w:numPr>
          <w:ilvl w:val="1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de dados</w:t>
      </w:r>
    </w:p>
    <w:p w:rsidR="00EA199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Pr="00255498" w:rsidRDefault="00EA1996" w:rsidP="00EA199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Para uma análise dos dados financeiros apresentados pela empresa, além da comparação com os concorrentes </w:t>
      </w:r>
      <w:r w:rsidRPr="00115771">
        <w:rPr>
          <w:rFonts w:cs="Times New Roman"/>
          <w:color w:val="000000"/>
          <w:szCs w:val="24"/>
          <w:lang w:val="pt-PT"/>
        </w:rPr>
        <w:t>do setor têxtil</w:t>
      </w:r>
      <w:r>
        <w:rPr>
          <w:rFonts w:cs="Times New Roman"/>
          <w:color w:val="000000"/>
          <w:szCs w:val="24"/>
          <w:lang w:val="pt-PT"/>
        </w:rPr>
        <w:t xml:space="preserve">, foi realizada uma coleta de dados contidos nos balanços patrimonais e demonstrações do resultado do exercício da empresa em foco e de outras empresas deste setor, os quais estão disponíveis em seus respectivos </w:t>
      </w:r>
      <w:r w:rsidRPr="00952712">
        <w:rPr>
          <w:rFonts w:cs="Times New Roman"/>
          <w:i/>
          <w:color w:val="000000"/>
          <w:szCs w:val="24"/>
          <w:lang w:val="pt-PT"/>
        </w:rPr>
        <w:t>sites</w:t>
      </w:r>
      <w:r>
        <w:rPr>
          <w:rFonts w:cs="Times New Roman"/>
          <w:color w:val="000000"/>
          <w:szCs w:val="24"/>
          <w:lang w:val="pt-PT"/>
        </w:rPr>
        <w:t xml:space="preserve">. Ademais, outra fonte usada para esta pesquisa foi </w:t>
      </w:r>
      <w:proofErr w:type="gramStart"/>
      <w:r>
        <w:rPr>
          <w:rFonts w:cs="Times New Roman"/>
          <w:color w:val="000000"/>
          <w:szCs w:val="24"/>
          <w:lang w:val="pt-PT"/>
        </w:rPr>
        <w:t>a</w:t>
      </w:r>
      <w:proofErr w:type="gramEnd"/>
      <w:r>
        <w:rPr>
          <w:rFonts w:cs="Times New Roman"/>
          <w:color w:val="000000"/>
          <w:szCs w:val="24"/>
          <w:lang w:val="pt-PT"/>
        </w:rPr>
        <w:t xml:space="preserve"> edição ‘Melhores e Maiores’ de 2017 da revista EXAME.</w:t>
      </w:r>
    </w:p>
    <w:p w:rsidR="00EA1996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EA1996">
      <w:pPr>
        <w:pStyle w:val="PargrafodaLista"/>
        <w:numPr>
          <w:ilvl w:val="0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Análises</w:t>
      </w:r>
    </w:p>
    <w:p w:rsidR="00EA1996" w:rsidRPr="0074370C" w:rsidRDefault="00EA1996" w:rsidP="00EA1996">
      <w:pPr>
        <w:rPr>
          <w:rFonts w:cs="Times New Roman"/>
          <w:b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Desenvolveu-se uma análise da composição do Balanço Patrimonial da Alpargatas S.A dos anos de 2012 a 2016. De fato, a empresa apresentou um crescimento mais significativo em relação ao ativo e passivo total entre os anos de 2013 e 2012, sendo em 2014 seu melhor resultado. É válido lembrar que todos os valores foram levados para valor presente do ano base 2012. A seguir é possível encontrar uma tabela comparando em porcentagem a composição do ativo e do passivo da Companhia. </w:t>
      </w:r>
    </w:p>
    <w:p w:rsidR="00EA1996" w:rsidRPr="0074370C" w:rsidRDefault="00EA1996" w:rsidP="00EA1996">
      <w:pPr>
        <w:jc w:val="center"/>
        <w:rPr>
          <w:rFonts w:cs="Times New Roman"/>
          <w:sz w:val="20"/>
          <w:szCs w:val="24"/>
        </w:rPr>
      </w:pPr>
      <w:r w:rsidRPr="0074370C">
        <w:rPr>
          <w:rFonts w:cs="Times New Roman"/>
          <w:sz w:val="20"/>
          <w:szCs w:val="24"/>
        </w:rPr>
        <w:t>Gráfico 3 – Composição Geral do Balanço Patrimonial da Alpargatas S.A. (2012 - 2016).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lastRenderedPageBreak/>
        <w:drawing>
          <wp:inline distT="0" distB="0" distL="0" distR="0" wp14:anchorId="47DEDEDA" wp14:editId="4C1833F3">
            <wp:extent cx="5913755" cy="2388092"/>
            <wp:effectExtent l="19050" t="0" r="0" b="0"/>
            <wp:docPr id="16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887" cy="239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74370C">
        <w:rPr>
          <w:rFonts w:cs="Times New Roman"/>
          <w:sz w:val="20"/>
          <w:szCs w:val="24"/>
        </w:rPr>
        <w:t>Fonte: Desenvolvido pelos autores</w:t>
      </w:r>
    </w:p>
    <w:p w:rsidR="00EA1996" w:rsidRPr="0074370C" w:rsidRDefault="00EA1996" w:rsidP="00EA1996">
      <w:pPr>
        <w:jc w:val="center"/>
        <w:rPr>
          <w:rFonts w:cs="Times New Roman"/>
          <w:sz w:val="20"/>
          <w:szCs w:val="24"/>
        </w:rPr>
      </w:pPr>
    </w:p>
    <w:p w:rsidR="00EA1996" w:rsidRPr="005A352D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Ativo c</w:t>
      </w:r>
      <w:r w:rsidRPr="005A352D">
        <w:rPr>
          <w:rFonts w:ascii="Times New Roman" w:hAnsi="Times New Roman" w:cs="Times New Roman"/>
          <w:b/>
          <w:sz w:val="24"/>
          <w:szCs w:val="24"/>
        </w:rPr>
        <w:t>irculante</w:t>
      </w:r>
    </w:p>
    <w:p w:rsidR="00EA1996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O Ativo Circulante da empresa apresentou aumento significativo do ano de 2012 para o ano de 2013, apresentando uma porcentagem de 12,56% de crescimento. Contudo, nos anos seguintes, a empresa apresentou uma queda considerável nos seus valores de ativo circulante. Entre 2016 e 2015, por exemplo, a empresa obteve uma queda de 4,45% em relação ao ativo circulante, devendo-se isso, principalmente, devido </w:t>
      </w:r>
      <w:proofErr w:type="gramStart"/>
      <w:r w:rsidRPr="00115771">
        <w:rPr>
          <w:rFonts w:cs="Times New Roman"/>
          <w:szCs w:val="24"/>
        </w:rPr>
        <w:t>a</w:t>
      </w:r>
      <w:proofErr w:type="gramEnd"/>
      <w:r w:rsidRPr="00115771">
        <w:rPr>
          <w:rFonts w:cs="Times New Roman"/>
          <w:szCs w:val="24"/>
        </w:rPr>
        <w:t xml:space="preserve"> diminuição significativa dos “ganhos não realizados em operações com derivativos” com uma queda de 82,90% do apurado entre os anos considerados.</w:t>
      </w:r>
    </w:p>
    <w:p w:rsidR="00EA1996" w:rsidRPr="0074370C" w:rsidRDefault="00EA1996" w:rsidP="00EA1996">
      <w:pPr>
        <w:jc w:val="center"/>
        <w:rPr>
          <w:rFonts w:cs="Times New Roman"/>
          <w:sz w:val="20"/>
          <w:szCs w:val="24"/>
        </w:rPr>
      </w:pPr>
      <w:r w:rsidRPr="0074370C">
        <w:rPr>
          <w:rFonts w:cs="Times New Roman"/>
          <w:sz w:val="20"/>
          <w:szCs w:val="24"/>
        </w:rPr>
        <w:t>Gráfico 4 – Análise Horizontal do Ativo Circulante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lastRenderedPageBreak/>
        <w:drawing>
          <wp:inline distT="0" distB="0" distL="0" distR="0" wp14:anchorId="031C47A5" wp14:editId="6EF549DF">
            <wp:extent cx="5400040" cy="2290445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74370C">
        <w:rPr>
          <w:rFonts w:cs="Times New Roman"/>
          <w:sz w:val="20"/>
          <w:szCs w:val="24"/>
        </w:rPr>
        <w:t>Fonte: Desenvolvido pelos autores</w:t>
      </w:r>
    </w:p>
    <w:p w:rsidR="00EA1996" w:rsidRPr="0074370C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B66">
        <w:rPr>
          <w:rFonts w:ascii="Times New Roman" w:hAnsi="Times New Roman" w:cs="Times New Roman"/>
          <w:b/>
          <w:sz w:val="24"/>
          <w:szCs w:val="24"/>
        </w:rPr>
        <w:t xml:space="preserve">Ativo realizável </w:t>
      </w:r>
      <w:proofErr w:type="gramStart"/>
      <w:r w:rsidRPr="00262B66">
        <w:rPr>
          <w:rFonts w:ascii="Times New Roman" w:hAnsi="Times New Roman" w:cs="Times New Roman"/>
          <w:b/>
          <w:sz w:val="24"/>
          <w:szCs w:val="24"/>
        </w:rPr>
        <w:t>a longo prazo</w:t>
      </w:r>
      <w:proofErr w:type="gramEnd"/>
    </w:p>
    <w:p w:rsidR="00EA1996" w:rsidRPr="00262B6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1DA" w:rsidRPr="00364C86" w:rsidRDefault="00EA1996" w:rsidP="00364C8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Entre os anos de 2014 e 2013 pode ser identificado um crescimento significativo em relação ao ativo realizável </w:t>
      </w:r>
      <w:proofErr w:type="gramStart"/>
      <w:r w:rsidRPr="00115771">
        <w:rPr>
          <w:rFonts w:cs="Times New Roman"/>
          <w:szCs w:val="24"/>
        </w:rPr>
        <w:t>a longo prazo</w:t>
      </w:r>
      <w:proofErr w:type="gramEnd"/>
      <w:r w:rsidRPr="00115771">
        <w:rPr>
          <w:rFonts w:cs="Times New Roman"/>
          <w:szCs w:val="24"/>
        </w:rPr>
        <w:t xml:space="preserve">, de cerca de 4,92%, principalmente devido aos “Impostos a recuperar”, que representaram um aumento de 32%. Nos anos seguintes, a empresa apresentou queda, sendo a mais significativa entre os anos de 2015 e 2014, </w:t>
      </w:r>
      <w:proofErr w:type="gramStart"/>
      <w:r w:rsidRPr="00115771">
        <w:rPr>
          <w:rFonts w:cs="Times New Roman"/>
          <w:szCs w:val="24"/>
        </w:rPr>
        <w:t>cerca de 10,92</w:t>
      </w:r>
      <w:proofErr w:type="gramEnd"/>
      <w:r w:rsidRPr="00115771">
        <w:rPr>
          <w:rFonts w:cs="Times New Roman"/>
          <w:szCs w:val="24"/>
        </w:rPr>
        <w:t>%.</w:t>
      </w:r>
    </w:p>
    <w:p w:rsidR="00EA1996" w:rsidRPr="0074370C" w:rsidRDefault="00EA1996" w:rsidP="00EA1996">
      <w:pPr>
        <w:jc w:val="center"/>
        <w:rPr>
          <w:rFonts w:cs="Times New Roman"/>
          <w:sz w:val="20"/>
          <w:szCs w:val="24"/>
        </w:rPr>
      </w:pPr>
      <w:r w:rsidRPr="0074370C">
        <w:rPr>
          <w:rFonts w:cs="Times New Roman"/>
          <w:sz w:val="20"/>
          <w:szCs w:val="24"/>
        </w:rPr>
        <w:t xml:space="preserve">Gráfico 5 – Análise Horizontal do Ativo realizável </w:t>
      </w:r>
      <w:proofErr w:type="gramStart"/>
      <w:r w:rsidRPr="0074370C">
        <w:rPr>
          <w:rFonts w:cs="Times New Roman"/>
          <w:sz w:val="20"/>
          <w:szCs w:val="24"/>
        </w:rPr>
        <w:t>a longo prazo</w:t>
      </w:r>
      <w:proofErr w:type="gramEnd"/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76801E07" wp14:editId="2C0CE316">
            <wp:extent cx="5334000" cy="2162175"/>
            <wp:effectExtent l="0" t="0" r="0" b="0"/>
            <wp:docPr id="4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74370C">
        <w:rPr>
          <w:rFonts w:cs="Times New Roman"/>
          <w:sz w:val="20"/>
          <w:szCs w:val="24"/>
        </w:rPr>
        <w:t>Fonte: Desenvolvido pelos autores</w:t>
      </w:r>
    </w:p>
    <w:p w:rsidR="00EA1996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Ativo p</w:t>
      </w:r>
      <w:r w:rsidRPr="00262B66">
        <w:rPr>
          <w:rFonts w:ascii="Times New Roman" w:hAnsi="Times New Roman" w:cs="Times New Roman"/>
          <w:b/>
          <w:sz w:val="24"/>
          <w:szCs w:val="24"/>
        </w:rPr>
        <w:t>ermanente</w:t>
      </w:r>
    </w:p>
    <w:p w:rsidR="00EA1996" w:rsidRDefault="00EA1996" w:rsidP="00EA1996">
      <w:pPr>
        <w:rPr>
          <w:rFonts w:cs="Times New Roman"/>
          <w:szCs w:val="24"/>
        </w:rPr>
      </w:pPr>
    </w:p>
    <w:p w:rsidR="00F121DA" w:rsidRPr="00364C86" w:rsidRDefault="00EA1996" w:rsidP="00364C8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>Entre os anos de 2013 e 2012 e 2014 e 2013 pôde ser identificado um crescimento significativo em relação ao ativo permanente, sendo, respectivamente, de 28,61% e 26,17%. Esse foi o principal fator que influenciou no aumento do ativo total nos anos de 2013 (R$ 3.186.110,69 - atualizado para ano base 2012) e 2014 (</w:t>
      </w:r>
      <w:proofErr w:type="gramStart"/>
      <w:r w:rsidRPr="00115771">
        <w:rPr>
          <w:rFonts w:cs="Times New Roman"/>
          <w:szCs w:val="24"/>
        </w:rPr>
        <w:t>R$ 3.337.175,03 - atualizado</w:t>
      </w:r>
      <w:proofErr w:type="gramEnd"/>
      <w:r w:rsidRPr="00115771">
        <w:rPr>
          <w:rFonts w:cs="Times New Roman"/>
          <w:szCs w:val="24"/>
        </w:rPr>
        <w:t xml:space="preserve"> para ano base 2012). Os outros anos apresentaram decréscimo de ativo permanente, como se pode ver no gráfico abaixo.</w:t>
      </w:r>
    </w:p>
    <w:p w:rsidR="00EA1996" w:rsidRPr="0074370C" w:rsidRDefault="00EA1996" w:rsidP="00EA1996">
      <w:pPr>
        <w:jc w:val="center"/>
        <w:rPr>
          <w:rFonts w:cs="Times New Roman"/>
          <w:sz w:val="20"/>
          <w:szCs w:val="24"/>
        </w:rPr>
      </w:pPr>
      <w:r w:rsidRPr="0074370C">
        <w:rPr>
          <w:rFonts w:cs="Times New Roman"/>
          <w:sz w:val="20"/>
          <w:szCs w:val="24"/>
        </w:rPr>
        <w:t>Gráfico 6 – Análise Horizontal do Ativo Permanente</w:t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34021716" wp14:editId="4F3C6FD2">
            <wp:extent cx="5429915" cy="2307265"/>
            <wp:effectExtent l="0" t="0" r="0" b="0"/>
            <wp:docPr id="7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1" w:name="_GoBack"/>
      <w:bookmarkEnd w:id="1"/>
      <w:r w:rsidRPr="00115771">
        <w:rPr>
          <w:rFonts w:cs="Times New Roman"/>
          <w:szCs w:val="24"/>
        </w:rPr>
        <w:br/>
      </w: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Passivo c</w:t>
      </w:r>
      <w:r w:rsidRPr="00262B66">
        <w:rPr>
          <w:rFonts w:ascii="Times New Roman" w:hAnsi="Times New Roman" w:cs="Times New Roman"/>
          <w:b/>
          <w:sz w:val="24"/>
          <w:szCs w:val="24"/>
        </w:rPr>
        <w:t>irculante</w:t>
      </w:r>
    </w:p>
    <w:p w:rsidR="00EA1996" w:rsidRDefault="00EA1996" w:rsidP="00EA1996">
      <w:pPr>
        <w:rPr>
          <w:rFonts w:cs="Times New Roman"/>
          <w:szCs w:val="24"/>
        </w:rPr>
      </w:pPr>
    </w:p>
    <w:p w:rsidR="00F121DA" w:rsidRPr="00364C86" w:rsidRDefault="00EA1996" w:rsidP="00364C8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O Passivo Circulante apresentou maior crescimento entre os anos de 2013 e 2012, de </w:t>
      </w:r>
      <w:proofErr w:type="gramStart"/>
      <w:r w:rsidRPr="00115771">
        <w:rPr>
          <w:rFonts w:cs="Times New Roman"/>
          <w:szCs w:val="24"/>
        </w:rPr>
        <w:t>cerca de 27,27</w:t>
      </w:r>
      <w:proofErr w:type="gramEnd"/>
      <w:r w:rsidRPr="00115771">
        <w:rPr>
          <w:rFonts w:cs="Times New Roman"/>
          <w:szCs w:val="24"/>
        </w:rPr>
        <w:t xml:space="preserve">%. Isso se deve principalmente pelo fato das “obrigações tributárias” terem aumentado 77,44% entre esses anos e “as provisões e outras obrigações” </w:t>
      </w:r>
      <w:proofErr w:type="gramStart"/>
      <w:r w:rsidRPr="00115771">
        <w:rPr>
          <w:rFonts w:cs="Times New Roman"/>
          <w:szCs w:val="24"/>
        </w:rPr>
        <w:t>aumentado</w:t>
      </w:r>
      <w:proofErr w:type="gramEnd"/>
      <w:r w:rsidRPr="00115771">
        <w:rPr>
          <w:rFonts w:cs="Times New Roman"/>
          <w:szCs w:val="24"/>
        </w:rPr>
        <w:t xml:space="preserve"> 40% entre os anos analisados. Segundo a análise horizontal, entre os anos de 2015 e 2014 também se visualizou crescimento de passivo circulante, dessa vez de </w:t>
      </w:r>
      <w:proofErr w:type="gramStart"/>
      <w:r w:rsidRPr="00115771">
        <w:rPr>
          <w:rFonts w:cs="Times New Roman"/>
          <w:szCs w:val="24"/>
        </w:rPr>
        <w:t>cerca de 19</w:t>
      </w:r>
      <w:proofErr w:type="gramEnd"/>
      <w:r w:rsidRPr="00115771">
        <w:rPr>
          <w:rFonts w:cs="Times New Roman"/>
          <w:szCs w:val="24"/>
        </w:rPr>
        <w:t xml:space="preserve">%.  A maior queda de passivo circulante identificada entre os anos analisados foi entre 2016 e 2015 e deveu-se, especialmente, pelo aspecto “Empréstimos e Financiamentos” que em diminuiu </w:t>
      </w:r>
      <w:proofErr w:type="gramStart"/>
      <w:r w:rsidRPr="00115771">
        <w:rPr>
          <w:rFonts w:cs="Times New Roman"/>
          <w:szCs w:val="24"/>
        </w:rPr>
        <w:t>cerca de 60,46</w:t>
      </w:r>
      <w:proofErr w:type="gramEnd"/>
      <w:r w:rsidRPr="00115771">
        <w:rPr>
          <w:rFonts w:cs="Times New Roman"/>
          <w:szCs w:val="24"/>
        </w:rPr>
        <w:t>%</w:t>
      </w:r>
      <w:r>
        <w:rPr>
          <w:rFonts w:cs="Times New Roman"/>
          <w:szCs w:val="24"/>
        </w:rPr>
        <w:t xml:space="preserve">. </w:t>
      </w:r>
    </w:p>
    <w:p w:rsidR="00EA1996" w:rsidRPr="00B21C12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sz w:val="20"/>
          <w:szCs w:val="24"/>
        </w:rPr>
        <w:lastRenderedPageBreak/>
        <w:t>Gráfico 7 – Análise Horizontal do Passivo Circulante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0D80436F" wp14:editId="0CA7AB61">
            <wp:extent cx="5391150" cy="2219325"/>
            <wp:effectExtent l="19050" t="0" r="19050" b="0"/>
            <wp:docPr id="8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Passivo exigível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longo p</w:t>
      </w:r>
      <w:r w:rsidRPr="00262B66">
        <w:rPr>
          <w:rFonts w:ascii="Times New Roman" w:hAnsi="Times New Roman" w:cs="Times New Roman"/>
          <w:b/>
          <w:sz w:val="24"/>
          <w:szCs w:val="24"/>
        </w:rPr>
        <w:t>razo</w:t>
      </w:r>
      <w:proofErr w:type="gramEnd"/>
    </w:p>
    <w:p w:rsidR="00EA1996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O crescimento do passivo exigível </w:t>
      </w:r>
      <w:proofErr w:type="gramStart"/>
      <w:r w:rsidRPr="00115771">
        <w:rPr>
          <w:rFonts w:cs="Times New Roman"/>
          <w:szCs w:val="24"/>
        </w:rPr>
        <w:t>a longo prazo</w:t>
      </w:r>
      <w:proofErr w:type="gramEnd"/>
      <w:r w:rsidRPr="00115771">
        <w:rPr>
          <w:rFonts w:cs="Times New Roman"/>
          <w:szCs w:val="24"/>
        </w:rPr>
        <w:t xml:space="preserve"> entre os anos de 2016 e 2015 foi bastante expressivo frente ao dos outros anos analisados especialmente pelo fato da conta “Plano de incentivo de longo prazo” ter apresentando um crescimento de 278,54% entre as datas avaliadas. A análise horizontal entre 2013 e 2012 também mostrou um crescimento forte, sendo esse cerca de 50% maior entre esses </w:t>
      </w:r>
      <w:proofErr w:type="gramStart"/>
      <w:r w:rsidRPr="00115771">
        <w:rPr>
          <w:rFonts w:cs="Times New Roman"/>
          <w:szCs w:val="24"/>
        </w:rPr>
        <w:t>2</w:t>
      </w:r>
      <w:proofErr w:type="gramEnd"/>
      <w:r w:rsidRPr="00115771">
        <w:rPr>
          <w:rFonts w:cs="Times New Roman"/>
          <w:szCs w:val="24"/>
        </w:rPr>
        <w:t xml:space="preserve"> anos. 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 xml:space="preserve">Gráfico 8 – Análise Horizontal do Passivo Exigível </w:t>
      </w:r>
      <w:proofErr w:type="gramStart"/>
      <w:r w:rsidRPr="00115771">
        <w:rPr>
          <w:rFonts w:cs="Times New Roman"/>
          <w:sz w:val="20"/>
          <w:szCs w:val="24"/>
        </w:rPr>
        <w:t>a Longo Prazo</w:t>
      </w:r>
      <w:proofErr w:type="gramEnd"/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74AB5B30" wp14:editId="6CD63FBD">
            <wp:extent cx="5400040" cy="2222204"/>
            <wp:effectExtent l="0" t="0" r="0" b="0"/>
            <wp:docPr id="9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Patrimônio l</w:t>
      </w:r>
      <w:r w:rsidRPr="00262B66">
        <w:rPr>
          <w:rFonts w:ascii="Times New Roman" w:hAnsi="Times New Roman" w:cs="Times New Roman"/>
          <w:b/>
          <w:sz w:val="24"/>
          <w:szCs w:val="24"/>
        </w:rPr>
        <w:t>íquido</w:t>
      </w:r>
    </w:p>
    <w:p w:rsidR="00EA1996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O Patrimônio Líquido apresentou considerável crescimento de 2012 a 2014. Contudo, como </w:t>
      </w:r>
      <w:proofErr w:type="gramStart"/>
      <w:r w:rsidRPr="00115771">
        <w:rPr>
          <w:rFonts w:cs="Times New Roman"/>
          <w:szCs w:val="24"/>
        </w:rPr>
        <w:t>pode-se</w:t>
      </w:r>
      <w:proofErr w:type="gramEnd"/>
      <w:r w:rsidRPr="00115771">
        <w:rPr>
          <w:rFonts w:cs="Times New Roman"/>
          <w:szCs w:val="24"/>
        </w:rPr>
        <w:t xml:space="preserve"> ver no gráfico abaixo, ele veio apresentando certa tendência de queda desde 2014, diminuindo consideravelmente entre 2015 e 2014, sendo essa queda cerca de 16,84%. 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Gráfico 9 – Análise Horizontal do Patrimônio Liquido</w:t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6687B5F9" wp14:editId="7F5D01EC">
            <wp:extent cx="5210175" cy="2133600"/>
            <wp:effectExtent l="0" t="0" r="9525" b="0"/>
            <wp:docPr id="11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Pr="00115771">
        <w:rPr>
          <w:rFonts w:cs="Times New Roman"/>
          <w:szCs w:val="24"/>
        </w:rPr>
        <w:br/>
      </w: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1"/>
          <w:numId w:val="9"/>
        </w:numPr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índices de liquidez e r</w:t>
      </w:r>
      <w:r w:rsidRPr="00262B6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entabilidade</w:t>
      </w:r>
    </w:p>
    <w:p w:rsidR="00EA1996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Foram calculados os três índices de liquidez, sendo eles: Liquidez corrente, liquidez seca, e liquidez geral, todos com os dados extraídos do Balanço Patrimonial publicado pela empresa dos anos de 2012 a 2016. Foram também analisados os índices de rentabilidades, com dados também extraídos do Balanço, bem como da DRE. A tabela abaixo resume os valores encontrados e, a seguir, </w:t>
      </w:r>
      <w:proofErr w:type="gramStart"/>
      <w:r w:rsidRPr="00115771">
        <w:rPr>
          <w:rFonts w:cs="Times New Roman"/>
          <w:szCs w:val="24"/>
        </w:rPr>
        <w:t>tem-se</w:t>
      </w:r>
      <w:proofErr w:type="gramEnd"/>
      <w:r w:rsidRPr="00115771">
        <w:rPr>
          <w:rFonts w:cs="Times New Roman"/>
          <w:szCs w:val="24"/>
        </w:rPr>
        <w:t xml:space="preserve"> as análises de cada indicador.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Tabela 4 – Resumo dos índices de Liquidez e Rentabilidade (2012 – 2016)</w:t>
      </w: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000"/>
        <w:gridCol w:w="1000"/>
        <w:gridCol w:w="1000"/>
        <w:gridCol w:w="1000"/>
        <w:gridCol w:w="1000"/>
      </w:tblGrid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Indicadores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2016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Liquidez Corrente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243,43%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215,30%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214,83%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168,66%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227,44%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lastRenderedPageBreak/>
              <w:t>Liquidez Seca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183,79%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168,15%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153,78%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119,14%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160,67%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Liquidez Geral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182,33%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151,52%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147,16%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128,20%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140,45%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Giro do 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109,71%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101,90%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101,66%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107,31%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107,20%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Margem líquida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9,33%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9,04%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7,72%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6,52%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8,84%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Retorno do Ativo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10,24%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9,21%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7,85%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6,99%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9,48%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Pay-back</w:t>
            </w:r>
            <w:proofErr w:type="spellEnd"/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 xml:space="preserve"> (anos)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10,55</w:t>
            </w:r>
          </w:p>
        </w:tc>
      </w:tr>
    </w:tbl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E920EF" w:rsidRDefault="00EA1996" w:rsidP="00EA1996">
      <w:pPr>
        <w:jc w:val="center"/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Liquidez c</w:t>
      </w:r>
      <w:r w:rsidRPr="00262B66">
        <w:rPr>
          <w:rFonts w:ascii="Times New Roman" w:hAnsi="Times New Roman" w:cs="Times New Roman"/>
          <w:b/>
          <w:sz w:val="24"/>
          <w:szCs w:val="24"/>
        </w:rPr>
        <w:t>orrente</w:t>
      </w:r>
    </w:p>
    <w:p w:rsidR="00EA1996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A empresa Alpargatas S.A possui índices de liquidez Corrente, para os anos de 2012 </w:t>
      </w:r>
      <w:proofErr w:type="gramStart"/>
      <w:r w:rsidRPr="00115771">
        <w:rPr>
          <w:rFonts w:cs="Times New Roman"/>
          <w:szCs w:val="24"/>
        </w:rPr>
        <w:t>à</w:t>
      </w:r>
      <w:proofErr w:type="gramEnd"/>
      <w:r w:rsidRPr="00115771">
        <w:rPr>
          <w:rFonts w:cs="Times New Roman"/>
          <w:szCs w:val="24"/>
        </w:rPr>
        <w:t xml:space="preserve"> 2016, acima de um, o que é algo positivo, pois revela que a empresa possui Ativos Circulantes maiores que Passivos Circulantes. Isso mostra que os investimentos que a empresa faz nos seus ativos são suficientes para cobrir suas dívidas de curto prazo, permitindo, ainda, uma folga de mais que o dobro do valor dos seus recursos de curto prazo, com exceção de 2015. Porém, ao longo dos anos, o índice apresentou consecutivas quedas, o que pode ter ocorrido devido ao aumento das obrigações de curto prazo da empresa, como empréstimos</w:t>
      </w:r>
      <w:proofErr w:type="gramStart"/>
      <w:r w:rsidRPr="00115771">
        <w:rPr>
          <w:rFonts w:cs="Times New Roman"/>
          <w:szCs w:val="24"/>
        </w:rPr>
        <w:t xml:space="preserve"> por exemplo</w:t>
      </w:r>
      <w:proofErr w:type="gramEnd"/>
      <w:r w:rsidRPr="00115771">
        <w:rPr>
          <w:rFonts w:cs="Times New Roman"/>
          <w:szCs w:val="24"/>
        </w:rPr>
        <w:t xml:space="preserve">, ou devido à redução nos investimentos de curto prazo. 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Gráfico 10 – Análise horizontal da Liquidez Corrente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3892D46C" wp14:editId="73EBF432">
            <wp:extent cx="5057775" cy="2000250"/>
            <wp:effectExtent l="0" t="0" r="9525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A1996" w:rsidRPr="00470CED" w:rsidRDefault="00EA1996" w:rsidP="00470CED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Liquidez s</w:t>
      </w:r>
      <w:r w:rsidRPr="00262B66">
        <w:rPr>
          <w:rFonts w:ascii="Times New Roman" w:hAnsi="Times New Roman" w:cs="Times New Roman"/>
          <w:b/>
          <w:sz w:val="24"/>
          <w:szCs w:val="24"/>
        </w:rPr>
        <w:t>eca</w:t>
      </w:r>
    </w:p>
    <w:p w:rsidR="00EA1996" w:rsidRPr="00262B6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A liquidez seca, tal como a liquidez corrente, também apresentou queda nos anos de 2012 </w:t>
      </w:r>
      <w:proofErr w:type="gramStart"/>
      <w:r w:rsidRPr="00115771">
        <w:rPr>
          <w:rFonts w:cs="Times New Roman"/>
          <w:szCs w:val="24"/>
        </w:rPr>
        <w:t>à</w:t>
      </w:r>
      <w:proofErr w:type="gramEnd"/>
      <w:r w:rsidRPr="00115771">
        <w:rPr>
          <w:rFonts w:cs="Times New Roman"/>
          <w:szCs w:val="24"/>
        </w:rPr>
        <w:t xml:space="preserve"> 2016. Tal situação pode ser devido a diversas circunstâncias, como a possibilidade de o cliente não pagar as duplicatas ou de o estoque não ter sido vendido, não sendo, desse modo, convertido em dinheiro. No entanto, seus valores, por serem acima de </w:t>
      </w:r>
      <w:proofErr w:type="gramStart"/>
      <w:r w:rsidRPr="00115771">
        <w:rPr>
          <w:rFonts w:cs="Times New Roman"/>
          <w:szCs w:val="24"/>
        </w:rPr>
        <w:t>1</w:t>
      </w:r>
      <w:proofErr w:type="gramEnd"/>
      <w:r w:rsidRPr="00115771">
        <w:rPr>
          <w:rFonts w:cs="Times New Roman"/>
          <w:szCs w:val="24"/>
        </w:rPr>
        <w:t xml:space="preserve"> (ou 100%), demonstram que a empresa está muito bem com relação a sua liquidez, ou seja, seu ativo liquido disponível para cobrir suas obrigações de curto prazo. Além disso, quando analisada em conjunto com a liquidez corrente, revela que a empresa possui uma situação financeira boa.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Gráfico 11 – Análise Horizontal da Liquidez Seca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2CE3E4A8" wp14:editId="3DC7C823">
            <wp:extent cx="5328000" cy="2200275"/>
            <wp:effectExtent l="19050" t="0" r="2505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244BF2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Liquidez g</w:t>
      </w:r>
      <w:r w:rsidRPr="00262B66">
        <w:rPr>
          <w:rFonts w:ascii="Times New Roman" w:hAnsi="Times New Roman" w:cs="Times New Roman"/>
          <w:b/>
          <w:sz w:val="24"/>
          <w:szCs w:val="24"/>
        </w:rPr>
        <w:t>eral</w:t>
      </w:r>
    </w:p>
    <w:p w:rsidR="00EA1996" w:rsidRPr="0074370C" w:rsidRDefault="00EA1996" w:rsidP="00EA1996">
      <w:pPr>
        <w:rPr>
          <w:rFonts w:cs="Times New Roman"/>
          <w:b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Possui comportamento similar a dos outros índices de liquidez, registrando quedas nos anos de 2012 </w:t>
      </w:r>
      <w:proofErr w:type="gramStart"/>
      <w:r w:rsidRPr="00115771">
        <w:rPr>
          <w:rFonts w:cs="Times New Roman"/>
          <w:szCs w:val="24"/>
        </w:rPr>
        <w:t>à</w:t>
      </w:r>
      <w:proofErr w:type="gramEnd"/>
      <w:r w:rsidRPr="00115771">
        <w:rPr>
          <w:rFonts w:cs="Times New Roman"/>
          <w:szCs w:val="24"/>
        </w:rPr>
        <w:t xml:space="preserve"> 2015, e subida no ano de 2016. Seu valor acima de 100% revela que a empresa possui ativo circulante e realizável </w:t>
      </w:r>
      <w:proofErr w:type="gramStart"/>
      <w:r w:rsidRPr="00115771">
        <w:rPr>
          <w:rFonts w:cs="Times New Roman"/>
          <w:szCs w:val="24"/>
        </w:rPr>
        <w:t>a longo prazo</w:t>
      </w:r>
      <w:proofErr w:type="gramEnd"/>
      <w:r w:rsidRPr="00115771">
        <w:rPr>
          <w:rFonts w:cs="Times New Roman"/>
          <w:szCs w:val="24"/>
        </w:rPr>
        <w:t xml:space="preserve"> suficiente para cobrir todas as obrigações da empresa, seja de longo e curto prazo, ou seja, cobrir todo o passivo exigível. Em outras palavras, a empresa não depende da geração futura de recursos para liquidar suas dívidas, possuindo uma boa saúde financeira de longo prazo.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lastRenderedPageBreak/>
        <w:t>Gráfico 12 – Análise Horizontal da Liquidez Geral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37364038" wp14:editId="374A6502">
            <wp:extent cx="5162550" cy="2133600"/>
            <wp:effectExtent l="0" t="0" r="0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noProof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Giro do a</w:t>
      </w:r>
      <w:r w:rsidRPr="00115771">
        <w:rPr>
          <w:rFonts w:ascii="Times New Roman" w:hAnsi="Times New Roman" w:cs="Times New Roman"/>
          <w:b/>
          <w:sz w:val="24"/>
          <w:szCs w:val="24"/>
        </w:rPr>
        <w:t>tivo</w:t>
      </w:r>
    </w:p>
    <w:p w:rsidR="00EA1996" w:rsidRPr="00115771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>Esse indicador teve uma queda significativa no ano de 2013, continuando estagnado no ano de 2014, reestabelecendo-se nos anos posteriores de 2015 e 2016. No entanto, apesar das sucessivas quedas, o índice continuou acima de 100%, com valores próximos da média do setor, segundo dados da Revista Exame “Melhores e Maiores”, edição de 2017. Isso significa que o volume das receitas deram retornos com valores acima de seu investimento, demonstrando um considerável grau da rentabilidade dos capitais investidos da Empresa. A queda nos anos de 2013 e 2014 pode ter ocorrido devido a diversos fatores, entre eles tem-se a retração do mercado, que passou a comprar menos produtos, a empresa pode ter perdido mercado para outros concorrentes, entre outros.</w:t>
      </w: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470CED" w:rsidRDefault="00470CED" w:rsidP="00EA1996">
      <w:pPr>
        <w:jc w:val="center"/>
        <w:rPr>
          <w:rFonts w:cs="Times New Roman"/>
          <w:sz w:val="20"/>
          <w:szCs w:val="24"/>
        </w:rPr>
      </w:pPr>
    </w:p>
    <w:p w:rsidR="00470CED" w:rsidRDefault="00470CED" w:rsidP="00EA1996">
      <w:pPr>
        <w:jc w:val="center"/>
        <w:rPr>
          <w:rFonts w:cs="Times New Roman"/>
          <w:sz w:val="20"/>
          <w:szCs w:val="24"/>
        </w:rPr>
      </w:pP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lastRenderedPageBreak/>
        <w:t>Gráfico 13 – Análise horizontal do Giro do Ativo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27117C1E" wp14:editId="64D35141">
            <wp:extent cx="5248275" cy="2085975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A1996" w:rsidRPr="00E920EF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Gráfico 14 – Comparação entre as Vendas Líquidas e o Ativo Total</w:t>
      </w:r>
    </w:p>
    <w:p w:rsidR="00EA1996" w:rsidRPr="00115771" w:rsidRDefault="00EA1996" w:rsidP="00EA1996">
      <w:pPr>
        <w:jc w:val="center"/>
        <w:rPr>
          <w:rFonts w:cs="Times New Roman"/>
          <w:noProof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7136DC0F" wp14:editId="60A51060">
            <wp:extent cx="5267325" cy="2476500"/>
            <wp:effectExtent l="0" t="0" r="0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Margem l</w:t>
      </w:r>
      <w:r w:rsidRPr="00115771">
        <w:rPr>
          <w:rFonts w:ascii="Times New Roman" w:hAnsi="Times New Roman" w:cs="Times New Roman"/>
          <w:b/>
          <w:sz w:val="24"/>
          <w:szCs w:val="24"/>
        </w:rPr>
        <w:t>íquida</w:t>
      </w:r>
    </w:p>
    <w:p w:rsidR="00EA1996" w:rsidRPr="0074370C" w:rsidRDefault="00EA1996" w:rsidP="00EA1996">
      <w:pPr>
        <w:rPr>
          <w:rFonts w:cs="Times New Roman"/>
          <w:b/>
          <w:szCs w:val="24"/>
        </w:rPr>
      </w:pPr>
    </w:p>
    <w:p w:rsidR="00EA1996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Sofreu sucessivas quedas nos anos de 2012 </w:t>
      </w:r>
      <w:proofErr w:type="gramStart"/>
      <w:r w:rsidRPr="00115771">
        <w:rPr>
          <w:rFonts w:cs="Times New Roman"/>
          <w:szCs w:val="24"/>
        </w:rPr>
        <w:t>à</w:t>
      </w:r>
      <w:proofErr w:type="gramEnd"/>
      <w:r w:rsidRPr="00115771">
        <w:rPr>
          <w:rFonts w:cs="Times New Roman"/>
          <w:szCs w:val="24"/>
        </w:rPr>
        <w:t xml:space="preserve"> 2015, com um aumento significativo em 2016. Porém, diferente do Giro do Ativo, cuja queda foi bastante acentuada, a margem líquida sofreu uma leve redução, o que pode significar que a empresa, apesar de ter reduzido o </w:t>
      </w:r>
      <w:r w:rsidRPr="00115771">
        <w:rPr>
          <w:rFonts w:cs="Times New Roman"/>
          <w:szCs w:val="24"/>
        </w:rPr>
        <w:lastRenderedPageBreak/>
        <w:t>volume de vendas, conseguiu manter um bom lucro com um possível aumento do preço do seu produto.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Gráfico 15 – Análise horizontal da Margem Líquida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233A8744" wp14:editId="1763F267">
            <wp:extent cx="5328000" cy="2200275"/>
            <wp:effectExtent l="19050" t="0" r="25050" b="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b/>
          <w:szCs w:val="24"/>
        </w:rPr>
      </w:pPr>
    </w:p>
    <w:p w:rsidR="00EA1996" w:rsidRPr="00115771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Retorno do a</w:t>
      </w:r>
      <w:r w:rsidRPr="00115771">
        <w:rPr>
          <w:rFonts w:ascii="Times New Roman" w:hAnsi="Times New Roman" w:cs="Times New Roman"/>
          <w:b/>
          <w:sz w:val="24"/>
          <w:szCs w:val="24"/>
        </w:rPr>
        <w:t>tivo</w:t>
      </w:r>
    </w:p>
    <w:p w:rsidR="00EA1996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Possui um comportamento similar à margem líquida durante o período estudado. Os números indicam que a empresa possui uma alta capacidade de se capitalizar, ou seja, repor todo o ativo investido apenas com o lucro que obtém. Analisado em conjunto com o </w:t>
      </w:r>
      <w:proofErr w:type="spellStart"/>
      <w:r w:rsidRPr="00115771">
        <w:rPr>
          <w:rFonts w:cs="Times New Roman"/>
          <w:i/>
          <w:szCs w:val="24"/>
        </w:rPr>
        <w:t>Payback</w:t>
      </w:r>
      <w:proofErr w:type="spellEnd"/>
      <w:r w:rsidRPr="00115771">
        <w:rPr>
          <w:rFonts w:cs="Times New Roman"/>
          <w:szCs w:val="24"/>
        </w:rPr>
        <w:t xml:space="preserve"> da empresa, o tempo que ela levaria para repor o investimento do ativo é em média de 11,6 anos, considerado bom para a média do setor.</w:t>
      </w: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F121DA" w:rsidRDefault="00F121DA" w:rsidP="00EA1996">
      <w:pPr>
        <w:jc w:val="center"/>
        <w:rPr>
          <w:rFonts w:cs="Times New Roman"/>
          <w:sz w:val="20"/>
          <w:szCs w:val="24"/>
        </w:rPr>
      </w:pP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sz w:val="20"/>
          <w:szCs w:val="24"/>
        </w:rPr>
        <w:lastRenderedPageBreak/>
        <w:t>Gráfico 16 – Análise Horizontal do Retorno do Ativo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464B99A9" wp14:editId="5D52C694">
            <wp:extent cx="5328285" cy="2199600"/>
            <wp:effectExtent l="19050" t="0" r="24765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Gráfico 17 – Comparação entre o Lucro Líquido e o Ativo Total</w:t>
      </w:r>
    </w:p>
    <w:p w:rsidR="00EA1996" w:rsidRPr="00115771" w:rsidRDefault="00EA1996" w:rsidP="00EA1996">
      <w:pPr>
        <w:jc w:val="center"/>
        <w:rPr>
          <w:rFonts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drawing>
          <wp:inline distT="0" distB="0" distL="0" distR="0" wp14:anchorId="22FBD116" wp14:editId="3190FF34">
            <wp:extent cx="5497200" cy="3154045"/>
            <wp:effectExtent l="19050" t="0" r="27300" b="8255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1"/>
          <w:numId w:val="9"/>
        </w:numPr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dos índices de e</w:t>
      </w:r>
      <w:r w:rsidRPr="001157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ndividamento</w:t>
      </w:r>
    </w:p>
    <w:p w:rsidR="00EA1996" w:rsidRPr="00E920EF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lastRenderedPageBreak/>
        <w:t xml:space="preserve">Os índices de Endividamento têm como principal finalidade mostrar o nível de comprometimentos do capital próprio de uma empresa, com o capital de terceiros. Esses índices mostram como a companhia vem financiando seu ativo, ou com recursos próprios (patrimônio líquido) ou com capital de terceiros (passivo corrente e exigível </w:t>
      </w:r>
      <w:proofErr w:type="gramStart"/>
      <w:r w:rsidRPr="00115771">
        <w:rPr>
          <w:rFonts w:cs="Times New Roman"/>
          <w:szCs w:val="24"/>
        </w:rPr>
        <w:t>a longo prazo</w:t>
      </w:r>
      <w:proofErr w:type="gramEnd"/>
      <w:r w:rsidRPr="00115771">
        <w:rPr>
          <w:rFonts w:cs="Times New Roman"/>
          <w:szCs w:val="24"/>
        </w:rPr>
        <w:t>).</w:t>
      </w: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A partir disso, para uma melhor análise dos indicadores da Companhia nos últimos cinco anos (2012 – 2016), foram calculados, também, o Endividamento Geral (EG) e a Composição do Endividamento (CE). Os dados utilizados foram retirados do Balanço e da DRE, retirados do próprio site da Empresa Alpargatas S.A. </w:t>
      </w:r>
    </w:p>
    <w:p w:rsidR="00EA1996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A tabela abaixo resume os valores encontrados e, a seguir, </w:t>
      </w:r>
      <w:proofErr w:type="gramStart"/>
      <w:r w:rsidRPr="00115771">
        <w:rPr>
          <w:rFonts w:cs="Times New Roman"/>
          <w:szCs w:val="24"/>
        </w:rPr>
        <w:t>tem-se</w:t>
      </w:r>
      <w:proofErr w:type="gramEnd"/>
      <w:r w:rsidRPr="00115771">
        <w:rPr>
          <w:rFonts w:cs="Times New Roman"/>
          <w:szCs w:val="24"/>
        </w:rPr>
        <w:t xml:space="preserve"> as análises de cada indicador.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Tabela 5 – Resumo dos índices de Endividamento (2012 – 2016)</w:t>
      </w: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960"/>
        <w:gridCol w:w="960"/>
        <w:gridCol w:w="960"/>
        <w:gridCol w:w="960"/>
        <w:gridCol w:w="960"/>
      </w:tblGrid>
      <w:tr w:rsidR="00EA1996" w:rsidRPr="00115771" w:rsidTr="00397DE6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Indicadores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2016</w:t>
            </w:r>
          </w:p>
        </w:tc>
      </w:tr>
      <w:tr w:rsidR="00EA1996" w:rsidRPr="00115771" w:rsidTr="00397DE6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Endividamento Geral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39,40%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45,44%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42,45%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48,68%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45,38%</w:t>
            </w:r>
          </w:p>
        </w:tc>
      </w:tr>
      <w:tr w:rsidR="00EA1996" w:rsidRPr="00115771" w:rsidTr="00397DE6">
        <w:trPr>
          <w:trHeight w:val="42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Composição do Endividamento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69,96%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66,42%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64,25%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71,47%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57,95%</w:t>
            </w:r>
          </w:p>
        </w:tc>
      </w:tr>
      <w:tr w:rsidR="00EA1996" w:rsidRPr="00115771" w:rsidTr="00397DE6">
        <w:trPr>
          <w:trHeight w:val="57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Imobilização do Patrimônio Líquido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46,47%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57,10%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65,21%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73,25%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EA1996" w:rsidRPr="00115771" w:rsidRDefault="00EA1996" w:rsidP="00397DE6">
            <w:pPr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 w:rsidRPr="00115771">
              <w:rPr>
                <w:rFonts w:eastAsia="Times New Roman" w:cs="Times New Roman"/>
                <w:color w:val="000000"/>
                <w:szCs w:val="24"/>
                <w:lang w:eastAsia="pt-BR"/>
              </w:rPr>
              <w:t>66,39%</w:t>
            </w:r>
          </w:p>
        </w:tc>
      </w:tr>
    </w:tbl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Endividamento g</w:t>
      </w:r>
      <w:r w:rsidRPr="00115771">
        <w:rPr>
          <w:rFonts w:ascii="Times New Roman" w:hAnsi="Times New Roman" w:cs="Times New Roman"/>
          <w:b/>
          <w:sz w:val="24"/>
          <w:szCs w:val="24"/>
        </w:rPr>
        <w:t>eral (EG)</w:t>
      </w:r>
    </w:p>
    <w:p w:rsidR="00EA1996" w:rsidRPr="00D656FA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eastAsiaTheme="minorEastAsia" w:cs="Times New Roman"/>
          <w:szCs w:val="24"/>
        </w:rPr>
        <w:t xml:space="preserve">No gráfico abaixo é possível ver a evolução do endividamento da empresa ao longo dos últimos cinco anos (2012 – 2016). É possível perceber que na empresa Alpargatas S.A. o índice de endividamento geral, durante o período avaliado, ficou em torno dos 45%, variando um pouco para mais ou para menos. A partir disso percebe-se que a empresa financia aproximadamente 45% do seu ativo com capital de terceiros. Esse índice é bastante utilizado para avaliar o risco do negócio. Para a empresa o endividamento pode permitir um maior ganho, mas aliado a isso </w:t>
      </w:r>
      <w:proofErr w:type="gramStart"/>
      <w:r w:rsidRPr="00115771">
        <w:rPr>
          <w:rFonts w:eastAsiaTheme="minorEastAsia" w:cs="Times New Roman"/>
          <w:szCs w:val="24"/>
        </w:rPr>
        <w:t>encontra-se</w:t>
      </w:r>
      <w:proofErr w:type="gramEnd"/>
      <w:r w:rsidRPr="00115771">
        <w:rPr>
          <w:rFonts w:eastAsiaTheme="minorEastAsia" w:cs="Times New Roman"/>
          <w:szCs w:val="24"/>
        </w:rPr>
        <w:t xml:space="preserve"> um maior risco. </w:t>
      </w:r>
      <w:r w:rsidRPr="00115771">
        <w:rPr>
          <w:rFonts w:cs="Times New Roman"/>
          <w:szCs w:val="24"/>
        </w:rPr>
        <w:t>Do ponto de vista da obtenção de lucro, pode ser vantajoso para a empresa trabalhar com Capitais de Terceiros, se a remuneração paga a esses capitais for menor do que o lucro conseguido com a sua aplicação nos negócios.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lastRenderedPageBreak/>
        <w:t>Gráfico 18 – Análise horizontal do Endividamento Geral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noProof/>
          <w:sz w:val="20"/>
          <w:szCs w:val="24"/>
          <w:lang w:eastAsia="pt-BR"/>
        </w:rPr>
        <w:drawing>
          <wp:inline distT="0" distB="0" distL="0" distR="0" wp14:anchorId="767F82DC" wp14:editId="14CC36B3">
            <wp:extent cx="5328000" cy="2200275"/>
            <wp:effectExtent l="0" t="0" r="0" b="0"/>
            <wp:docPr id="23" name="Gráfico 23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53A2D9C3-C41A-4121-B1FA-C64BA1F94E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pStyle w:val="PargrafodaLista"/>
        <w:numPr>
          <w:ilvl w:val="2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771">
        <w:rPr>
          <w:rFonts w:ascii="Times New Roman" w:hAnsi="Times New Roman" w:cs="Times New Roman"/>
          <w:b/>
          <w:sz w:val="24"/>
          <w:szCs w:val="24"/>
        </w:rPr>
        <w:t>Composição de endividamento (CE)</w:t>
      </w:r>
    </w:p>
    <w:p w:rsidR="00EA1996" w:rsidRPr="00B21C12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1DA" w:rsidRPr="00364C86" w:rsidRDefault="00EA1996" w:rsidP="00364C86">
      <w:pPr>
        <w:rPr>
          <w:rFonts w:eastAsiaTheme="minorEastAsia" w:cs="Times New Roman"/>
          <w:szCs w:val="24"/>
        </w:rPr>
      </w:pPr>
      <w:r w:rsidRPr="00115771">
        <w:rPr>
          <w:rFonts w:eastAsiaTheme="minorEastAsia" w:cs="Times New Roman"/>
          <w:szCs w:val="24"/>
        </w:rPr>
        <w:t xml:space="preserve">A partir do gráfico abaixo, percebe-se que o ano de 2016 foi o com o menor endividamento </w:t>
      </w:r>
      <w:proofErr w:type="gramStart"/>
      <w:r w:rsidRPr="00115771">
        <w:rPr>
          <w:rFonts w:eastAsiaTheme="minorEastAsia" w:cs="Times New Roman"/>
          <w:szCs w:val="24"/>
        </w:rPr>
        <w:t>a curto prazo</w:t>
      </w:r>
      <w:proofErr w:type="gramEnd"/>
      <w:r w:rsidRPr="00115771">
        <w:rPr>
          <w:rFonts w:eastAsiaTheme="minorEastAsia" w:cs="Times New Roman"/>
          <w:szCs w:val="24"/>
        </w:rPr>
        <w:t xml:space="preserve"> (57,95%). Entretanto, mesmo ele sendo o menor o índice de todos os anos, ainda corresponde a uma porcentagem elevada. Esse tipo de política torna-se arriscada, visto que segundo Marion (2009), “</w:t>
      </w:r>
      <w:r w:rsidRPr="00115771">
        <w:rPr>
          <w:rFonts w:cs="Times New Roman"/>
          <w:szCs w:val="24"/>
        </w:rPr>
        <w:t>Se a composição do endividamento apresentar significativa concentração no Passivo Circulante (curto Prazo), a empresa poderá ter reais dificuldades num momento de reversão de mercado (o que não aconteceria se as dividas estivessem concentradas no Longo Prazo)</w:t>
      </w:r>
      <w:r w:rsidRPr="00115771">
        <w:rPr>
          <w:rFonts w:eastAsiaTheme="minorEastAsia" w:cs="Times New Roman"/>
          <w:szCs w:val="24"/>
        </w:rPr>
        <w:t xml:space="preserve">”. Na maioria das vezes é mais favorável uma maior participação de dívidas </w:t>
      </w:r>
      <w:proofErr w:type="gramStart"/>
      <w:r w:rsidRPr="00115771">
        <w:rPr>
          <w:rFonts w:eastAsiaTheme="minorEastAsia" w:cs="Times New Roman"/>
          <w:szCs w:val="24"/>
        </w:rPr>
        <w:t>a longo prazo</w:t>
      </w:r>
      <w:proofErr w:type="gramEnd"/>
      <w:r w:rsidRPr="00115771">
        <w:rPr>
          <w:rFonts w:eastAsiaTheme="minorEastAsia" w:cs="Times New Roman"/>
          <w:szCs w:val="24"/>
        </w:rPr>
        <w:t>, propiciando à empresa tempo maior para gerar recursos que saldarão os compromissos, ou mesmo, renegociá-los.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Gráfico 19 – Análise horizontal da Composição do Endividamento</w:t>
      </w:r>
    </w:p>
    <w:p w:rsidR="00EA1996" w:rsidRPr="00115771" w:rsidRDefault="00EA1996" w:rsidP="00EA1996">
      <w:pPr>
        <w:jc w:val="center"/>
        <w:rPr>
          <w:rFonts w:eastAsiaTheme="minorEastAsia" w:cs="Times New Roman"/>
          <w:szCs w:val="24"/>
        </w:rPr>
      </w:pPr>
      <w:r w:rsidRPr="00115771">
        <w:rPr>
          <w:rFonts w:cs="Times New Roman"/>
          <w:noProof/>
          <w:szCs w:val="24"/>
          <w:lang w:eastAsia="pt-BR"/>
        </w:rPr>
        <w:lastRenderedPageBreak/>
        <w:drawing>
          <wp:inline distT="0" distB="0" distL="0" distR="0" wp14:anchorId="7E58672B" wp14:editId="207AD93B">
            <wp:extent cx="5328000" cy="2200275"/>
            <wp:effectExtent l="19050" t="0" r="25050" b="0"/>
            <wp:docPr id="21" name="Gráfico 21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w15="http://schemas.microsoft.com/office/word/2012/wordml" id="{7250B029-B041-4706-99DA-EDEC95F349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Desenvolvido pelos autores</w:t>
      </w: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</w:p>
    <w:p w:rsidR="00EA1996" w:rsidRDefault="00EA1996" w:rsidP="00EA1996">
      <w:pPr>
        <w:pStyle w:val="PargrafodaLista"/>
        <w:numPr>
          <w:ilvl w:val="1"/>
          <w:numId w:val="6"/>
        </w:numPr>
        <w:spacing w:after="12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1577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Análise da Demonstração de Resultado do Exercício</w:t>
      </w:r>
    </w:p>
    <w:p w:rsidR="00EA1996" w:rsidRPr="00115771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1577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EA1996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A partir da análise dos dados referentes </w:t>
      </w:r>
      <w:proofErr w:type="gramStart"/>
      <w:r w:rsidRPr="00115771">
        <w:rPr>
          <w:rFonts w:cs="Times New Roman"/>
          <w:szCs w:val="24"/>
        </w:rPr>
        <w:t>a</w:t>
      </w:r>
      <w:proofErr w:type="gramEnd"/>
      <w:r w:rsidRPr="00115771">
        <w:rPr>
          <w:rFonts w:cs="Times New Roman"/>
          <w:szCs w:val="24"/>
        </w:rPr>
        <w:t xml:space="preserve"> DRE da empresa Alpargatas S.A. pode-se perceber um decréscimo de 6,34% na receita operacional líquida, a qual corresponde o que a empresa efetivamente recebe pelas vendas de seus produtos. Isso pode ser justificado por uma</w:t>
      </w:r>
      <w:r>
        <w:rPr>
          <w:rFonts w:cs="Times New Roman"/>
          <w:szCs w:val="24"/>
        </w:rPr>
        <w:t xml:space="preserve"> </w:t>
      </w:r>
      <w:r w:rsidRPr="00115771">
        <w:rPr>
          <w:rFonts w:cs="Times New Roman"/>
          <w:szCs w:val="24"/>
        </w:rPr>
        <w:t xml:space="preserve">desaceleração do consumo, a qual vem ocorrendo desde 2014. Além disso, é possível observar uma redução de 2,64% do lucro bruto, o que se justifica devido </w:t>
      </w:r>
      <w:proofErr w:type="gramStart"/>
      <w:r w:rsidRPr="00115771">
        <w:rPr>
          <w:rFonts w:cs="Times New Roman"/>
          <w:szCs w:val="24"/>
        </w:rPr>
        <w:t>a</w:t>
      </w:r>
      <w:proofErr w:type="gramEnd"/>
      <w:r w:rsidRPr="00115771">
        <w:rPr>
          <w:rFonts w:cs="Times New Roman"/>
          <w:szCs w:val="24"/>
        </w:rPr>
        <w:t xml:space="preserve"> redução da receita operacional. Entretanto, ao mesmo tempo em que acontecia essa redução do lucro bruto, pôde-se</w:t>
      </w:r>
      <w:r>
        <w:rPr>
          <w:rFonts w:cs="Times New Roman"/>
          <w:szCs w:val="24"/>
        </w:rPr>
        <w:t xml:space="preserve"> observar uma redução de 8,89% das despesas operacionais.</w:t>
      </w:r>
    </w:p>
    <w:p w:rsidR="00EA1996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rPr>
          <w:rFonts w:cs="Times New Roman"/>
          <w:szCs w:val="24"/>
        </w:rPr>
      </w:pPr>
    </w:p>
    <w:p w:rsidR="00EA1996" w:rsidRDefault="00EA1996" w:rsidP="00EA1996">
      <w:pPr>
        <w:rPr>
          <w:rFonts w:cs="Times New Roman"/>
          <w:szCs w:val="24"/>
        </w:rPr>
      </w:pPr>
    </w:p>
    <w:p w:rsidR="000A162B" w:rsidRDefault="000A162B" w:rsidP="00EA1996">
      <w:pPr>
        <w:rPr>
          <w:rFonts w:cs="Times New Roman"/>
          <w:sz w:val="20"/>
          <w:szCs w:val="24"/>
        </w:rPr>
      </w:pPr>
    </w:p>
    <w:p w:rsidR="000A162B" w:rsidRDefault="000A162B" w:rsidP="000A162B">
      <w:pPr>
        <w:jc w:val="center"/>
        <w:rPr>
          <w:rFonts w:cs="Times New Roman"/>
          <w:sz w:val="20"/>
          <w:szCs w:val="24"/>
        </w:rPr>
      </w:pPr>
      <w:r>
        <w:rPr>
          <w:rFonts w:cs="Times New Roman"/>
          <w:noProof/>
          <w:szCs w:val="24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D2BE837" wp14:editId="18788669">
            <wp:simplePos x="0" y="0"/>
            <wp:positionH relativeFrom="page">
              <wp:posOffset>-200025</wp:posOffset>
            </wp:positionH>
            <wp:positionV relativeFrom="paragraph">
              <wp:posOffset>1828165</wp:posOffset>
            </wp:positionV>
            <wp:extent cx="7962900" cy="4956175"/>
            <wp:effectExtent l="0" t="1588" r="0" b="0"/>
            <wp:wrapTopAndBottom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62900" cy="49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sz w:val="20"/>
          <w:szCs w:val="24"/>
        </w:rPr>
        <w:t>T</w:t>
      </w:r>
      <w:r w:rsidRPr="00115771">
        <w:rPr>
          <w:rFonts w:cs="Times New Roman"/>
          <w:sz w:val="20"/>
          <w:szCs w:val="24"/>
        </w:rPr>
        <w:t xml:space="preserve">abela 5 </w:t>
      </w:r>
      <w:r w:rsidRPr="00115771">
        <w:rPr>
          <w:rFonts w:cs="Times New Roman"/>
          <w:sz w:val="20"/>
          <w:szCs w:val="24"/>
        </w:rPr>
        <w:t>- Demonstração</w:t>
      </w:r>
      <w:r w:rsidRPr="00115771">
        <w:rPr>
          <w:rFonts w:cs="Times New Roman"/>
          <w:sz w:val="20"/>
          <w:szCs w:val="24"/>
        </w:rPr>
        <w:t xml:space="preserve"> do Resultado do Exercício (DRE) ajustado para 2012</w:t>
      </w:r>
    </w:p>
    <w:p w:rsidR="00EA1996" w:rsidRDefault="00EA1996" w:rsidP="000A162B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lastRenderedPageBreak/>
        <w:t>Fonte: Desenvolvido pelos autores</w:t>
      </w:r>
    </w:p>
    <w:p w:rsidR="00EA1996" w:rsidRPr="00115771" w:rsidRDefault="00EA1996" w:rsidP="00EA1996">
      <w:pPr>
        <w:rPr>
          <w:rFonts w:cs="Times New Roman"/>
          <w:szCs w:val="24"/>
        </w:rPr>
      </w:pP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Entre 2015 e 2016 existiu um aumento de 20,64% no lucro operacional antes do resultado financeiro. Isso se justifica devido </w:t>
      </w:r>
      <w:r w:rsidR="000A162B" w:rsidRPr="00115771">
        <w:rPr>
          <w:rFonts w:cs="Times New Roman"/>
          <w:szCs w:val="24"/>
        </w:rPr>
        <w:t>às</w:t>
      </w:r>
      <w:r w:rsidRPr="00115771">
        <w:rPr>
          <w:rFonts w:cs="Times New Roman"/>
          <w:szCs w:val="24"/>
        </w:rPr>
        <w:t xml:space="preserve"> reduções nas despesas com vendas, despesas gerais </w:t>
      </w:r>
      <w:proofErr w:type="gramStart"/>
      <w:r w:rsidRPr="00115771">
        <w:rPr>
          <w:rFonts w:cs="Times New Roman"/>
          <w:szCs w:val="24"/>
        </w:rPr>
        <w:t>e administrativas e honorários de administradores</w:t>
      </w:r>
      <w:proofErr w:type="gramEnd"/>
      <w:r w:rsidRPr="00115771">
        <w:rPr>
          <w:rFonts w:cs="Times New Roman"/>
          <w:szCs w:val="24"/>
        </w:rPr>
        <w:t>, os quais sendo somados geraram um considerável aumento no lucro operacional antes do resultado financeiro.</w:t>
      </w:r>
    </w:p>
    <w:p w:rsidR="00EA1996" w:rsidRPr="00115771" w:rsidRDefault="00EA1996" w:rsidP="00EA1996">
      <w:pPr>
        <w:rPr>
          <w:rFonts w:cs="Times New Roman"/>
          <w:szCs w:val="24"/>
        </w:rPr>
      </w:pPr>
      <w:r w:rsidRPr="00115771">
        <w:rPr>
          <w:rFonts w:cs="Times New Roman"/>
          <w:szCs w:val="24"/>
        </w:rPr>
        <w:t xml:space="preserve">Por último, acrescenta-se que entre os anos de 2015 e 2016 ocorreu um aumento de 27,04% do lucro líquido do exercício. Esse dado é de grande importância para a empresa, pois mostra que mesmo em um ano de grande crise para o Brasil e com a considerável redução da receita operacional líquida, a companhia ainda foi capaz de aumentar bastante o seu lucro líquido. </w:t>
      </w: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</w:p>
    <w:p w:rsidR="00EA1996" w:rsidRPr="00115771" w:rsidRDefault="00EA1996" w:rsidP="00EA1996">
      <w:pPr>
        <w:pStyle w:val="PargrafodaLista"/>
        <w:numPr>
          <w:ilvl w:val="0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497168999"/>
      <w:bookmarkStart w:id="3" w:name="_Toc497169437"/>
      <w:r w:rsidRPr="00115771">
        <w:rPr>
          <w:rFonts w:ascii="Times New Roman" w:hAnsi="Times New Roman" w:cs="Times New Roman"/>
          <w:b/>
          <w:sz w:val="24"/>
          <w:szCs w:val="24"/>
        </w:rPr>
        <w:t>Comparação dos índices da empresa com o mercado</w:t>
      </w:r>
      <w:bookmarkEnd w:id="2"/>
      <w:bookmarkEnd w:id="3"/>
    </w:p>
    <w:p w:rsidR="00EA1996" w:rsidRDefault="00EA1996" w:rsidP="00EA1996">
      <w:pPr>
        <w:pStyle w:val="PargrafodaLista"/>
        <w:numPr>
          <w:ilvl w:val="1"/>
          <w:numId w:val="9"/>
        </w:numPr>
        <w:spacing w:after="12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Vendas l</w:t>
      </w:r>
      <w:r w:rsidRPr="00115771">
        <w:rPr>
          <w:rFonts w:ascii="Times New Roman" w:eastAsiaTheme="minorEastAsia" w:hAnsi="Times New Roman" w:cs="Times New Roman"/>
          <w:b/>
          <w:sz w:val="24"/>
          <w:szCs w:val="24"/>
        </w:rPr>
        <w:t xml:space="preserve">íquidas e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Pr="00115771">
        <w:rPr>
          <w:rFonts w:ascii="Times New Roman" w:eastAsiaTheme="minorEastAsia" w:hAnsi="Times New Roman" w:cs="Times New Roman"/>
          <w:b/>
          <w:sz w:val="24"/>
          <w:szCs w:val="24"/>
        </w:rPr>
        <w:t>rescimento</w:t>
      </w:r>
    </w:p>
    <w:p w:rsidR="00EA1996" w:rsidRPr="0074370C" w:rsidRDefault="00EA1996" w:rsidP="00EA1996">
      <w:pPr>
        <w:rPr>
          <w:rFonts w:eastAsiaTheme="minorEastAsia" w:cs="Times New Roman"/>
          <w:b/>
          <w:szCs w:val="24"/>
        </w:rPr>
      </w:pPr>
    </w:p>
    <w:p w:rsidR="00EA1996" w:rsidRPr="00115771" w:rsidRDefault="00EA1996" w:rsidP="00EA1996">
      <w:pPr>
        <w:pStyle w:val="Normal1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71">
        <w:rPr>
          <w:rFonts w:ascii="Times New Roman" w:hAnsi="Times New Roman" w:cs="Times New Roman"/>
          <w:sz w:val="24"/>
          <w:szCs w:val="24"/>
        </w:rPr>
        <w:t>A Alpargatas é considerada uma das maiores empresas brasileiras do ramo de calçados, lançando peças que são vendidas em todo Brasil e mundo. No ano de 2017, a empresa foi considerada pela revista Exame “Maiores e Melhores”, a maior empresa do Brasil do setor têxtil em relação às vendas líquidas anuais. A empresa teve vendas líquidas de 2768,6 milhões de reais, ficando a segunda colocada (Grendene) com mais de 700 milhões de reais de diferença para a primeira colocada.</w:t>
      </w:r>
    </w:p>
    <w:p w:rsidR="00EA1996" w:rsidRPr="00115771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Figura 1: Classificação das empresas por vendas líquidas – em US$ milhões</w:t>
      </w:r>
    </w:p>
    <w:p w:rsidR="00EA1996" w:rsidRPr="00115771" w:rsidRDefault="00EA1996" w:rsidP="00EA1996">
      <w:pPr>
        <w:pStyle w:val="Normal1"/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2DF68" wp14:editId="42216C2D">
            <wp:extent cx="5475514" cy="1066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/>
                    <a:srcRect l="6220" t="34981" r="9234" b="35718"/>
                    <a:stretch/>
                  </pic:blipFill>
                  <pic:spPr bwMode="auto">
                    <a:xfrm>
                      <a:off x="0" y="0"/>
                      <a:ext cx="5483376" cy="1068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996" w:rsidRDefault="00EA1996" w:rsidP="00EA1996">
      <w:pPr>
        <w:jc w:val="center"/>
        <w:rPr>
          <w:rFonts w:cs="Times New Roman"/>
          <w:sz w:val="20"/>
          <w:szCs w:val="24"/>
        </w:rPr>
      </w:pPr>
      <w:r w:rsidRPr="00115771">
        <w:rPr>
          <w:rFonts w:cs="Times New Roman"/>
          <w:sz w:val="20"/>
          <w:szCs w:val="24"/>
        </w:rPr>
        <w:t>Fonte: Revista Exame “Maiores e Melhores” 2016.</w:t>
      </w:r>
    </w:p>
    <w:p w:rsidR="00EA1996" w:rsidRPr="00115771" w:rsidRDefault="00EA1996" w:rsidP="00EA1996">
      <w:pPr>
        <w:rPr>
          <w:rFonts w:cs="Times New Roman"/>
          <w:sz w:val="20"/>
          <w:szCs w:val="24"/>
        </w:rPr>
      </w:pPr>
    </w:p>
    <w:p w:rsidR="00EA1996" w:rsidRDefault="00EA1996" w:rsidP="00EA1996">
      <w:pPr>
        <w:rPr>
          <w:rFonts w:eastAsiaTheme="minorEastAsia" w:cs="Times New Roman"/>
          <w:szCs w:val="24"/>
        </w:rPr>
      </w:pPr>
      <w:r w:rsidRPr="00115771">
        <w:rPr>
          <w:rFonts w:eastAsiaTheme="minorEastAsia" w:cs="Times New Roman"/>
          <w:szCs w:val="24"/>
        </w:rPr>
        <w:lastRenderedPageBreak/>
        <w:t xml:space="preserve">Contudo, é possível visualizar que a </w:t>
      </w:r>
      <w:r w:rsidRPr="00115771">
        <w:rPr>
          <w:rFonts w:cs="Times New Roman"/>
          <w:szCs w:val="24"/>
        </w:rPr>
        <w:t>Alpargatas</w:t>
      </w:r>
      <w:r w:rsidRPr="00115771">
        <w:rPr>
          <w:rFonts w:eastAsiaTheme="minorEastAsia" w:cs="Times New Roman"/>
          <w:szCs w:val="24"/>
        </w:rPr>
        <w:t xml:space="preserve"> possuiu uma diminuição considerável de vendas líquidas do ano de 2016 para 2015, apresentando um decréscimo de 0,2%. A </w:t>
      </w:r>
      <w:proofErr w:type="spellStart"/>
      <w:r w:rsidRPr="00115771">
        <w:rPr>
          <w:rFonts w:eastAsiaTheme="minorEastAsia" w:cs="Times New Roman"/>
          <w:szCs w:val="24"/>
        </w:rPr>
        <w:t>Dass</w:t>
      </w:r>
      <w:proofErr w:type="spellEnd"/>
      <w:r w:rsidRPr="00115771">
        <w:rPr>
          <w:rFonts w:eastAsiaTheme="minorEastAsia" w:cs="Times New Roman"/>
          <w:szCs w:val="24"/>
        </w:rPr>
        <w:t xml:space="preserve"> Nordeste e a Beira Rio, que também são do segmento de calçados não seguiram esse decréscimo, apresentando, respectivamente, aumento de 54,3% e 23,0% de vendas liquidas em relação a 2015. </w:t>
      </w: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</w:p>
    <w:p w:rsidR="00EA1996" w:rsidRDefault="00EA1996" w:rsidP="00EA1996">
      <w:pPr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5</w:t>
      </w:r>
      <w:r w:rsidRPr="00115771">
        <w:rPr>
          <w:rFonts w:eastAsiaTheme="minorEastAsia" w:cs="Times New Roman"/>
          <w:b/>
          <w:szCs w:val="24"/>
        </w:rPr>
        <w:t>.2</w:t>
      </w:r>
      <w:r>
        <w:rPr>
          <w:rFonts w:eastAsiaTheme="minorEastAsia" w:cs="Times New Roman"/>
          <w:b/>
          <w:szCs w:val="24"/>
        </w:rPr>
        <w:t>. Patrimônio l</w:t>
      </w:r>
      <w:r w:rsidRPr="00115771">
        <w:rPr>
          <w:rFonts w:eastAsiaTheme="minorEastAsia" w:cs="Times New Roman"/>
          <w:b/>
          <w:szCs w:val="24"/>
        </w:rPr>
        <w:t>íquido</w:t>
      </w:r>
    </w:p>
    <w:p w:rsidR="00EA1996" w:rsidRPr="00115771" w:rsidRDefault="00EA1996" w:rsidP="00EA1996">
      <w:pPr>
        <w:rPr>
          <w:rFonts w:eastAsiaTheme="minorEastAsia" w:cs="Times New Roman"/>
          <w:b/>
          <w:szCs w:val="24"/>
        </w:rPr>
      </w:pP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  <w:r w:rsidRPr="00115771">
        <w:rPr>
          <w:rFonts w:eastAsiaTheme="minorEastAsia" w:cs="Times New Roman"/>
          <w:szCs w:val="24"/>
        </w:rPr>
        <w:t>Em relação ao Patrimônio Líquido da empresa, o grupo Alpargatas, se encontra em uma boa posição em comparação a seus concorrentes no setor têxtil. Com um PL de US$ 615,5 milhões, a empresa é a 3ª maior do ramo no que tange à capital próprio, atrás apenas da Grendene (US$ 902,1 milhões) e da Guararapes (US$ 1117,2 milhões). Porém ao observarmos o ranking por pontos, levando em consideração outros fatores financeiros, a Guararapes se encontra muito abaixo da organização, estando em 10º lugar, enquanto a Alpargatas é a 3ª colocada. Ademais, a Grendene teve um crescimento de 11,67% no seu patrimônio líquido, à medida que o grupo Alpargatas observou um crescimento de 6,96% neste grupo de contas dentro do seu balanço patrimonial.</w:t>
      </w: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</w:p>
    <w:p w:rsidR="00EA1996" w:rsidRDefault="00EA1996" w:rsidP="00EA1996">
      <w:pPr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5</w:t>
      </w:r>
      <w:r w:rsidRPr="00115771">
        <w:rPr>
          <w:rFonts w:eastAsiaTheme="minorEastAsia" w:cs="Times New Roman"/>
          <w:b/>
          <w:szCs w:val="24"/>
        </w:rPr>
        <w:t>.3</w:t>
      </w:r>
      <w:r>
        <w:rPr>
          <w:rFonts w:eastAsiaTheme="minorEastAsia" w:cs="Times New Roman"/>
          <w:b/>
          <w:szCs w:val="24"/>
        </w:rPr>
        <w:t>. Lucro l</w:t>
      </w:r>
      <w:r w:rsidRPr="00115771">
        <w:rPr>
          <w:rFonts w:eastAsiaTheme="minorEastAsia" w:cs="Times New Roman"/>
          <w:b/>
          <w:szCs w:val="24"/>
        </w:rPr>
        <w:t>íquido</w:t>
      </w:r>
    </w:p>
    <w:p w:rsidR="00EA1996" w:rsidRPr="00115771" w:rsidRDefault="00EA1996" w:rsidP="00EA1996">
      <w:pPr>
        <w:rPr>
          <w:rFonts w:eastAsiaTheme="minorEastAsia" w:cs="Times New Roman"/>
          <w:b/>
          <w:szCs w:val="24"/>
        </w:rPr>
      </w:pP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  <w:r w:rsidRPr="00115771">
        <w:rPr>
          <w:rFonts w:eastAsiaTheme="minorEastAsia" w:cs="Times New Roman"/>
          <w:szCs w:val="24"/>
        </w:rPr>
        <w:t>O Lucro Líquido do grupo é o 2º maior dentre as melhores do setor. Com US$ 96,1 milhões positivos no ano de 2016, a Alpargatas perde apenas novamente para Grendene (US$ 166,6 milhões). Tal fato é apoiado se observado o resultado bastante satisfatório das vendas líquidas (em números) do grupo no mesmo ano, o qual já foi discutido anteriormente. Além disso, ressalta-se que, de acordo as demonstrações financeiras da organização, de 2015 para 2016 houve um aumento de mais de 30% no Lucro Líquido, enquanto a concorrente Grendene apresentou apenas cerca de metade dessa porcentagem - um crescimento de 15,1%.</w:t>
      </w: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</w:p>
    <w:p w:rsidR="00EA1996" w:rsidRDefault="00EA1996" w:rsidP="00EA1996">
      <w:pPr>
        <w:rPr>
          <w:rFonts w:eastAsiaTheme="minorEastAsia" w:cs="Times New Roman"/>
          <w:b/>
          <w:szCs w:val="24"/>
        </w:rPr>
      </w:pPr>
      <w:r>
        <w:rPr>
          <w:rFonts w:eastAsiaTheme="minorEastAsia" w:cs="Times New Roman"/>
          <w:b/>
          <w:szCs w:val="24"/>
        </w:rPr>
        <w:t>5</w:t>
      </w:r>
      <w:r w:rsidRPr="00115771">
        <w:rPr>
          <w:rFonts w:eastAsiaTheme="minorEastAsia" w:cs="Times New Roman"/>
          <w:b/>
          <w:szCs w:val="24"/>
        </w:rPr>
        <w:t>.4</w:t>
      </w:r>
      <w:r>
        <w:rPr>
          <w:rFonts w:eastAsiaTheme="minorEastAsia" w:cs="Times New Roman"/>
          <w:b/>
          <w:szCs w:val="24"/>
        </w:rPr>
        <w:t>. Liderança de m</w:t>
      </w:r>
      <w:r w:rsidRPr="00115771">
        <w:rPr>
          <w:rFonts w:eastAsiaTheme="minorEastAsia" w:cs="Times New Roman"/>
          <w:b/>
          <w:szCs w:val="24"/>
        </w:rPr>
        <w:t>ercado</w:t>
      </w:r>
    </w:p>
    <w:p w:rsidR="00EA1996" w:rsidRPr="00115771" w:rsidRDefault="00EA1996" w:rsidP="00EA1996">
      <w:pPr>
        <w:rPr>
          <w:rFonts w:eastAsiaTheme="minorEastAsia" w:cs="Times New Roman"/>
          <w:b/>
          <w:szCs w:val="24"/>
        </w:rPr>
      </w:pP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  <w:r w:rsidRPr="00115771">
        <w:rPr>
          <w:rFonts w:eastAsiaTheme="minorEastAsia" w:cs="Times New Roman"/>
          <w:szCs w:val="24"/>
        </w:rPr>
        <w:t xml:space="preserve">Em relação ao quesito Liderança de Mercado, a Alpargatas se encontra em primeiro lugar comparada às outras de seu setor, com 16,9% do mercado conquistado nas vendas. Na segunda posição, vem a sua concorrente Grendene, com 12,6% do mercado conquistado. Como evidências disso, pode-se citar a Havaianas, marca Brasileira de maior expressão mundial, e a </w:t>
      </w:r>
      <w:proofErr w:type="spellStart"/>
      <w:r w:rsidRPr="00115771">
        <w:rPr>
          <w:rFonts w:eastAsiaTheme="minorEastAsia" w:cs="Times New Roman"/>
          <w:szCs w:val="24"/>
        </w:rPr>
        <w:t>Dupé</w:t>
      </w:r>
      <w:proofErr w:type="spellEnd"/>
      <w:r w:rsidRPr="00115771">
        <w:rPr>
          <w:rFonts w:eastAsiaTheme="minorEastAsia" w:cs="Times New Roman"/>
          <w:szCs w:val="24"/>
        </w:rPr>
        <w:t xml:space="preserve">, líder no mercado de sandálias de borracha no Nordeste. </w:t>
      </w:r>
    </w:p>
    <w:p w:rsidR="00EA1996" w:rsidRPr="00115771" w:rsidRDefault="00EA1996" w:rsidP="00EA1996">
      <w:pPr>
        <w:rPr>
          <w:rFonts w:eastAsiaTheme="minorEastAsia" w:cs="Times New Roman"/>
          <w:szCs w:val="24"/>
        </w:rPr>
      </w:pPr>
    </w:p>
    <w:p w:rsidR="00EA1996" w:rsidRDefault="00EA1996" w:rsidP="00EA1996">
      <w:pPr>
        <w:pStyle w:val="PargrafodaLista"/>
        <w:numPr>
          <w:ilvl w:val="0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97169438"/>
      <w:r w:rsidRPr="00115771">
        <w:rPr>
          <w:rFonts w:ascii="Times New Roman" w:hAnsi="Times New Roman" w:cs="Times New Roman"/>
          <w:b/>
          <w:sz w:val="24"/>
          <w:szCs w:val="24"/>
        </w:rPr>
        <w:t>Conclusão</w:t>
      </w:r>
      <w:bookmarkEnd w:id="4"/>
    </w:p>
    <w:p w:rsidR="00EA199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Pr="00D62660" w:rsidRDefault="00EA1996" w:rsidP="00EA1996">
      <w:pPr>
        <w:rPr>
          <w:rFonts w:eastAsiaTheme="minorEastAsia" w:cs="Times New Roman"/>
          <w:szCs w:val="24"/>
        </w:rPr>
      </w:pPr>
      <w:r w:rsidRPr="00D62660">
        <w:rPr>
          <w:rFonts w:eastAsiaTheme="minorEastAsia" w:cs="Times New Roman"/>
          <w:szCs w:val="24"/>
        </w:rPr>
        <w:t>Por meio das análises realizadas ao longo deste trabalho pode-se concluir que, de fato, a Alpargatas S.A é uma das empresas líderes no setor têxtil, como relatado na revista Exame “Maiores e Melhores” de 2016. No entanto, mesmo empresas líderes podem ser afetadas pelos obstáculos econômicos que o mercado pode oferecer. No caso da companhia, no geral, é perceptível a redução do volume de vendas ao longo dos anos de 2014 a 2016, como pode ser observado na DRE na tabela 5, por mei</w:t>
      </w:r>
      <w:r>
        <w:rPr>
          <w:rFonts w:eastAsiaTheme="minorEastAsia" w:cs="Times New Roman"/>
          <w:szCs w:val="24"/>
        </w:rPr>
        <w:t>o dos valores da receita l</w:t>
      </w:r>
      <w:r w:rsidRPr="00D62660">
        <w:rPr>
          <w:rFonts w:eastAsiaTheme="minorEastAsia" w:cs="Times New Roman"/>
          <w:szCs w:val="24"/>
        </w:rPr>
        <w:t>íquida. Nesse período</w:t>
      </w:r>
      <w:r>
        <w:rPr>
          <w:rFonts w:eastAsiaTheme="minorEastAsia" w:cs="Times New Roman"/>
          <w:szCs w:val="24"/>
        </w:rPr>
        <w:t>, a queda foi de cerca de 8% em relação aos</w:t>
      </w:r>
      <w:r w:rsidRPr="00D62660">
        <w:rPr>
          <w:rFonts w:eastAsiaTheme="minorEastAsia" w:cs="Times New Roman"/>
          <w:szCs w:val="24"/>
        </w:rPr>
        <w:t xml:space="preserve"> valores registrados em 2014. Em consequência, a partir da</w:t>
      </w:r>
      <w:r>
        <w:rPr>
          <w:rFonts w:eastAsiaTheme="minorEastAsia" w:cs="Times New Roman"/>
          <w:szCs w:val="24"/>
        </w:rPr>
        <w:t xml:space="preserve"> análise dos índices de liquidez, principalmente da liquidez c</w:t>
      </w:r>
      <w:r w:rsidRPr="00D62660">
        <w:rPr>
          <w:rFonts w:eastAsiaTheme="minorEastAsia" w:cs="Times New Roman"/>
          <w:szCs w:val="24"/>
        </w:rPr>
        <w:t xml:space="preserve">orrente da empresa durante esses anos, a companhia também apresentou queda de </w:t>
      </w:r>
      <w:proofErr w:type="gramStart"/>
      <w:r w:rsidRPr="00D62660">
        <w:rPr>
          <w:rFonts w:eastAsiaTheme="minorEastAsia" w:cs="Times New Roman"/>
          <w:szCs w:val="24"/>
        </w:rPr>
        <w:t>cerca de 46</w:t>
      </w:r>
      <w:proofErr w:type="gramEnd"/>
      <w:r w:rsidRPr="00D62660">
        <w:rPr>
          <w:rFonts w:eastAsiaTheme="minorEastAsia" w:cs="Times New Roman"/>
          <w:szCs w:val="24"/>
        </w:rPr>
        <w:t>% entre 2014 e 2015, resultado de uma significativa redução no seu ativo circulante, como pode ser visto no Gráfico 4, cuja queda gira em torno de 4% no ano de 2016 em relação a 2015.</w:t>
      </w:r>
    </w:p>
    <w:p w:rsidR="00EA1996" w:rsidRPr="00D62660" w:rsidRDefault="00EA1996" w:rsidP="00EA1996">
      <w:pPr>
        <w:rPr>
          <w:rFonts w:eastAsiaTheme="minorEastAsia" w:cs="Times New Roman"/>
          <w:szCs w:val="24"/>
        </w:rPr>
      </w:pPr>
      <w:r w:rsidRPr="00D62660">
        <w:rPr>
          <w:rFonts w:eastAsiaTheme="minorEastAsia" w:cs="Times New Roman"/>
          <w:szCs w:val="24"/>
        </w:rPr>
        <w:t>No entanto, não foi apenas a Alpargatas que foi atingida por valores menos satisfatórios durante esse período. Tendo em vista que 2015 foi o ano em que a economia do País iniciou seu período de retração, o setor têxtil registrou queda de 13,6 %, como relata a edição de 2015 da revista Exame. Apesar disso, a empresa não se deixou vencer pela crise do mercado, buscando a obtenção de lucro pela redução de suas despesas em 23,4%, entre 2015 e 2016, o que resultou em um aumento da margem líquida em quase 3% nesse período</w:t>
      </w:r>
      <w:r>
        <w:rPr>
          <w:rFonts w:eastAsiaTheme="minorEastAsia" w:cs="Times New Roman"/>
          <w:szCs w:val="24"/>
        </w:rPr>
        <w:t>, de acordo com o Gráfico 15 - A</w:t>
      </w:r>
      <w:r w:rsidRPr="00D62660">
        <w:rPr>
          <w:rFonts w:eastAsiaTheme="minorEastAsia" w:cs="Times New Roman"/>
          <w:szCs w:val="24"/>
        </w:rPr>
        <w:t xml:space="preserve">nálise horizontal da margem líquida. </w:t>
      </w:r>
      <w:proofErr w:type="gramStart"/>
      <w:r w:rsidRPr="00D62660">
        <w:rPr>
          <w:rFonts w:eastAsiaTheme="minorEastAsia" w:cs="Times New Roman"/>
          <w:szCs w:val="24"/>
        </w:rPr>
        <w:t>Outra alternativa</w:t>
      </w:r>
      <w:proofErr w:type="gramEnd"/>
      <w:r w:rsidRPr="00D62660">
        <w:rPr>
          <w:rFonts w:eastAsiaTheme="minorEastAsia" w:cs="Times New Roman"/>
          <w:szCs w:val="24"/>
        </w:rPr>
        <w:t xml:space="preserve"> para a empresa superar a redução do volumes de vendas nesse período seria reforçar a venda d</w:t>
      </w:r>
      <w:r>
        <w:rPr>
          <w:rFonts w:eastAsiaTheme="minorEastAsia" w:cs="Times New Roman"/>
          <w:szCs w:val="24"/>
        </w:rPr>
        <w:t xml:space="preserve">e </w:t>
      </w:r>
      <w:r w:rsidRPr="00D62660">
        <w:rPr>
          <w:rFonts w:eastAsiaTheme="minorEastAsia" w:cs="Times New Roman"/>
          <w:szCs w:val="24"/>
        </w:rPr>
        <w:t>produtos a preços mais baixos, expandindo sua atuação em áreas comerciais de mais baixa renda.</w:t>
      </w:r>
    </w:p>
    <w:p w:rsidR="00EA1996" w:rsidRPr="00D62660" w:rsidRDefault="00EA1996" w:rsidP="00EA1996">
      <w:pPr>
        <w:rPr>
          <w:rFonts w:eastAsiaTheme="minorEastAsia" w:cs="Times New Roman"/>
          <w:szCs w:val="24"/>
        </w:rPr>
      </w:pPr>
      <w:r w:rsidRPr="00D62660">
        <w:rPr>
          <w:rFonts w:eastAsiaTheme="minorEastAsia" w:cs="Times New Roman"/>
          <w:szCs w:val="24"/>
        </w:rPr>
        <w:lastRenderedPageBreak/>
        <w:t>Desse modo,</w:t>
      </w:r>
      <w:r>
        <w:rPr>
          <w:rFonts w:eastAsiaTheme="minorEastAsia" w:cs="Times New Roman"/>
          <w:szCs w:val="24"/>
        </w:rPr>
        <w:t xml:space="preserve"> a Companhia demonstrou que, para ser líder, </w:t>
      </w:r>
      <w:r w:rsidRPr="00D62660">
        <w:rPr>
          <w:rFonts w:eastAsiaTheme="minorEastAsia" w:cs="Times New Roman"/>
          <w:szCs w:val="24"/>
        </w:rPr>
        <w:t xml:space="preserve">não basta apenas esperar retornos positivos do mercado, é necessário principalmente estar preparado para as mudanças que nele podem ocorrer. Por isso, é de significativa importância realizar </w:t>
      </w:r>
      <w:r>
        <w:rPr>
          <w:rFonts w:eastAsiaTheme="minorEastAsia" w:cs="Times New Roman"/>
          <w:szCs w:val="24"/>
        </w:rPr>
        <w:t>aná</w:t>
      </w:r>
      <w:r w:rsidRPr="00D62660">
        <w:rPr>
          <w:rFonts w:eastAsiaTheme="minorEastAsia" w:cs="Times New Roman"/>
          <w:szCs w:val="24"/>
        </w:rPr>
        <w:t>lises como a apresentada neste trabalho como uma forma de auxiliar na tomada de decisão, revelando pontos fortes e fracos na gestão estratégi</w:t>
      </w:r>
      <w:r>
        <w:rPr>
          <w:rFonts w:eastAsiaTheme="minorEastAsia" w:cs="Times New Roman"/>
          <w:szCs w:val="24"/>
        </w:rPr>
        <w:t xml:space="preserve">ca da organização, </w:t>
      </w:r>
      <w:r w:rsidRPr="00D62660">
        <w:rPr>
          <w:rFonts w:eastAsiaTheme="minorEastAsia" w:cs="Times New Roman"/>
          <w:szCs w:val="24"/>
        </w:rPr>
        <w:t>para se corrigir falhas e traçar novos planos.</w:t>
      </w:r>
    </w:p>
    <w:p w:rsidR="00EA1996" w:rsidRPr="00115771" w:rsidRDefault="00EA1996" w:rsidP="00EA1996">
      <w:pPr>
        <w:rPr>
          <w:rFonts w:cs="Times New Roman"/>
          <w:b/>
          <w:szCs w:val="24"/>
        </w:rPr>
      </w:pPr>
    </w:p>
    <w:p w:rsidR="00EA1996" w:rsidRDefault="00EA1996" w:rsidP="00EA1996">
      <w:pPr>
        <w:pStyle w:val="PargrafodaLista"/>
        <w:numPr>
          <w:ilvl w:val="0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771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EA1996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ASSAF NETO, Alexandre. </w:t>
      </w:r>
      <w:r w:rsidRPr="00115771">
        <w:rPr>
          <w:rFonts w:eastAsia="Times New Roman" w:cs="Times New Roman"/>
          <w:b/>
          <w:szCs w:val="24"/>
          <w:lang w:eastAsia="pt-BR"/>
        </w:rPr>
        <w:t>Estrutura e Análise de Balanços: Um Enfoque Econômico e Financeiro</w:t>
      </w:r>
      <w:r w:rsidRPr="00115771">
        <w:rPr>
          <w:rFonts w:eastAsia="Times New Roman" w:cs="Times New Roman"/>
          <w:szCs w:val="24"/>
          <w:lang w:eastAsia="pt-BR"/>
        </w:rPr>
        <w:t xml:space="preserve">.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8.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>ed. São Paulo: Atlas, 2006.p.191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>ASSOCIAÇÃO BRASILEIRA DA INDÚSTRIA TÊXTIL E DE CONFECÇÃO-ABIT.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>Perfil do Setor Disponível em &lt; http://www.abit.org.br/cont/perfil-do-setor&gt; Data de acesso: 05/12/2017.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IUDÍCIBUS, Sérgio de. </w:t>
      </w:r>
      <w:r w:rsidRPr="00115771">
        <w:rPr>
          <w:rFonts w:eastAsia="Times New Roman" w:cs="Times New Roman"/>
          <w:b/>
          <w:szCs w:val="24"/>
          <w:lang w:eastAsia="pt-BR"/>
        </w:rPr>
        <w:t xml:space="preserve">Análise de Balanços: Análise de Liquidez e do Endividamento, Análise de Giro, Rentabilidade e </w:t>
      </w:r>
      <w:proofErr w:type="gramStart"/>
      <w:r w:rsidRPr="00115771">
        <w:rPr>
          <w:rFonts w:eastAsia="Times New Roman" w:cs="Times New Roman"/>
          <w:b/>
          <w:szCs w:val="24"/>
          <w:lang w:eastAsia="pt-BR"/>
        </w:rPr>
        <w:t>Alavancagem</w:t>
      </w:r>
      <w:proofErr w:type="gramEnd"/>
      <w:r w:rsidRPr="00115771">
        <w:rPr>
          <w:rFonts w:eastAsia="Times New Roman" w:cs="Times New Roman"/>
          <w:b/>
          <w:szCs w:val="24"/>
          <w:lang w:eastAsia="pt-BR"/>
        </w:rPr>
        <w:t xml:space="preserve"> Financeira</w:t>
      </w:r>
      <w:r w:rsidRPr="00115771">
        <w:rPr>
          <w:rFonts w:eastAsia="Times New Roman" w:cs="Times New Roman"/>
          <w:szCs w:val="24"/>
          <w:lang w:eastAsia="pt-BR"/>
        </w:rPr>
        <w:t xml:space="preserve">. 8.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ed.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 São Paulo: Atlas, 1998.p.99, 108.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val="en-US"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GITMAN, Lawrence J. </w:t>
      </w:r>
      <w:r w:rsidRPr="00115771">
        <w:rPr>
          <w:rFonts w:eastAsia="Times New Roman" w:cs="Times New Roman"/>
          <w:b/>
          <w:szCs w:val="24"/>
          <w:lang w:eastAsia="pt-BR"/>
        </w:rPr>
        <w:t>Princípios de administração financeira</w:t>
      </w:r>
      <w:r w:rsidRPr="00115771">
        <w:rPr>
          <w:rFonts w:eastAsia="Times New Roman" w:cs="Times New Roman"/>
          <w:szCs w:val="24"/>
          <w:lang w:eastAsia="pt-BR"/>
        </w:rPr>
        <w:t xml:space="preserve">. </w:t>
      </w:r>
      <w:r w:rsidRPr="00115771">
        <w:rPr>
          <w:rFonts w:eastAsia="Times New Roman" w:cs="Times New Roman"/>
          <w:szCs w:val="24"/>
          <w:lang w:val="en-US" w:eastAsia="pt-BR"/>
        </w:rPr>
        <w:t>12</w:t>
      </w:r>
      <w:proofErr w:type="gramStart"/>
      <w:r w:rsidRPr="00115771">
        <w:rPr>
          <w:rFonts w:eastAsia="Times New Roman" w:cs="Times New Roman"/>
          <w:szCs w:val="24"/>
          <w:lang w:val="en-US" w:eastAsia="pt-BR"/>
        </w:rPr>
        <w:t>.ed</w:t>
      </w:r>
      <w:proofErr w:type="gramEnd"/>
      <w:r w:rsidRPr="00115771">
        <w:rPr>
          <w:rFonts w:eastAsia="Times New Roman" w:cs="Times New Roman"/>
          <w:szCs w:val="24"/>
          <w:lang w:val="en-US" w:eastAsia="pt-BR"/>
        </w:rPr>
        <w:t xml:space="preserve">. São Paulo: Pearson Prentice Hall, 2010.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val="en-US" w:eastAsia="pt-BR"/>
        </w:rPr>
      </w:pPr>
    </w:p>
    <w:p w:rsidR="00EA1996" w:rsidRPr="00115771" w:rsidRDefault="00EA1996" w:rsidP="00EA1996">
      <w:pPr>
        <w:rPr>
          <w:rStyle w:val="highlight"/>
          <w:rFonts w:cs="Times New Roman"/>
          <w:i/>
          <w:szCs w:val="24"/>
        </w:rPr>
      </w:pPr>
      <w:r w:rsidRPr="00115771">
        <w:rPr>
          <w:rStyle w:val="highlight"/>
          <w:rFonts w:cs="Times New Roman"/>
          <w:szCs w:val="24"/>
        </w:rPr>
        <w:t xml:space="preserve">Maiores e Melhores 2016. (2017). </w:t>
      </w:r>
      <w:r w:rsidRPr="00115771">
        <w:rPr>
          <w:rStyle w:val="highlight"/>
          <w:rFonts w:cs="Times New Roman"/>
          <w:i/>
          <w:szCs w:val="24"/>
        </w:rPr>
        <w:t>Revista Exame</w:t>
      </w:r>
    </w:p>
    <w:p w:rsidR="00EA1996" w:rsidRPr="00115771" w:rsidRDefault="00EA1996" w:rsidP="00EA1996">
      <w:pPr>
        <w:rPr>
          <w:rStyle w:val="highlight"/>
          <w:rFonts w:cs="Times New Roman"/>
          <w:szCs w:val="24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Style w:val="highlight"/>
          <w:rFonts w:cs="Times New Roman"/>
          <w:szCs w:val="24"/>
        </w:rPr>
        <w:t>MARION</w:t>
      </w:r>
      <w:r w:rsidRPr="00115771">
        <w:rPr>
          <w:rFonts w:cs="Times New Roman"/>
          <w:szCs w:val="24"/>
        </w:rPr>
        <w:t xml:space="preserve">, José Carlos. </w:t>
      </w:r>
      <w:r w:rsidRPr="00115771">
        <w:rPr>
          <w:rFonts w:eastAsia="Times New Roman" w:cs="Times New Roman"/>
          <w:b/>
          <w:szCs w:val="24"/>
          <w:lang w:eastAsia="pt-BR"/>
        </w:rPr>
        <w:t>Contabilidade básica</w:t>
      </w:r>
      <w:r w:rsidRPr="00115771">
        <w:rPr>
          <w:rFonts w:eastAsia="Times New Roman" w:cs="Times New Roman"/>
          <w:szCs w:val="24"/>
          <w:lang w:eastAsia="pt-BR"/>
        </w:rPr>
        <w:t xml:space="preserve">.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10.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ed. São Paulo: Atlas, 2009.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Style w:val="highlight"/>
          <w:rFonts w:cs="Times New Roman"/>
          <w:szCs w:val="24"/>
        </w:rPr>
        <w:t>MARION</w:t>
      </w:r>
      <w:r w:rsidRPr="00115771">
        <w:rPr>
          <w:rFonts w:cs="Times New Roman"/>
          <w:szCs w:val="24"/>
        </w:rPr>
        <w:t xml:space="preserve">, José Carlos. </w:t>
      </w:r>
      <w:r w:rsidRPr="00115771">
        <w:rPr>
          <w:rFonts w:eastAsia="Times New Roman" w:cs="Times New Roman"/>
          <w:b/>
          <w:szCs w:val="24"/>
          <w:lang w:eastAsia="pt-BR"/>
        </w:rPr>
        <w:t>Contabilidade empresarial</w:t>
      </w:r>
      <w:r w:rsidRPr="00115771">
        <w:rPr>
          <w:rFonts w:eastAsia="Times New Roman" w:cs="Times New Roman"/>
          <w:szCs w:val="24"/>
          <w:lang w:eastAsia="pt-BR"/>
        </w:rPr>
        <w:t xml:space="preserve">.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16.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>ed. São Paulo: Atlas, 2012.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0A162B">
      <w:pPr>
        <w:pStyle w:val="Recuodecorpodetexto"/>
        <w:ind w:left="0"/>
        <w:rPr>
          <w:szCs w:val="24"/>
        </w:rPr>
      </w:pPr>
      <w:r w:rsidRPr="00115771">
        <w:rPr>
          <w:szCs w:val="24"/>
        </w:rPr>
        <w:t xml:space="preserve">MATARAZZO, Dante Carmine. </w:t>
      </w:r>
      <w:r w:rsidRPr="00115771">
        <w:rPr>
          <w:b/>
          <w:szCs w:val="24"/>
        </w:rPr>
        <w:t>Análise financeira de balanços</w:t>
      </w:r>
      <w:r w:rsidRPr="00115771">
        <w:rPr>
          <w:szCs w:val="24"/>
        </w:rPr>
        <w:t xml:space="preserve">. </w:t>
      </w:r>
      <w:proofErr w:type="gramStart"/>
      <w:r w:rsidRPr="00115771">
        <w:rPr>
          <w:szCs w:val="24"/>
        </w:rPr>
        <w:t>2.</w:t>
      </w:r>
      <w:proofErr w:type="gramEnd"/>
      <w:r w:rsidRPr="00115771">
        <w:rPr>
          <w:szCs w:val="24"/>
        </w:rPr>
        <w:t xml:space="preserve">ed. São Paulo: Atlas, 1992.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MATARAZZO, Dante Carmine. </w:t>
      </w:r>
      <w:r w:rsidRPr="00115771">
        <w:rPr>
          <w:rFonts w:eastAsia="Times New Roman" w:cs="Times New Roman"/>
          <w:b/>
          <w:szCs w:val="24"/>
          <w:lang w:eastAsia="pt-BR"/>
        </w:rPr>
        <w:t>Análise Financeira de Balanços: Abordagem Básica e Gerencial</w:t>
      </w:r>
      <w:r w:rsidRPr="00115771">
        <w:rPr>
          <w:rFonts w:eastAsia="Times New Roman" w:cs="Times New Roman"/>
          <w:szCs w:val="24"/>
          <w:lang w:eastAsia="pt-BR"/>
        </w:rPr>
        <w:t xml:space="preserve">. 6. Ed. São Paulo: Atlas, 2003.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PEREZ JUNIOR, José Hernandez; BEGALLI, Glaucos </w:t>
      </w:r>
      <w:proofErr w:type="spellStart"/>
      <w:r w:rsidRPr="00115771">
        <w:rPr>
          <w:rFonts w:eastAsia="Times New Roman" w:cs="Times New Roman"/>
          <w:szCs w:val="24"/>
          <w:lang w:eastAsia="pt-BR"/>
        </w:rPr>
        <w:t>Antonio</w:t>
      </w:r>
      <w:proofErr w:type="spellEnd"/>
      <w:r w:rsidRPr="00115771">
        <w:rPr>
          <w:rFonts w:eastAsia="Times New Roman" w:cs="Times New Roman"/>
          <w:szCs w:val="24"/>
          <w:lang w:eastAsia="pt-BR"/>
        </w:rPr>
        <w:t xml:space="preserve">. </w:t>
      </w:r>
      <w:r w:rsidRPr="00115771">
        <w:rPr>
          <w:rFonts w:eastAsia="Times New Roman" w:cs="Times New Roman"/>
          <w:b/>
          <w:szCs w:val="24"/>
          <w:lang w:eastAsia="pt-BR"/>
        </w:rPr>
        <w:t>Elaboração e análise das demonstrações contábeis</w:t>
      </w:r>
      <w:r w:rsidRPr="00115771">
        <w:rPr>
          <w:rFonts w:eastAsia="Times New Roman" w:cs="Times New Roman"/>
          <w:szCs w:val="24"/>
          <w:lang w:eastAsia="pt-BR"/>
        </w:rPr>
        <w:t xml:space="preserve">.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4.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ed. São Paulo: Atlas, 2009.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RIBEIRO, Osni Moura. </w:t>
      </w:r>
      <w:r w:rsidRPr="00115771">
        <w:rPr>
          <w:rFonts w:eastAsia="Times New Roman" w:cs="Times New Roman"/>
          <w:b/>
          <w:szCs w:val="24"/>
          <w:lang w:eastAsia="pt-BR"/>
        </w:rPr>
        <w:t>Estrutura e análise de balanços fácil</w:t>
      </w:r>
      <w:r w:rsidRPr="00115771">
        <w:rPr>
          <w:rFonts w:eastAsia="Times New Roman" w:cs="Times New Roman"/>
          <w:szCs w:val="24"/>
          <w:lang w:eastAsia="pt-BR"/>
        </w:rPr>
        <w:t xml:space="preserve">. 5.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ed.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 São Paulo: Saraiva, 1997.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0A162B">
      <w:pPr>
        <w:pStyle w:val="Recuodecorpodetexto"/>
        <w:ind w:left="0"/>
        <w:rPr>
          <w:szCs w:val="24"/>
        </w:rPr>
      </w:pPr>
      <w:r w:rsidRPr="00115771">
        <w:rPr>
          <w:szCs w:val="24"/>
        </w:rPr>
        <w:t xml:space="preserve">SÁ, </w:t>
      </w:r>
      <w:proofErr w:type="spellStart"/>
      <w:r w:rsidRPr="00115771">
        <w:rPr>
          <w:szCs w:val="24"/>
        </w:rPr>
        <w:t>Antonio</w:t>
      </w:r>
      <w:proofErr w:type="spellEnd"/>
      <w:r w:rsidRPr="00115771">
        <w:rPr>
          <w:szCs w:val="24"/>
        </w:rPr>
        <w:t xml:space="preserve"> Lopes de. </w:t>
      </w:r>
      <w:r w:rsidRPr="00115771">
        <w:rPr>
          <w:b/>
          <w:szCs w:val="24"/>
        </w:rPr>
        <w:t>Teoria da contabilidade</w:t>
      </w:r>
      <w:r w:rsidRPr="00115771">
        <w:rPr>
          <w:szCs w:val="24"/>
        </w:rPr>
        <w:t xml:space="preserve">. </w:t>
      </w:r>
      <w:proofErr w:type="gramStart"/>
      <w:r w:rsidRPr="00115771">
        <w:rPr>
          <w:szCs w:val="24"/>
        </w:rPr>
        <w:t>4.</w:t>
      </w:r>
      <w:proofErr w:type="gramEnd"/>
      <w:r w:rsidRPr="00115771">
        <w:rPr>
          <w:szCs w:val="24"/>
        </w:rPr>
        <w:t xml:space="preserve">ed. São Paulo: Atlas, 2006.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  <w:r w:rsidRPr="00115771">
        <w:rPr>
          <w:rFonts w:eastAsia="Times New Roman" w:cs="Times New Roman"/>
          <w:szCs w:val="24"/>
          <w:lang w:eastAsia="pt-BR"/>
        </w:rPr>
        <w:t xml:space="preserve">SILVA, José Pereira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da.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 </w:t>
      </w:r>
      <w:r w:rsidRPr="00115771">
        <w:rPr>
          <w:rFonts w:eastAsia="Times New Roman" w:cs="Times New Roman"/>
          <w:b/>
          <w:szCs w:val="24"/>
          <w:lang w:eastAsia="pt-BR"/>
        </w:rPr>
        <w:t>Análise financeira das empresas</w:t>
      </w:r>
      <w:r w:rsidRPr="00115771">
        <w:rPr>
          <w:rFonts w:eastAsia="Times New Roman" w:cs="Times New Roman"/>
          <w:szCs w:val="24"/>
          <w:lang w:eastAsia="pt-BR"/>
        </w:rPr>
        <w:t xml:space="preserve">. </w:t>
      </w:r>
      <w:proofErr w:type="gramStart"/>
      <w:r w:rsidRPr="00115771">
        <w:rPr>
          <w:rFonts w:eastAsia="Times New Roman" w:cs="Times New Roman"/>
          <w:szCs w:val="24"/>
          <w:lang w:eastAsia="pt-BR"/>
        </w:rPr>
        <w:t>9.</w:t>
      </w:r>
      <w:proofErr w:type="gramEnd"/>
      <w:r w:rsidRPr="00115771">
        <w:rPr>
          <w:rFonts w:eastAsia="Times New Roman" w:cs="Times New Roman"/>
          <w:szCs w:val="24"/>
          <w:lang w:eastAsia="pt-BR"/>
        </w:rPr>
        <w:t xml:space="preserve">ed. São Paulo: Atlas, 2008. </w:t>
      </w:r>
    </w:p>
    <w:p w:rsidR="00EA1996" w:rsidRPr="00115771" w:rsidRDefault="00EA1996" w:rsidP="00EA1996">
      <w:pPr>
        <w:rPr>
          <w:rFonts w:eastAsia="Times New Roman" w:cs="Times New Roman"/>
          <w:szCs w:val="24"/>
          <w:lang w:eastAsia="pt-BR"/>
        </w:rPr>
      </w:pPr>
    </w:p>
    <w:p w:rsidR="00EA1996" w:rsidRDefault="00EA1996" w:rsidP="000A162B">
      <w:pPr>
        <w:pStyle w:val="Recuodecorpodetexto"/>
        <w:ind w:left="0"/>
        <w:rPr>
          <w:szCs w:val="24"/>
        </w:rPr>
      </w:pPr>
      <w:r w:rsidRPr="00115771">
        <w:rPr>
          <w:szCs w:val="24"/>
        </w:rPr>
        <w:t xml:space="preserve">ZDANAWICZ, José Eduardo. </w:t>
      </w:r>
      <w:r w:rsidRPr="00115771">
        <w:rPr>
          <w:b/>
          <w:szCs w:val="24"/>
        </w:rPr>
        <w:t xml:space="preserve">Estrutura e análise das demonstrações contábeis. </w:t>
      </w:r>
      <w:r w:rsidRPr="00115771">
        <w:rPr>
          <w:szCs w:val="24"/>
        </w:rPr>
        <w:t xml:space="preserve">1ª ed. Porto Alegre: </w:t>
      </w:r>
      <w:proofErr w:type="spellStart"/>
      <w:r w:rsidRPr="00115771">
        <w:rPr>
          <w:szCs w:val="24"/>
        </w:rPr>
        <w:t>Zagra</w:t>
      </w:r>
      <w:proofErr w:type="spellEnd"/>
      <w:r w:rsidRPr="00115771">
        <w:rPr>
          <w:szCs w:val="24"/>
        </w:rPr>
        <w:t>, 1998.</w:t>
      </w:r>
    </w:p>
    <w:p w:rsidR="00EA1996" w:rsidRPr="00115771" w:rsidRDefault="00EA1996" w:rsidP="00EA1996">
      <w:pPr>
        <w:pStyle w:val="PargrafodaLista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996" w:rsidRDefault="00EA1996" w:rsidP="00EA1996">
      <w:pPr>
        <w:pStyle w:val="PargrafodaLista"/>
        <w:numPr>
          <w:ilvl w:val="0"/>
          <w:numId w:val="9"/>
        </w:numPr>
        <w:spacing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Anexos</w:t>
      </w:r>
    </w:p>
    <w:p w:rsidR="000A162B" w:rsidRDefault="000A162B" w:rsidP="00EA1996">
      <w:pPr>
        <w:jc w:val="center"/>
        <w:rPr>
          <w:rFonts w:cs="Times New Roman"/>
          <w:sz w:val="20"/>
          <w:szCs w:val="24"/>
        </w:rPr>
      </w:pPr>
    </w:p>
    <w:p w:rsidR="000A162B" w:rsidRDefault="000A162B" w:rsidP="00EA1996">
      <w:pPr>
        <w:jc w:val="center"/>
        <w:rPr>
          <w:rFonts w:cs="Times New Roman"/>
          <w:sz w:val="20"/>
          <w:szCs w:val="24"/>
        </w:rPr>
      </w:pPr>
    </w:p>
    <w:p w:rsidR="000A162B" w:rsidRDefault="000A162B" w:rsidP="00EA1996">
      <w:pPr>
        <w:jc w:val="center"/>
        <w:rPr>
          <w:rFonts w:cs="Times New Roman"/>
          <w:sz w:val="20"/>
          <w:szCs w:val="24"/>
        </w:rPr>
      </w:pPr>
    </w:p>
    <w:p w:rsidR="000A162B" w:rsidRDefault="000A162B" w:rsidP="00EA1996">
      <w:pPr>
        <w:jc w:val="center"/>
        <w:rPr>
          <w:rFonts w:cs="Times New Roman"/>
          <w:sz w:val="20"/>
          <w:szCs w:val="24"/>
        </w:rPr>
      </w:pPr>
    </w:p>
    <w:p w:rsidR="000A162B" w:rsidRDefault="000A162B" w:rsidP="00EA1996">
      <w:pPr>
        <w:jc w:val="center"/>
        <w:rPr>
          <w:rFonts w:cs="Times New Roman"/>
          <w:sz w:val="20"/>
          <w:szCs w:val="24"/>
        </w:rPr>
      </w:pPr>
    </w:p>
    <w:p w:rsidR="000A162B" w:rsidRDefault="000A162B" w:rsidP="00EA1996">
      <w:pPr>
        <w:jc w:val="center"/>
        <w:rPr>
          <w:rFonts w:cs="Times New Roman"/>
          <w:sz w:val="20"/>
          <w:szCs w:val="24"/>
        </w:rPr>
      </w:pPr>
    </w:p>
    <w:p w:rsidR="000A162B" w:rsidRPr="000A162B" w:rsidRDefault="000A162B" w:rsidP="000A162B">
      <w:pPr>
        <w:jc w:val="center"/>
        <w:rPr>
          <w:rFonts w:cs="Times New Roman"/>
          <w:b/>
          <w:szCs w:val="24"/>
        </w:rPr>
      </w:pPr>
      <w:r>
        <w:rPr>
          <w:rFonts w:cs="Times New Roman"/>
          <w:noProof/>
          <w:sz w:val="20"/>
          <w:szCs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 wp14:anchorId="1AF77DD9" wp14:editId="23A3B77D">
            <wp:simplePos x="0" y="0"/>
            <wp:positionH relativeFrom="margin">
              <wp:posOffset>-885825</wp:posOffset>
            </wp:positionH>
            <wp:positionV relativeFrom="margin">
              <wp:posOffset>396875</wp:posOffset>
            </wp:positionV>
            <wp:extent cx="7486650" cy="7762875"/>
            <wp:effectExtent l="0" t="0" r="0" b="9525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996" w:rsidRPr="004523BC">
        <w:rPr>
          <w:rFonts w:cs="Times New Roman"/>
          <w:sz w:val="20"/>
          <w:szCs w:val="24"/>
        </w:rPr>
        <w:t>Tabela 1 – Balanço Patrimonial Alpargatas S.A. (2012 – 2016)</w:t>
      </w:r>
    </w:p>
    <w:p w:rsidR="00EA1996" w:rsidRPr="004523BC" w:rsidRDefault="00EA1996" w:rsidP="00EA1996">
      <w:pPr>
        <w:jc w:val="center"/>
        <w:rPr>
          <w:rFonts w:eastAsiaTheme="minorEastAsia" w:cs="Times New Roman"/>
          <w:sz w:val="20"/>
          <w:szCs w:val="24"/>
        </w:rPr>
      </w:pPr>
      <w:r w:rsidRPr="004523BC">
        <w:rPr>
          <w:rFonts w:eastAsiaTheme="minorEastAsia" w:cs="Times New Roman"/>
          <w:sz w:val="20"/>
          <w:szCs w:val="24"/>
        </w:rPr>
        <w:lastRenderedPageBreak/>
        <w:t>Fonte: Desenvolvido pelos autores</w:t>
      </w:r>
    </w:p>
    <w:p w:rsidR="00EA1996" w:rsidRDefault="00EA1996" w:rsidP="00EA1996">
      <w:pPr>
        <w:pStyle w:val="Normal1"/>
        <w:spacing w:after="120" w:line="360" w:lineRule="auto"/>
        <w:jc w:val="both"/>
        <w:rPr>
          <w:rFonts w:ascii="Times New Roman" w:hAnsi="Times New Roman"/>
          <w:b/>
          <w:szCs w:val="24"/>
        </w:rPr>
      </w:pPr>
    </w:p>
    <w:sectPr w:rsidR="00EA1996" w:rsidSect="00800B44">
      <w:headerReference w:type="default" r:id="rId35"/>
      <w:footerReference w:type="even" r:id="rId36"/>
      <w:footerReference w:type="default" r:id="rId37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86" w:rsidRDefault="00A26386">
      <w:pPr>
        <w:spacing w:after="0" w:line="240" w:lineRule="auto"/>
      </w:pPr>
      <w:r>
        <w:separator/>
      </w:r>
    </w:p>
  </w:endnote>
  <w:endnote w:type="continuationSeparator" w:id="0">
    <w:p w:rsidR="00A26386" w:rsidRDefault="00A2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BE" w:rsidRDefault="004217BE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86" w:rsidRDefault="00A26386">
      <w:pPr>
        <w:spacing w:after="0" w:line="240" w:lineRule="auto"/>
      </w:pPr>
      <w:r>
        <w:separator/>
      </w:r>
    </w:p>
  </w:footnote>
  <w:footnote w:type="continuationSeparator" w:id="0">
    <w:p w:rsidR="00A26386" w:rsidRDefault="00A2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4EAF"/>
    <w:multiLevelType w:val="multilevel"/>
    <w:tmpl w:val="C7FCB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8A70A4"/>
    <w:multiLevelType w:val="multilevel"/>
    <w:tmpl w:val="F6EA0480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3D37A97"/>
    <w:multiLevelType w:val="multilevel"/>
    <w:tmpl w:val="0EB82A4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5290A"/>
    <w:multiLevelType w:val="multilevel"/>
    <w:tmpl w:val="B8AE8D4A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DA02601"/>
    <w:multiLevelType w:val="multilevel"/>
    <w:tmpl w:val="E916784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4"/>
      </w:rPr>
    </w:lvl>
    <w:lvl w:ilvl="1">
      <w:start w:val="1"/>
      <w:numFmt w:val="none"/>
      <w:lvlText w:val="2.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2"/>
    <w:rsid w:val="00000CC6"/>
    <w:rsid w:val="00005C91"/>
    <w:rsid w:val="00017F84"/>
    <w:rsid w:val="000271BB"/>
    <w:rsid w:val="00027E8F"/>
    <w:rsid w:val="000307BA"/>
    <w:rsid w:val="00050E48"/>
    <w:rsid w:val="00061DCC"/>
    <w:rsid w:val="00066DBC"/>
    <w:rsid w:val="00082187"/>
    <w:rsid w:val="00091D53"/>
    <w:rsid w:val="000A162B"/>
    <w:rsid w:val="000B417B"/>
    <w:rsid w:val="000B55A1"/>
    <w:rsid w:val="000C61AB"/>
    <w:rsid w:val="000D111A"/>
    <w:rsid w:val="000D6016"/>
    <w:rsid w:val="000E00A8"/>
    <w:rsid w:val="000E0D27"/>
    <w:rsid w:val="000E79B9"/>
    <w:rsid w:val="000E7EB2"/>
    <w:rsid w:val="00106848"/>
    <w:rsid w:val="00106E54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32FA"/>
    <w:rsid w:val="00166ABF"/>
    <w:rsid w:val="00184BEA"/>
    <w:rsid w:val="00194BD9"/>
    <w:rsid w:val="001A0309"/>
    <w:rsid w:val="001A0FD7"/>
    <w:rsid w:val="001A3650"/>
    <w:rsid w:val="001A38A1"/>
    <w:rsid w:val="001A546C"/>
    <w:rsid w:val="001B2E8C"/>
    <w:rsid w:val="001B6AEA"/>
    <w:rsid w:val="001C6937"/>
    <w:rsid w:val="001E4599"/>
    <w:rsid w:val="001F358D"/>
    <w:rsid w:val="001F5FCE"/>
    <w:rsid w:val="002006B1"/>
    <w:rsid w:val="00205A66"/>
    <w:rsid w:val="00213A24"/>
    <w:rsid w:val="00231FAA"/>
    <w:rsid w:val="00232168"/>
    <w:rsid w:val="002326A8"/>
    <w:rsid w:val="002362B0"/>
    <w:rsid w:val="00244A8B"/>
    <w:rsid w:val="00251C74"/>
    <w:rsid w:val="002639A2"/>
    <w:rsid w:val="00272A92"/>
    <w:rsid w:val="002832B3"/>
    <w:rsid w:val="00286D65"/>
    <w:rsid w:val="00287BA6"/>
    <w:rsid w:val="00287F4A"/>
    <w:rsid w:val="002950F1"/>
    <w:rsid w:val="002C24C8"/>
    <w:rsid w:val="002C25AC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ED9"/>
    <w:rsid w:val="00330B04"/>
    <w:rsid w:val="00332CC6"/>
    <w:rsid w:val="00334A54"/>
    <w:rsid w:val="0034783A"/>
    <w:rsid w:val="00364C86"/>
    <w:rsid w:val="003741F3"/>
    <w:rsid w:val="00387D54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D36"/>
    <w:rsid w:val="004217BE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70CED"/>
    <w:rsid w:val="004765D2"/>
    <w:rsid w:val="00481B48"/>
    <w:rsid w:val="00485205"/>
    <w:rsid w:val="004903D4"/>
    <w:rsid w:val="004A4C16"/>
    <w:rsid w:val="004A5F7F"/>
    <w:rsid w:val="004B684D"/>
    <w:rsid w:val="004C145E"/>
    <w:rsid w:val="004D0374"/>
    <w:rsid w:val="004D04E2"/>
    <w:rsid w:val="004D0FC4"/>
    <w:rsid w:val="004D420E"/>
    <w:rsid w:val="004F26A9"/>
    <w:rsid w:val="004F6D85"/>
    <w:rsid w:val="005050A4"/>
    <w:rsid w:val="0050779E"/>
    <w:rsid w:val="00511DBF"/>
    <w:rsid w:val="00520F36"/>
    <w:rsid w:val="0052213B"/>
    <w:rsid w:val="00531183"/>
    <w:rsid w:val="00536F33"/>
    <w:rsid w:val="00555536"/>
    <w:rsid w:val="00570741"/>
    <w:rsid w:val="00576518"/>
    <w:rsid w:val="00583510"/>
    <w:rsid w:val="00586EAF"/>
    <w:rsid w:val="00590F3B"/>
    <w:rsid w:val="00592BFA"/>
    <w:rsid w:val="005942B2"/>
    <w:rsid w:val="00594B70"/>
    <w:rsid w:val="005A62E0"/>
    <w:rsid w:val="005A66A0"/>
    <w:rsid w:val="005B3461"/>
    <w:rsid w:val="005B51B4"/>
    <w:rsid w:val="005B62F9"/>
    <w:rsid w:val="005C0ACC"/>
    <w:rsid w:val="005C2991"/>
    <w:rsid w:val="005C5D56"/>
    <w:rsid w:val="005D02BF"/>
    <w:rsid w:val="005F3BDF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65550"/>
    <w:rsid w:val="006771DC"/>
    <w:rsid w:val="006779E0"/>
    <w:rsid w:val="00682F4F"/>
    <w:rsid w:val="00684C11"/>
    <w:rsid w:val="00694743"/>
    <w:rsid w:val="006B1801"/>
    <w:rsid w:val="006B256B"/>
    <w:rsid w:val="006B583F"/>
    <w:rsid w:val="006B5D09"/>
    <w:rsid w:val="006B61E1"/>
    <w:rsid w:val="006C0B4E"/>
    <w:rsid w:val="006D3FBA"/>
    <w:rsid w:val="006D4D67"/>
    <w:rsid w:val="006D68D7"/>
    <w:rsid w:val="0070158A"/>
    <w:rsid w:val="00704FB5"/>
    <w:rsid w:val="00716F3A"/>
    <w:rsid w:val="007239EA"/>
    <w:rsid w:val="00733CB2"/>
    <w:rsid w:val="00743A6C"/>
    <w:rsid w:val="0075590D"/>
    <w:rsid w:val="007709EA"/>
    <w:rsid w:val="0077453A"/>
    <w:rsid w:val="00775F8B"/>
    <w:rsid w:val="007870D8"/>
    <w:rsid w:val="007964D8"/>
    <w:rsid w:val="007A0B8F"/>
    <w:rsid w:val="007A0EAF"/>
    <w:rsid w:val="007A3083"/>
    <w:rsid w:val="007B2113"/>
    <w:rsid w:val="007E5663"/>
    <w:rsid w:val="007E5F96"/>
    <w:rsid w:val="007F4C16"/>
    <w:rsid w:val="00800B44"/>
    <w:rsid w:val="008330ED"/>
    <w:rsid w:val="00842E34"/>
    <w:rsid w:val="0085415D"/>
    <w:rsid w:val="00856163"/>
    <w:rsid w:val="00860A58"/>
    <w:rsid w:val="00870416"/>
    <w:rsid w:val="0089002A"/>
    <w:rsid w:val="008A52FC"/>
    <w:rsid w:val="008B5276"/>
    <w:rsid w:val="008C0EAA"/>
    <w:rsid w:val="008C21C3"/>
    <w:rsid w:val="008C2503"/>
    <w:rsid w:val="008C548B"/>
    <w:rsid w:val="008C63BB"/>
    <w:rsid w:val="008D1B83"/>
    <w:rsid w:val="008E000E"/>
    <w:rsid w:val="008F6E5B"/>
    <w:rsid w:val="00930750"/>
    <w:rsid w:val="009318DB"/>
    <w:rsid w:val="0093258B"/>
    <w:rsid w:val="00944B44"/>
    <w:rsid w:val="00951654"/>
    <w:rsid w:val="00951AC8"/>
    <w:rsid w:val="00960C72"/>
    <w:rsid w:val="00965B17"/>
    <w:rsid w:val="00980F5A"/>
    <w:rsid w:val="0098322B"/>
    <w:rsid w:val="009928B0"/>
    <w:rsid w:val="009928B3"/>
    <w:rsid w:val="00993AD5"/>
    <w:rsid w:val="009A0882"/>
    <w:rsid w:val="009B188A"/>
    <w:rsid w:val="009B27A5"/>
    <w:rsid w:val="009C5479"/>
    <w:rsid w:val="009C6FEC"/>
    <w:rsid w:val="009D0C0B"/>
    <w:rsid w:val="009D1673"/>
    <w:rsid w:val="009D1B6F"/>
    <w:rsid w:val="009E3AC4"/>
    <w:rsid w:val="009E5401"/>
    <w:rsid w:val="009F02D0"/>
    <w:rsid w:val="00A14915"/>
    <w:rsid w:val="00A15354"/>
    <w:rsid w:val="00A24AC1"/>
    <w:rsid w:val="00A26386"/>
    <w:rsid w:val="00A269D1"/>
    <w:rsid w:val="00A26A86"/>
    <w:rsid w:val="00A316FC"/>
    <w:rsid w:val="00A33852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91124"/>
    <w:rsid w:val="00AA75C5"/>
    <w:rsid w:val="00AB7772"/>
    <w:rsid w:val="00AC4C47"/>
    <w:rsid w:val="00AD18D8"/>
    <w:rsid w:val="00AD4D66"/>
    <w:rsid w:val="00AE54E6"/>
    <w:rsid w:val="00AE5B08"/>
    <w:rsid w:val="00AF0FFA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6744"/>
    <w:rsid w:val="00B56BF0"/>
    <w:rsid w:val="00B73A0E"/>
    <w:rsid w:val="00B83A2B"/>
    <w:rsid w:val="00B83E19"/>
    <w:rsid w:val="00BA2BA6"/>
    <w:rsid w:val="00BA2F06"/>
    <w:rsid w:val="00BB1DD6"/>
    <w:rsid w:val="00BC2919"/>
    <w:rsid w:val="00BC37EA"/>
    <w:rsid w:val="00BC5764"/>
    <w:rsid w:val="00BC5AB8"/>
    <w:rsid w:val="00BC73A3"/>
    <w:rsid w:val="00BE66FE"/>
    <w:rsid w:val="00BF0BED"/>
    <w:rsid w:val="00BF67EA"/>
    <w:rsid w:val="00C0322F"/>
    <w:rsid w:val="00C03E3D"/>
    <w:rsid w:val="00C17A3E"/>
    <w:rsid w:val="00C226FA"/>
    <w:rsid w:val="00C324C1"/>
    <w:rsid w:val="00C34B5C"/>
    <w:rsid w:val="00C36177"/>
    <w:rsid w:val="00C4044E"/>
    <w:rsid w:val="00C4279F"/>
    <w:rsid w:val="00C512E2"/>
    <w:rsid w:val="00C547CA"/>
    <w:rsid w:val="00C57479"/>
    <w:rsid w:val="00CA512B"/>
    <w:rsid w:val="00CB4A2E"/>
    <w:rsid w:val="00CB539B"/>
    <w:rsid w:val="00CC1F94"/>
    <w:rsid w:val="00CC7870"/>
    <w:rsid w:val="00CE2ABD"/>
    <w:rsid w:val="00CF1542"/>
    <w:rsid w:val="00CF410B"/>
    <w:rsid w:val="00D05B5F"/>
    <w:rsid w:val="00D14D3C"/>
    <w:rsid w:val="00D200EE"/>
    <w:rsid w:val="00D25301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7D7F"/>
    <w:rsid w:val="00E013CD"/>
    <w:rsid w:val="00E12B8F"/>
    <w:rsid w:val="00E1310E"/>
    <w:rsid w:val="00E17044"/>
    <w:rsid w:val="00E2047A"/>
    <w:rsid w:val="00E35137"/>
    <w:rsid w:val="00E37C4D"/>
    <w:rsid w:val="00E50B57"/>
    <w:rsid w:val="00E608F0"/>
    <w:rsid w:val="00E6106F"/>
    <w:rsid w:val="00E74FC1"/>
    <w:rsid w:val="00E75EB3"/>
    <w:rsid w:val="00EA1996"/>
    <w:rsid w:val="00EA799C"/>
    <w:rsid w:val="00EB1794"/>
    <w:rsid w:val="00EB1B29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F02119"/>
    <w:rsid w:val="00F0560C"/>
    <w:rsid w:val="00F06206"/>
    <w:rsid w:val="00F1001D"/>
    <w:rsid w:val="00F121DA"/>
    <w:rsid w:val="00F13285"/>
    <w:rsid w:val="00F24193"/>
    <w:rsid w:val="00F31122"/>
    <w:rsid w:val="00F32592"/>
    <w:rsid w:val="00F34985"/>
    <w:rsid w:val="00F40288"/>
    <w:rsid w:val="00F40483"/>
    <w:rsid w:val="00F631D7"/>
    <w:rsid w:val="00F72948"/>
    <w:rsid w:val="00F91DAD"/>
    <w:rsid w:val="00F93AE8"/>
    <w:rsid w:val="00FA352B"/>
    <w:rsid w:val="00FB05D8"/>
    <w:rsid w:val="00FB5D98"/>
    <w:rsid w:val="00FC2C28"/>
    <w:rsid w:val="00FD1C91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customStyle="1" w:styleId="Normal1">
    <w:name w:val="Normal1"/>
    <w:rsid w:val="00EA199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1996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1996"/>
    <w:rPr>
      <w:rFonts w:ascii="Times New Roman" w:hAnsi="Times New Roman" w:cs="Calibri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EA19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ighlight">
    <w:name w:val="highlight"/>
    <w:basedOn w:val="Fontepargpadro"/>
    <w:rsid w:val="00EA1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semiHidden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paragraph" w:customStyle="1" w:styleId="Normal1">
    <w:name w:val="Normal1"/>
    <w:rsid w:val="00EA199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1996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1996"/>
    <w:rPr>
      <w:rFonts w:ascii="Times New Roman" w:hAnsi="Times New Roman" w:cs="Calibri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EA19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ighlight">
    <w:name w:val="highlight"/>
    <w:basedOn w:val="Fontepargpadro"/>
    <w:rsid w:val="00EA1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ucasbrags8@gmail.com" TargetMode="External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34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yperlink" Target="mailto:renata.dinegreiros@gmail.com" TargetMode="Externa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iza.sousa.garcia@gmail.com" TargetMode="External"/><Relationship Id="rId24" Type="http://schemas.openxmlformats.org/officeDocument/2006/relationships/chart" Target="charts/chart9.xml"/><Relationship Id="rId32" Type="http://schemas.openxmlformats.org/officeDocument/2006/relationships/image" Target="media/image3.emf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hart" Target="charts/chart8.xml"/><Relationship Id="rId28" Type="http://schemas.openxmlformats.org/officeDocument/2006/relationships/chart" Target="charts/chart13.xml"/><Relationship Id="rId36" Type="http://schemas.openxmlformats.org/officeDocument/2006/relationships/footer" Target="footer1.xml"/><Relationship Id="rId10" Type="http://schemas.openxmlformats.org/officeDocument/2006/relationships/hyperlink" Target="mailto:paulocamurcap@gmail.com" TargetMode="External"/><Relationship Id="rId19" Type="http://schemas.openxmlformats.org/officeDocument/2006/relationships/chart" Target="charts/chart4.xml"/><Relationship Id="rId31" Type="http://schemas.openxmlformats.org/officeDocument/2006/relationships/chart" Target="charts/chart16.xml"/><Relationship Id="rId4" Type="http://schemas.microsoft.com/office/2007/relationships/stylesWithEffects" Target="stylesWithEffects.xml"/><Relationship Id="rId9" Type="http://schemas.openxmlformats.org/officeDocument/2006/relationships/hyperlink" Target="mailto:maxweelveras@gmail.com" TargetMode="External"/><Relationship Id="rId14" Type="http://schemas.openxmlformats.org/officeDocument/2006/relationships/image" Target="media/image1.png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chart" Target="charts/chart15.xm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dro%20Victor\Downloads\Finances\Balan&#231;o%20Patrimonial%20e%20DRE%202012-2016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dro%20Victor\Downloads\Finances\Balan&#231;o%20Patrimonial%20e%20DRE%202012-2016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dro%20Victor\Downloads\Finances\Balan&#231;o%20Patrimonial%20e%20DRE%202012-2016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dro%20Victor\Downloads\Finances\Balan&#231;o%20Patrimonial%20e%20DRE%202012-2016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dro%20Victor\Downloads\Finances\Balan&#231;o%20Patrimonial%20e%20DRE%202012-2016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nheiro\Downloads\Balan&#231;o%20Patrimonial%202012-2016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inheiro\Downloads\Balan&#231;o%20Patrimonial%202012-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edro%20Victor\Downloads\Finances\Balan&#231;o%20Patrimonial%20e%20DRE%202012-2016.xlsx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dro%20Victor\Downloads\Finances\Balan&#231;o%20Patrimonial%20e%20DRE%202012-201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edro%20Victor\Downloads\Finances\Balan&#231;o%20Patrimonial%20e%20DRE%202012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pt-BR">
                <a:latin typeface="Arial" pitchFamily="34" charset="0"/>
                <a:cs typeface="Arial" pitchFamily="34" charset="0"/>
              </a:rPr>
              <a:t>Ativo Circulante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176480174220962"/>
          <c:y val="0.18353202107014141"/>
          <c:w val="0.77236501951837555"/>
          <c:h val="0.54436714262948904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Ativo Corrente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0353960341034511"/>
                  <c:y val="-0.145120707984692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4A2-459D-AEF5-681145A279B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9428596825208692E-2"/>
                  <c:y val="-4.50414016732085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4A2-459D-AEF5-681145A279B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984570484663189E-2"/>
                  <c:y val="-5.71357374925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4A2-459D-AEF5-681145A279B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9633113828786628E-2"/>
                  <c:y val="-6.500876467236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4A2-459D-AEF5-681145A279B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909837704905948E-2"/>
                  <c:y val="-7.72929638582520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34A2-459D-AEF5-681145A279B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Plan1!$B$2:$B$6</c:f>
              <c:numCache>
                <c:formatCode>_-[$R$-416]\ * #,##0.00_-;\-[$R$-416]\ * #,##0.00_-;_-[$R$-416]\ * "-"??_-;_-@_-</c:formatCode>
                <c:ptCount val="5"/>
                <c:pt idx="0" formatCode="_(&quot;R$&quot;* #,##0.00_);_(&quot;R$&quot;* \(#,##0.00\);_(&quot;R$&quot;* &quot;-&quot;??_);_(@_)">
                  <c:v>1838987</c:v>
                </c:pt>
                <c:pt idx="1">
                  <c:v>2069995</c:v>
                </c:pt>
                <c:pt idx="2">
                  <c:v>1955210.24</c:v>
                </c:pt>
                <c:pt idx="3">
                  <c:v>1826483.79</c:v>
                </c:pt>
                <c:pt idx="4">
                  <c:v>1745146.73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34A2-459D-AEF5-681145A279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9294080"/>
        <c:axId val="319305216"/>
      </c:lineChart>
      <c:catAx>
        <c:axId val="31929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9305216"/>
        <c:crosses val="autoZero"/>
        <c:auto val="1"/>
        <c:lblAlgn val="ctr"/>
        <c:lblOffset val="100"/>
        <c:noMultiLvlLbl val="0"/>
      </c:catAx>
      <c:valAx>
        <c:axId val="319305216"/>
        <c:scaling>
          <c:orientation val="minMax"/>
        </c:scaling>
        <c:delete val="0"/>
        <c:axPos val="l"/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1929408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cap="none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rPr>
              <a:t>Giro do Ativo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Giro do Ativo</c:v>
          </c:tx>
          <c:spPr>
            <a:ln w="2222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'Indicadores de liquidez e renta'!$K$7:$O$7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'Indicadores de liquidez e renta'!$K$11:$O$11</c:f>
              <c:numCache>
                <c:formatCode>0.00%</c:formatCode>
                <c:ptCount val="5"/>
                <c:pt idx="0">
                  <c:v>1.0971467810206699</c:v>
                </c:pt>
                <c:pt idx="1">
                  <c:v>1.0190289424339898</c:v>
                </c:pt>
                <c:pt idx="2">
                  <c:v>1.0165834753639242</c:v>
                </c:pt>
                <c:pt idx="3">
                  <c:v>1.0731255995132161</c:v>
                </c:pt>
                <c:pt idx="4">
                  <c:v>1.0720117015842201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3F0-403D-9CD7-1536ABE6E4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9549568"/>
        <c:axId val="379596800"/>
      </c:lineChart>
      <c:catAx>
        <c:axId val="37954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9596800"/>
        <c:crosses val="autoZero"/>
        <c:auto val="1"/>
        <c:lblAlgn val="ctr"/>
        <c:lblOffset val="100"/>
        <c:noMultiLvlLbl val="0"/>
      </c:catAx>
      <c:valAx>
        <c:axId val="37959680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7954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 sz="1400" b="0">
                <a:solidFill>
                  <a:schemeClr val="tx1">
                    <a:lumMod val="75000"/>
                    <a:lumOff val="25000"/>
                  </a:schemeClr>
                </a:solidFill>
                <a:latin typeface="Arial" pitchFamily="34" charset="0"/>
                <a:cs typeface="Arial" pitchFamily="34" charset="0"/>
              </a:rPr>
              <a:t>Giro do Ativo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Ativo Total</c:v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elete val="1"/>
          </c:dLbls>
          <c:cat>
            <c:numRef>
              <c:f>DRE!$I$5:$M$5</c:f>
              <c:numCache>
                <c:formatCode>General</c:formatCode>
                <c:ptCount val="5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</c:numCache>
            </c:numRef>
          </c:cat>
          <c:val>
            <c:numRef>
              <c:f>'Balanço Patrimonial'!$J$32:$N$32</c:f>
              <c:numCache>
                <c:formatCode>#,##0;[Red]#,##0</c:formatCode>
                <c:ptCount val="5"/>
                <c:pt idx="0">
                  <c:v>2917869.6280727466</c:v>
                </c:pt>
                <c:pt idx="1">
                  <c:v>3112297.595046747</c:v>
                </c:pt>
                <c:pt idx="2">
                  <c:v>3337175.0319016082</c:v>
                </c:pt>
                <c:pt idx="3">
                  <c:v>3186110.6899166037</c:v>
                </c:pt>
                <c:pt idx="4">
                  <c:v>2740729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43-4CFA-9B8D-62CFD529552D}"/>
            </c:ext>
          </c:extLst>
        </c:ser>
        <c:ser>
          <c:idx val="1"/>
          <c:order val="1"/>
          <c:tx>
            <c:v>Vendas Líquidas</c:v>
          </c:tx>
          <c:invertIfNegative val="0"/>
          <c:dLbls>
            <c:delete val="1"/>
          </c:dLbls>
          <c:cat>
            <c:numRef>
              <c:f>DRE!$I$5:$M$5</c:f>
              <c:numCache>
                <c:formatCode>General</c:formatCode>
                <c:ptCount val="5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</c:numCache>
            </c:numRef>
          </c:cat>
          <c:val>
            <c:numRef>
              <c:f>DRE!$I$7:$M$7</c:f>
              <c:numCache>
                <c:formatCode>#,##0</c:formatCode>
                <c:ptCount val="5"/>
                <c:pt idx="0">
                  <c:v>3127990.3849911778</c:v>
                </c:pt>
                <c:pt idx="1">
                  <c:v>3339886.2225480825</c:v>
                </c:pt>
                <c:pt idx="2">
                  <c:v>3392516.9918282577</c:v>
                </c:pt>
                <c:pt idx="3">
                  <c:v>3246739.0068233507</c:v>
                </c:pt>
                <c:pt idx="4">
                  <c:v>3006982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43-4CFA-9B8D-62CFD52955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80115200"/>
        <c:axId val="380121088"/>
      </c:barChart>
      <c:catAx>
        <c:axId val="38011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380121088"/>
        <c:crosses val="autoZero"/>
        <c:auto val="1"/>
        <c:lblAlgn val="ctr"/>
        <c:lblOffset val="100"/>
        <c:noMultiLvlLbl val="0"/>
      </c:catAx>
      <c:valAx>
        <c:axId val="380121088"/>
        <c:scaling>
          <c:orientation val="minMax"/>
        </c:scaling>
        <c:delete val="0"/>
        <c:axPos val="l"/>
        <c:numFmt formatCode="&quot;R$&quot;\ #,##0.00" sourceLinked="0"/>
        <c:majorTickMark val="none"/>
        <c:minorTickMark val="none"/>
        <c:tickLblPos val="nextTo"/>
        <c:spPr>
          <a:ln>
            <a:solidFill>
              <a:sysClr val="windowText" lastClr="000000">
                <a:lumMod val="15000"/>
                <a:lumOff val="85000"/>
              </a:sysClr>
            </a:solidFill>
          </a:ln>
        </c:spPr>
        <c:txPr>
          <a:bodyPr rot="-60000000" vert="horz"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380115200"/>
        <c:crosses val="autoZero"/>
        <c:crossBetween val="between"/>
      </c:valAx>
      <c:spPr>
        <a:ln>
          <a:noFill/>
        </a:ln>
      </c:spPr>
    </c:plotArea>
    <c:legend>
      <c:legendPos val="b"/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solidFill>
        <a:sysClr val="windowText" lastClr="000000">
          <a:lumMod val="15000"/>
          <a:lumOff val="85000"/>
        </a:sysClr>
      </a:solidFill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cap="none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rPr>
              <a:t>Margem Líquida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Margem Líquida</c:v>
          </c:tx>
          <c:spPr>
            <a:ln w="2222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'Indicadores de liquidez e renta'!$K$7:$O$7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'Indicadores de liquidez e renta'!$K$12:$O$12</c:f>
              <c:numCache>
                <c:formatCode>0.00%</c:formatCode>
                <c:ptCount val="5"/>
                <c:pt idx="0">
                  <c:v>9.329487173518182E-2</c:v>
                </c:pt>
                <c:pt idx="1">
                  <c:v>9.0416435222955102E-2</c:v>
                </c:pt>
                <c:pt idx="2">
                  <c:v>7.7207085004642823E-2</c:v>
                </c:pt>
                <c:pt idx="3">
                  <c:v>6.5181757585901917E-2</c:v>
                </c:pt>
                <c:pt idx="4">
                  <c:v>8.8415707956089246E-2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D94-438A-8777-D8D86EBA25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80150144"/>
        <c:axId val="380168448"/>
      </c:lineChart>
      <c:catAx>
        <c:axId val="38015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80168448"/>
        <c:crosses val="autoZero"/>
        <c:auto val="1"/>
        <c:lblAlgn val="ctr"/>
        <c:lblOffset val="100"/>
        <c:noMultiLvlLbl val="0"/>
      </c:catAx>
      <c:valAx>
        <c:axId val="38016844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8015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cap="none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rPr>
              <a:t>Retorno Do Ativo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Retorno do Ativo</c:v>
          </c:tx>
          <c:spPr>
            <a:ln w="2222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'Indicadores de liquidez e renta'!$K$7:$O$7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'Indicadores de liquidez e renta'!$K$13:$O$13</c:f>
              <c:numCache>
                <c:formatCode>0.00%</c:formatCode>
                <c:ptCount val="5"/>
                <c:pt idx="0">
                  <c:v>0.10235816820999068</c:v>
                </c:pt>
                <c:pt idx="1">
                  <c:v>9.213696436389969E-2</c:v>
                </c:pt>
                <c:pt idx="2">
                  <c:v>7.8487446796737664E-2</c:v>
                </c:pt>
                <c:pt idx="3">
                  <c:v>6.9948212686696071E-2</c:v>
                </c:pt>
                <c:pt idx="4">
                  <c:v>9.4782673532780623E-2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CE4-478D-85BA-1788249E0D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4848128"/>
        <c:axId val="395059968"/>
      </c:lineChart>
      <c:catAx>
        <c:axId val="39484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5059968"/>
        <c:crosses val="autoZero"/>
        <c:auto val="1"/>
        <c:lblAlgn val="ctr"/>
        <c:lblOffset val="100"/>
        <c:noMultiLvlLbl val="0"/>
      </c:catAx>
      <c:valAx>
        <c:axId val="39505996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9484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vert="horz"/>
          <a:lstStyle/>
          <a:p>
            <a:pPr>
              <a:defRPr sz="140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defRPr>
            </a:pPr>
            <a:r>
              <a:rPr lang="en-US" sz="1400" b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rPr>
              <a:t>Retorno do Ativo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Ativo Total</c:v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>
                    <a:solidFill>
                      <a:schemeClr val="tx1"/>
                    </a:solidFill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DRE!$I$5:$M$5</c:f>
              <c:numCache>
                <c:formatCode>General</c:formatCode>
                <c:ptCount val="5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</c:numCache>
            </c:numRef>
          </c:cat>
          <c:val>
            <c:numRef>
              <c:f>'Balanço Patrimonial'!$J$32:$N$32</c:f>
              <c:numCache>
                <c:formatCode>#,##0;[Red]#,##0</c:formatCode>
                <c:ptCount val="5"/>
                <c:pt idx="0">
                  <c:v>2917869.6280727466</c:v>
                </c:pt>
                <c:pt idx="1">
                  <c:v>3112297.595046747</c:v>
                </c:pt>
                <c:pt idx="2">
                  <c:v>3337175.0319016082</c:v>
                </c:pt>
                <c:pt idx="3">
                  <c:v>3186110.6899166037</c:v>
                </c:pt>
                <c:pt idx="4">
                  <c:v>2740729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7C-45F2-83F5-61E94B790550}"/>
            </c:ext>
          </c:extLst>
        </c:ser>
        <c:ser>
          <c:idx val="1"/>
          <c:order val="1"/>
          <c:tx>
            <c:v>Lucro Líquido</c:v>
          </c:tx>
          <c:invertIfNegative val="0"/>
          <c:dLbls>
            <c:dLbl>
              <c:idx val="0"/>
              <c:layout>
                <c:manualLayout>
                  <c:x val="2.3102670450411141E-2"/>
                  <c:y val="2.4159452385745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07C-45F2-83F5-61E94B79055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482136360328905E-2"/>
                  <c:y val="1.2079726192872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07C-45F2-83F5-61E94B79055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171869315287829E-2"/>
                  <c:y val="2.013287698812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07C-45F2-83F5-61E94B79055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02670450411204E-2"/>
                  <c:y val="2.4159452385745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07C-45F2-83F5-61E94B79055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412937495452252E-2"/>
                  <c:y val="2.41594523857459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07C-45F2-83F5-61E94B79055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DRE!$I$5:$M$5</c:f>
              <c:numCache>
                <c:formatCode>General</c:formatCode>
                <c:ptCount val="5"/>
                <c:pt idx="0">
                  <c:v>2016</c:v>
                </c:pt>
                <c:pt idx="1">
                  <c:v>2015</c:v>
                </c:pt>
                <c:pt idx="2">
                  <c:v>2014</c:v>
                </c:pt>
                <c:pt idx="3">
                  <c:v>2013</c:v>
                </c:pt>
                <c:pt idx="4">
                  <c:v>2012</c:v>
                </c:pt>
              </c:numCache>
            </c:numRef>
          </c:cat>
          <c:val>
            <c:numRef>
              <c:f>DRE!$I$37:$M$37</c:f>
              <c:numCache>
                <c:formatCode>#,##0</c:formatCode>
                <c:ptCount val="5"/>
                <c:pt idx="0">
                  <c:v>276563.48436883528</c:v>
                </c:pt>
                <c:pt idx="1">
                  <c:v>217699.65412262268</c:v>
                </c:pt>
                <c:pt idx="2">
                  <c:v>261926.34776777925</c:v>
                </c:pt>
                <c:pt idx="3">
                  <c:v>293558.56709628465</c:v>
                </c:pt>
                <c:pt idx="4">
                  <c:v>280536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07C-45F2-83F5-61E94B7905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95150464"/>
        <c:axId val="395152000"/>
      </c:barChart>
      <c:catAx>
        <c:axId val="39515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>
            <a:solidFill>
              <a:srgbClr val="E7E6E6"/>
            </a:solidFill>
          </a:ln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395152000"/>
        <c:crosses val="autoZero"/>
        <c:auto val="1"/>
        <c:lblAlgn val="ctr"/>
        <c:lblOffset val="100"/>
        <c:noMultiLvlLbl val="0"/>
      </c:catAx>
      <c:valAx>
        <c:axId val="395152000"/>
        <c:scaling>
          <c:orientation val="minMax"/>
        </c:scaling>
        <c:delete val="0"/>
        <c:axPos val="l"/>
        <c:numFmt formatCode="&quot;R$&quot;\ #,##0" sourceLinked="0"/>
        <c:majorTickMark val="none"/>
        <c:minorTickMark val="none"/>
        <c:tickLblPos val="nextTo"/>
        <c:spPr>
          <a:ln>
            <a:solidFill>
              <a:srgbClr val="E7E6E6"/>
            </a:solidFill>
          </a:ln>
        </c:spPr>
        <c:txPr>
          <a:bodyPr rot="-60000000" vert="horz"/>
          <a:lstStyle/>
          <a:p>
            <a:pPr>
              <a:defRPr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395150464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ln>
      <a:solidFill>
        <a:schemeClr val="bg2"/>
      </a:solidFill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0908261616284852"/>
          <c:y val="0.36926475099703449"/>
          <c:w val="0.86707948157255077"/>
          <c:h val="0.52569474270261674"/>
        </c:manualLayout>
      </c:layout>
      <c:lineChart>
        <c:grouping val="standard"/>
        <c:varyColors val="0"/>
        <c:ser>
          <c:idx val="0"/>
          <c:order val="0"/>
          <c:tx>
            <c:strRef>
              <c:f>Plan1!$V$41</c:f>
              <c:strCache>
                <c:ptCount val="1"/>
                <c:pt idx="0">
                  <c:v>Endividamento Geral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Plan1!$U$42:$U$46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Plan1!$V$42:$V$46</c:f>
              <c:numCache>
                <c:formatCode>0.00%</c:formatCode>
                <c:ptCount val="5"/>
                <c:pt idx="0">
                  <c:v>0.39400000000000057</c:v>
                </c:pt>
                <c:pt idx="1">
                  <c:v>0.45440000000000008</c:v>
                </c:pt>
                <c:pt idx="2">
                  <c:v>0.42450000000000032</c:v>
                </c:pt>
                <c:pt idx="3">
                  <c:v>0.48680000000000051</c:v>
                </c:pt>
                <c:pt idx="4">
                  <c:v>0.45379999999999998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C80-4AD5-BB2C-7679C9405D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5286784"/>
        <c:axId val="395297920"/>
      </c:lineChart>
      <c:catAx>
        <c:axId val="39528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5297920"/>
        <c:crosses val="autoZero"/>
        <c:auto val="1"/>
        <c:lblAlgn val="ctr"/>
        <c:lblOffset val="100"/>
        <c:noMultiLvlLbl val="0"/>
      </c:catAx>
      <c:valAx>
        <c:axId val="395297920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9528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Plan1!$V$48</c:f>
              <c:strCache>
                <c:ptCount val="1"/>
                <c:pt idx="0">
                  <c:v>Composição do Endividamento</c:v>
                </c:pt>
              </c:strCache>
            </c:strRef>
          </c:tx>
          <c:spPr>
            <a:ln w="2857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Plan1!$U$49:$U$53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Plan1!$V$49:$V$53</c:f>
              <c:numCache>
                <c:formatCode>0.00%</c:formatCode>
                <c:ptCount val="5"/>
                <c:pt idx="0">
                  <c:v>0.69960854985641252</c:v>
                </c:pt>
                <c:pt idx="1">
                  <c:v>0.66415717369117566</c:v>
                </c:pt>
                <c:pt idx="2">
                  <c:v>0.64245430458960961</c:v>
                </c:pt>
                <c:pt idx="3">
                  <c:v>0.71471165800874881</c:v>
                </c:pt>
                <c:pt idx="4">
                  <c:v>0.57946061971574947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4B3-4976-80F1-639674A23B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5380224"/>
        <c:axId val="395410816"/>
      </c:lineChart>
      <c:catAx>
        <c:axId val="39538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5410816"/>
        <c:crosses val="autoZero"/>
        <c:auto val="1"/>
        <c:lblAlgn val="ctr"/>
        <c:lblOffset val="100"/>
        <c:noMultiLvlLbl val="0"/>
      </c:catAx>
      <c:valAx>
        <c:axId val="39541081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9538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pt-BR">
                <a:latin typeface="Arial" pitchFamily="34" charset="0"/>
                <a:cs typeface="Arial" pitchFamily="34" charset="0"/>
              </a:rPr>
              <a:t>Realizável a Longo Prazo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Realizável a Longo Prazo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9.6484100117776944E-2"/>
                  <c:y val="-0.100489206245947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CB2-4DAD-92D7-C9032E432DA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984570484663217E-2"/>
                  <c:y val="-5.7135737492599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CB2-4DAD-92D7-C9032E432DA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114769520225774E-2"/>
                  <c:y val="-0.131546053277856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CB2-4DAD-92D7-C9032E432DA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909837704905965E-2"/>
                  <c:y val="-7.72929638582520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CB2-4DAD-92D7-C9032E432DA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Plan1!$B$2:$B$6</c:f>
              <c:numCache>
                <c:formatCode>_("R$"* #,##0.00_);_("R$"* \(#,##0.00\);_("R$"* "-"??_);_(@_)</c:formatCode>
                <c:ptCount val="5"/>
                <c:pt idx="0">
                  <c:v>129900</c:v>
                </c:pt>
                <c:pt idx="1">
                  <c:v>123449.58301743746</c:v>
                </c:pt>
                <c:pt idx="2">
                  <c:v>129517.92052009671</c:v>
                </c:pt>
                <c:pt idx="3">
                  <c:v>115971.74031916721</c:v>
                </c:pt>
                <c:pt idx="4">
                  <c:v>114646.32019899221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CB2-4DAD-92D7-C9032E432D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9314560"/>
        <c:axId val="319321600"/>
      </c:lineChart>
      <c:catAx>
        <c:axId val="31931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9321600"/>
        <c:crosses val="autoZero"/>
        <c:auto val="1"/>
        <c:lblAlgn val="ctr"/>
        <c:lblOffset val="100"/>
        <c:noMultiLvlLbl val="0"/>
      </c:catAx>
      <c:valAx>
        <c:axId val="319321600"/>
        <c:scaling>
          <c:orientation val="minMax"/>
        </c:scaling>
        <c:delete val="0"/>
        <c:axPos val="l"/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1931456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pt-BR">
                <a:latin typeface="Arial" pitchFamily="34" charset="0"/>
                <a:cs typeface="Arial" pitchFamily="34" charset="0"/>
              </a:rPr>
              <a:t>Ativo Permanente</a:t>
            </a:r>
            <a:endParaRPr lang="pt-BR" baseline="0">
              <a:latin typeface="Arial" pitchFamily="34" charset="0"/>
              <a:cs typeface="Arial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'Plan1'!$B$1</c:f>
              <c:strCache>
                <c:ptCount val="1"/>
                <c:pt idx="0">
                  <c:v>Ativo Permanente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9.6484100117776944E-2"/>
                  <c:y val="-0.100489206245947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075-415D-8417-22D5AB23725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132265686920846E-2"/>
                  <c:y val="-7.376994426847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075-415D-8417-22D5AB23725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963311382878667E-2"/>
                  <c:y val="-5.9463990621909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075-415D-8417-22D5AB23725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4332782720128317E-4"/>
                  <c:y val="-5.5113744272401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075-415D-8417-22D5AB23725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'Plan1'!$A$2:$A$6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'Plan1'!$B$2:$B$6</c:f>
              <c:numCache>
                <c:formatCode>_("R$"* #,##0.00_);_("R$"* \(#,##0.00\);_("R$"* "-"??_);_(@_)</c:formatCode>
                <c:ptCount val="5"/>
                <c:pt idx="0">
                  <c:v>771842</c:v>
                </c:pt>
                <c:pt idx="1">
                  <c:v>992665.84533737705</c:v>
                </c:pt>
                <c:pt idx="2">
                  <c:v>1252446.875192198</c:v>
                </c:pt>
                <c:pt idx="3">
                  <c:v>1169842.0645962157</c:v>
                </c:pt>
                <c:pt idx="4">
                  <c:v>1058076.5758751747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075-415D-8417-22D5AB2372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9347328"/>
        <c:axId val="319350272"/>
      </c:lineChart>
      <c:catAx>
        <c:axId val="31934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9350272"/>
        <c:crosses val="autoZero"/>
        <c:auto val="1"/>
        <c:lblAlgn val="ctr"/>
        <c:lblOffset val="100"/>
        <c:noMultiLvlLbl val="0"/>
      </c:catAx>
      <c:valAx>
        <c:axId val="319350272"/>
        <c:scaling>
          <c:orientation val="minMax"/>
        </c:scaling>
        <c:delete val="0"/>
        <c:axPos val="l"/>
        <c:numFmt formatCode="&quot;R$&quot;\ 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19347328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pt-BR">
                <a:latin typeface="Arial" pitchFamily="34" charset="0"/>
                <a:cs typeface="Arial" pitchFamily="34" charset="0"/>
              </a:rPr>
              <a:t>Passivo Circulante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Passivo Circulante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9.6484100117776944E-2"/>
                  <c:y val="-0.100489206245947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CD2-43A9-ADC4-B6149BE9B7E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132265686920846E-2"/>
                  <c:y val="-7.376994426847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CD2-43A9-ADC4-B6149BE9B7E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9633113828786628E-2"/>
                  <c:y val="-5.94639906219098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CD2-43A9-ADC4-B6149BE9B7E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4332782720128252E-4"/>
                  <c:y val="-5.5113744272401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CD2-43A9-ADC4-B6149BE9B7E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Plan1!$B$2:$B$6</c:f>
              <c:numCache>
                <c:formatCode>_("R$"* #,##0.00_);_("R$"* \(#,##0.00\);_("R$"* "-"??_);_(@_)</c:formatCode>
                <c:ptCount val="5"/>
                <c:pt idx="0">
                  <c:v>755459</c:v>
                </c:pt>
                <c:pt idx="1">
                  <c:v>961449.96209249448</c:v>
                </c:pt>
                <c:pt idx="2">
                  <c:v>910137.56471828127</c:v>
                </c:pt>
                <c:pt idx="3">
                  <c:v>1082940.1680810598</c:v>
                </c:pt>
                <c:pt idx="4">
                  <c:v>767284.23649574199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1CD2-43A9-ADC4-B6149BE9B7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0666240"/>
        <c:axId val="320669184"/>
      </c:lineChart>
      <c:catAx>
        <c:axId val="32066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0669184"/>
        <c:crosses val="autoZero"/>
        <c:auto val="1"/>
        <c:lblAlgn val="ctr"/>
        <c:lblOffset val="100"/>
        <c:noMultiLvlLbl val="0"/>
      </c:catAx>
      <c:valAx>
        <c:axId val="320669184"/>
        <c:scaling>
          <c:orientation val="minMax"/>
        </c:scaling>
        <c:delete val="0"/>
        <c:axPos val="l"/>
        <c:numFmt formatCode="&quot;R$&quot;\ 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2066624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pt-BR">
                <a:latin typeface="Arial" pitchFamily="34" charset="0"/>
                <a:cs typeface="Arial" pitchFamily="34" charset="0"/>
              </a:rPr>
              <a:t>Exigível a Longo Prazo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Exigível a Longo Prazo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9.0010629550892451E-2"/>
                  <c:y val="-8.96729674801185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E-43DB-801A-81FE9E422C4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881711987318621"/>
                  <c:y val="-4.50414657413733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E-43DB-801A-81FE9E422C4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89143784120122"/>
                  <c:y val="-7.376994426847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D1E-43DB-801A-81FE9E422C4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6095954844778925E-2"/>
                  <c:y val="-9.2732634924654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E-43DB-801A-81FE9E422C4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4332782720128317E-4"/>
                  <c:y val="-5.5113744272401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E-43DB-801A-81FE9E422C4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Plan1!$B$2:$B$6</c:f>
              <c:numCache>
                <c:formatCode>_("R$"* #,##0.00_);_("R$"* \(#,##0.00\);_("R$"* "-"??_);_(@_)</c:formatCode>
                <c:ptCount val="5"/>
                <c:pt idx="0">
                  <c:v>324372</c:v>
                </c:pt>
                <c:pt idx="1">
                  <c:v>486174.18498862791</c:v>
                </c:pt>
                <c:pt idx="2">
                  <c:v>506519.71069629391</c:v>
                </c:pt>
                <c:pt idx="3">
                  <c:v>432272.5137691712</c:v>
                </c:pt>
                <c:pt idx="4">
                  <c:v>556851.02030933218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D1E-43DB-801A-81FE9E422C4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0715776"/>
        <c:axId val="320767872"/>
      </c:lineChart>
      <c:catAx>
        <c:axId val="32071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0767872"/>
        <c:crosses val="autoZero"/>
        <c:auto val="1"/>
        <c:lblAlgn val="ctr"/>
        <c:lblOffset val="100"/>
        <c:noMultiLvlLbl val="0"/>
      </c:catAx>
      <c:valAx>
        <c:axId val="320767872"/>
        <c:scaling>
          <c:orientation val="minMax"/>
        </c:scaling>
        <c:delete val="0"/>
        <c:axPos val="l"/>
        <c:numFmt formatCode="&quot;R$&quot;\ 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20715776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pt-BR">
                <a:latin typeface="Arial" pitchFamily="34" charset="0"/>
                <a:cs typeface="Arial" pitchFamily="34" charset="0"/>
              </a:rPr>
              <a:t>Patrimônio Líquido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Patrimônio Liquido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tx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1385189017577151"/>
                  <c:y val="-4.3510974179656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19C-4376-82F1-9393B4058A0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1497599359628997"/>
                  <c:y val="-7.3893006575829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19C-4376-82F1-9393B4058A0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89143784120122"/>
                  <c:y val="-7.376994426847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19C-4376-82F1-9393B4058A0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6095954844778925E-2"/>
                  <c:y val="-9.2732634924654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19C-4376-82F1-9393B4058A0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4332782720128382E-4"/>
                  <c:y val="-5.5113744272401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19C-4376-82F1-9393B4058A0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Plan1!$A$2:$A$6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Plan1!$B$2:$B$6</c:f>
              <c:numCache>
                <c:formatCode>"R$"\ #,##0.00</c:formatCode>
                <c:ptCount val="5"/>
                <c:pt idx="0">
                  <c:v>1660898</c:v>
                </c:pt>
                <c:pt idx="1">
                  <c:v>1738486.5428354831</c:v>
                </c:pt>
                <c:pt idx="2">
                  <c:v>1920517.7564870398</c:v>
                </c:pt>
                <c:pt idx="3">
                  <c:v>1597084.9131965202</c:v>
                </c:pt>
                <c:pt idx="4">
                  <c:v>1593734.3712676738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A19C-4376-82F1-9393B4058A0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19200640"/>
        <c:axId val="319240448"/>
      </c:lineChart>
      <c:catAx>
        <c:axId val="31920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9240448"/>
        <c:crosses val="autoZero"/>
        <c:auto val="1"/>
        <c:lblAlgn val="ctr"/>
        <c:lblOffset val="100"/>
        <c:noMultiLvlLbl val="0"/>
      </c:catAx>
      <c:valAx>
        <c:axId val="319240448"/>
        <c:scaling>
          <c:orientation val="minMax"/>
        </c:scaling>
        <c:delete val="0"/>
        <c:axPos val="l"/>
        <c:numFmt formatCode="&quot;R$&quot;\ 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1920064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20" normalizeH="0" baseline="0">
                <a:solidFill>
                  <a:sysClr val="windowText" lastClr="000000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en-US" sz="1400" b="0" cap="none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rPr>
              <a:t>Liquidez Corrente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Liquidez Corrente</c:v>
          </c:tx>
          <c:spPr>
            <a:ln>
              <a:solidFill>
                <a:sysClr val="window" lastClr="FFFFFF">
                  <a:lumMod val="65000"/>
                </a:sysClr>
              </a:solidFill>
            </a:ln>
            <a:effectLst/>
          </c:spPr>
          <c:marker>
            <c:symbol val="diamond"/>
            <c:size val="6"/>
            <c:spPr>
              <a:solidFill>
                <a:sysClr val="windowText" lastClr="000000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'Indicadores de liquidez e renta'!$K$7:$O$7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'Indicadores de liquidez e renta'!$K$8:$O$8</c:f>
              <c:numCache>
                <c:formatCode>0.00%</c:formatCode>
                <c:ptCount val="5"/>
                <c:pt idx="0">
                  <c:v>2.4342644670326248</c:v>
                </c:pt>
                <c:pt idx="1">
                  <c:v>2.1529932322808181</c:v>
                </c:pt>
                <c:pt idx="2">
                  <c:v>2.1482579249374512</c:v>
                </c:pt>
                <c:pt idx="3">
                  <c:v>1.6865971398658623</c:v>
                </c:pt>
                <c:pt idx="4">
                  <c:v>2.2744462208279286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882-4E69-B869-0025C6768F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31052928"/>
        <c:axId val="331055872"/>
      </c:lineChart>
      <c:catAx>
        <c:axId val="33105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1055872"/>
        <c:crosses val="autoZero"/>
        <c:auto val="1"/>
        <c:lblAlgn val="ctr"/>
        <c:lblOffset val="100"/>
        <c:noMultiLvlLbl val="0"/>
      </c:catAx>
      <c:valAx>
        <c:axId val="331055872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3105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spc="120" normalizeH="0" baseline="0">
                <a:solidFill>
                  <a:schemeClr val="tx1">
                    <a:lumMod val="75000"/>
                    <a:lumOff val="2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en-US" sz="1400" b="0" cap="none">
                <a:solidFill>
                  <a:schemeClr val="tx1">
                    <a:lumMod val="75000"/>
                    <a:lumOff val="25000"/>
                  </a:schemeClr>
                </a:solidFill>
                <a:latin typeface="Arial" pitchFamily="34" charset="0"/>
                <a:cs typeface="Arial" pitchFamily="34" charset="0"/>
              </a:rPr>
              <a:t>Liquidez Seca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Liquidez Seca</c:v>
          </c:tx>
          <c:spPr>
            <a:ln w="2222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'Indicadores de liquidez e renta'!$K$7:$O$7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'Indicadores de liquidez e renta'!$K$9:$O$9</c:f>
              <c:numCache>
                <c:formatCode>0.00%</c:formatCode>
                <c:ptCount val="5"/>
                <c:pt idx="0">
                  <c:v>1.8379104623811484</c:v>
                </c:pt>
                <c:pt idx="1">
                  <c:v>1.6815465805571488</c:v>
                </c:pt>
                <c:pt idx="2">
                  <c:v>1.537806981156522</c:v>
                </c:pt>
                <c:pt idx="3">
                  <c:v>1.19140692116724</c:v>
                </c:pt>
                <c:pt idx="4">
                  <c:v>1.6067016580696381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F7B-4122-9DED-FB29D856D2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3539200"/>
        <c:axId val="373541888"/>
      </c:lineChart>
      <c:catAx>
        <c:axId val="37353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3541888"/>
        <c:crosses val="autoZero"/>
        <c:auto val="1"/>
        <c:lblAlgn val="ctr"/>
        <c:lblOffset val="100"/>
        <c:noMultiLvlLbl val="0"/>
      </c:catAx>
      <c:valAx>
        <c:axId val="37354188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7353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0" cap="none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cs typeface="Arial" pitchFamily="34" charset="0"/>
              </a:rPr>
              <a:t>Liquidez Geral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Liquidez Geral</c:v>
          </c:tx>
          <c:spPr>
            <a:ln w="22225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tx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itchFamily="34" charset="0"/>
                    <a:ea typeface="+mn-ea"/>
                    <a:cs typeface="Arial" pitchFamily="34" charset="0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'Indicadores de liquidez e renta'!$K$6:$O$7</c:f>
              <c:strCach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strCache>
            </c:strRef>
          </c:cat>
          <c:val>
            <c:numRef>
              <c:f>'Indicadores de liquidez e renta'!$K$10:$O$10</c:f>
              <c:numCache>
                <c:formatCode>0.00%</c:formatCode>
                <c:ptCount val="5"/>
                <c:pt idx="0">
                  <c:v>1.8233288357159592</c:v>
                </c:pt>
                <c:pt idx="1">
                  <c:v>1.5152032722042641</c:v>
                </c:pt>
                <c:pt idx="2">
                  <c:v>1.4715825717969353</c:v>
                </c:pt>
                <c:pt idx="3">
                  <c:v>1.2819688969858654</c:v>
                </c:pt>
                <c:pt idx="4">
                  <c:v>1.4045340478924722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FEA-4685-B7DF-E60410EF6FB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73770880"/>
        <c:axId val="373863936"/>
      </c:lineChart>
      <c:catAx>
        <c:axId val="37377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73863936"/>
        <c:crosses val="autoZero"/>
        <c:auto val="1"/>
        <c:lblAlgn val="ctr"/>
        <c:lblOffset val="100"/>
        <c:noMultiLvlLbl val="0"/>
      </c:catAx>
      <c:valAx>
        <c:axId val="373863936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endParaRPr lang="pt-BR"/>
          </a:p>
        </c:txPr>
        <c:crossAx val="37377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A827-7EF4-41DE-91DB-900F37A4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4987</Words>
  <Characters>26934</Characters>
  <Application>Microsoft Office Word</Application>
  <DocSecurity>0</DocSecurity>
  <Lines>224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31858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keywords/>
  <dc:description/>
  <cp:lastModifiedBy>Pinheiro</cp:lastModifiedBy>
  <cp:revision>3</cp:revision>
  <dcterms:created xsi:type="dcterms:W3CDTF">2018-02-14T01:51:00Z</dcterms:created>
  <dcterms:modified xsi:type="dcterms:W3CDTF">2018-02-14T02:04:00Z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-1684379326</vt:i4>
  </property>
</Properties>
</file>