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4FBB0318" w:rsidR="004B2BD6" w:rsidRPr="004B2BD6" w:rsidRDefault="009057AB" w:rsidP="009057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7AB">
        <w:rPr>
          <w:rFonts w:ascii="Times New Roman" w:hAnsi="Times New Roman" w:cs="Times New Roman"/>
          <w:b/>
          <w:bCs/>
          <w:sz w:val="28"/>
          <w:szCs w:val="28"/>
        </w:rPr>
        <w:t>EFICÁCIA DO USO DA TEPLIZUMABE NA PREVENÇÃO E RETARDO DO SURGIMENTO DA DIABETES TIPO 1</w:t>
      </w:r>
    </w:p>
    <w:p w14:paraId="5EC8B84B" w14:textId="2445505A" w:rsidR="00E9749F" w:rsidRP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371DE7" w:rsidRPr="00371DE7">
        <w:rPr>
          <w:rFonts w:ascii="Times New Roman" w:hAnsi="Times New Roman" w:cs="Times New Roman"/>
          <w:sz w:val="24"/>
          <w:szCs w:val="24"/>
        </w:rPr>
        <w:t xml:space="preserve">A Diabetes tipo 1 (DM1) é uma doença crônica, autoimune progressiva, que afeta milhões de pessoas em todo o mundo, causando danos ao pâncreas e prejudicando a produção de insulina. A síntese insulínica é prejudicada pela ação das células T, as quais vão destruir as células </w:t>
      </w:r>
      <w:r w:rsidR="00E966F2" w:rsidRPr="00371DE7">
        <w:rPr>
          <w:rFonts w:ascii="Times New Roman" w:hAnsi="Times New Roman" w:cs="Times New Roman"/>
          <w:sz w:val="24"/>
          <w:szCs w:val="24"/>
        </w:rPr>
        <w:t>β pancreáticas</w:t>
      </w:r>
      <w:r w:rsidR="00371DE7" w:rsidRPr="00371DE7">
        <w:rPr>
          <w:rFonts w:ascii="Times New Roman" w:hAnsi="Times New Roman" w:cs="Times New Roman"/>
          <w:sz w:val="24"/>
          <w:szCs w:val="24"/>
        </w:rPr>
        <w:t xml:space="preserve"> </w:t>
      </w:r>
      <w:r w:rsidR="00E966F2" w:rsidRPr="00371DE7">
        <w:rPr>
          <w:rFonts w:ascii="Times New Roman" w:hAnsi="Times New Roman" w:cs="Times New Roman"/>
          <w:sz w:val="24"/>
          <w:szCs w:val="24"/>
        </w:rPr>
        <w:t>e,</w:t>
      </w:r>
      <w:r w:rsidR="00371DE7" w:rsidRPr="00371DE7">
        <w:rPr>
          <w:rFonts w:ascii="Times New Roman" w:hAnsi="Times New Roman" w:cs="Times New Roman"/>
          <w:sz w:val="24"/>
          <w:szCs w:val="24"/>
        </w:rPr>
        <w:t xml:space="preserve"> consequentemente, causar a perda da insulina e a dependência à insulina exógena.  Porém, na atualidade, existem anticorpos monoclonais, como o </w:t>
      </w:r>
      <w:proofErr w:type="spellStart"/>
      <w:r w:rsidR="00371DE7" w:rsidRPr="00371DE7">
        <w:rPr>
          <w:rFonts w:ascii="Times New Roman" w:hAnsi="Times New Roman" w:cs="Times New Roman"/>
          <w:sz w:val="24"/>
          <w:szCs w:val="24"/>
        </w:rPr>
        <w:t>teplizumabe</w:t>
      </w:r>
      <w:proofErr w:type="spellEnd"/>
      <w:r w:rsidR="00371DE7" w:rsidRPr="00371DE7">
        <w:rPr>
          <w:rFonts w:ascii="Times New Roman" w:hAnsi="Times New Roman" w:cs="Times New Roman"/>
          <w:sz w:val="24"/>
          <w:szCs w:val="24"/>
        </w:rPr>
        <w:t xml:space="preserve">, </w:t>
      </w:r>
      <w:r w:rsidR="00E966F2" w:rsidRPr="00371DE7">
        <w:rPr>
          <w:rFonts w:ascii="Times New Roman" w:hAnsi="Times New Roman" w:cs="Times New Roman"/>
          <w:sz w:val="24"/>
          <w:szCs w:val="24"/>
        </w:rPr>
        <w:t>que têm</w:t>
      </w:r>
      <w:r w:rsidR="00371DE7" w:rsidRPr="00371DE7">
        <w:rPr>
          <w:rFonts w:ascii="Times New Roman" w:hAnsi="Times New Roman" w:cs="Times New Roman"/>
          <w:sz w:val="24"/>
          <w:szCs w:val="24"/>
        </w:rPr>
        <w:t xml:space="preserve"> sido estudados como uma possível forma de prevenir ou ajudar no tratamento </w:t>
      </w:r>
      <w:r w:rsidR="00E966F2" w:rsidRPr="00371DE7">
        <w:rPr>
          <w:rFonts w:ascii="Times New Roman" w:hAnsi="Times New Roman" w:cs="Times New Roman"/>
          <w:sz w:val="24"/>
          <w:szCs w:val="24"/>
        </w:rPr>
        <w:t>da DM</w:t>
      </w:r>
      <w:r w:rsidR="00371DE7" w:rsidRPr="00371DE7">
        <w:rPr>
          <w:rFonts w:ascii="Times New Roman" w:hAnsi="Times New Roman" w:cs="Times New Roman"/>
          <w:sz w:val="24"/>
          <w:szCs w:val="24"/>
        </w:rPr>
        <w:t xml:space="preserve">1, atuando, inclusive, na diminuição da dependência à insulina exógena. </w:t>
      </w:r>
      <w:r w:rsidR="00C45D74" w:rsidRPr="00371DE7">
        <w:rPr>
          <w:rFonts w:ascii="Times New Roman" w:hAnsi="Times New Roman" w:cs="Times New Roman"/>
          <w:b/>
          <w:bCs/>
          <w:sz w:val="24"/>
          <w:szCs w:val="24"/>
        </w:rPr>
        <w:t>OBJETIVO: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71DE7" w:rsidRPr="00371DE7">
        <w:rPr>
          <w:rFonts w:ascii="Times New Roman" w:hAnsi="Times New Roman" w:cs="Times New Roman"/>
          <w:sz w:val="24"/>
          <w:szCs w:val="24"/>
        </w:rPr>
        <w:t xml:space="preserve">Identificar a eficácia do uso da </w:t>
      </w:r>
      <w:proofErr w:type="spellStart"/>
      <w:r w:rsidR="00371DE7" w:rsidRPr="00371DE7">
        <w:rPr>
          <w:rFonts w:ascii="Times New Roman" w:hAnsi="Times New Roman" w:cs="Times New Roman"/>
          <w:sz w:val="24"/>
          <w:szCs w:val="24"/>
        </w:rPr>
        <w:t>teplizumabe</w:t>
      </w:r>
      <w:proofErr w:type="spellEnd"/>
      <w:r w:rsidR="00371DE7" w:rsidRPr="00371DE7">
        <w:rPr>
          <w:rFonts w:ascii="Times New Roman" w:hAnsi="Times New Roman" w:cs="Times New Roman"/>
          <w:sz w:val="24"/>
          <w:szCs w:val="24"/>
        </w:rPr>
        <w:t xml:space="preserve"> na prevenção e no retardo do surgimento da diabetes tipo </w:t>
      </w:r>
      <w:r w:rsidR="00371DE7" w:rsidRPr="00371DE7">
        <w:rPr>
          <w:rFonts w:ascii="Times New Roman" w:hAnsi="Times New Roman" w:cs="Times New Roman"/>
          <w:sz w:val="24"/>
          <w:szCs w:val="24"/>
        </w:rPr>
        <w:t>1.</w:t>
      </w:r>
      <w:r w:rsidR="00371DE7">
        <w:rPr>
          <w:rFonts w:ascii="Times New Roman" w:hAnsi="Times New Roman" w:cs="Times New Roman"/>
          <w:b/>
          <w:bCs/>
          <w:sz w:val="24"/>
          <w:szCs w:val="24"/>
        </w:rPr>
        <w:t xml:space="preserve"> 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26975" w:rsidRPr="00526975">
        <w:rPr>
          <w:rFonts w:ascii="Times New Roman" w:hAnsi="Times New Roman" w:cs="Times New Roman"/>
          <w:sz w:val="24"/>
          <w:szCs w:val="24"/>
        </w:rPr>
        <w:t xml:space="preserve">Trata-se de uma revisão integrativa de literatura a partir da base de dados </w:t>
      </w:r>
      <w:proofErr w:type="spellStart"/>
      <w:r w:rsidR="00526975" w:rsidRPr="00526975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526975" w:rsidRPr="00526975">
        <w:rPr>
          <w:rFonts w:ascii="Times New Roman" w:hAnsi="Times New Roman" w:cs="Times New Roman"/>
          <w:sz w:val="24"/>
          <w:szCs w:val="24"/>
        </w:rPr>
        <w:t>, realizada no dia 19 de abril de 2023, com os descritores “</w:t>
      </w:r>
      <w:proofErr w:type="spellStart"/>
      <w:r w:rsidR="00526975" w:rsidRPr="00526975">
        <w:rPr>
          <w:rFonts w:ascii="Times New Roman" w:hAnsi="Times New Roman" w:cs="Times New Roman"/>
          <w:sz w:val="24"/>
          <w:szCs w:val="24"/>
        </w:rPr>
        <w:t>teplizumab</w:t>
      </w:r>
      <w:proofErr w:type="spellEnd"/>
      <w:r w:rsidR="00526975" w:rsidRPr="00526975">
        <w:rPr>
          <w:rFonts w:ascii="Times New Roman" w:hAnsi="Times New Roman" w:cs="Times New Roman"/>
          <w:sz w:val="24"/>
          <w:szCs w:val="24"/>
        </w:rPr>
        <w:t xml:space="preserve">”, “diabetes </w:t>
      </w:r>
      <w:proofErr w:type="spellStart"/>
      <w:r w:rsidR="00526975" w:rsidRPr="00526975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="00526975" w:rsidRPr="00526975">
        <w:rPr>
          <w:rFonts w:ascii="Times New Roman" w:hAnsi="Times New Roman" w:cs="Times New Roman"/>
          <w:sz w:val="24"/>
          <w:szCs w:val="24"/>
        </w:rPr>
        <w:t xml:space="preserve"> 1” e “</w:t>
      </w:r>
      <w:proofErr w:type="spellStart"/>
      <w:r w:rsidR="00526975" w:rsidRPr="00526975">
        <w:rPr>
          <w:rFonts w:ascii="Times New Roman" w:hAnsi="Times New Roman" w:cs="Times New Roman"/>
          <w:sz w:val="24"/>
          <w:szCs w:val="24"/>
        </w:rPr>
        <w:t>efficacy</w:t>
      </w:r>
      <w:proofErr w:type="spellEnd"/>
      <w:r w:rsidR="00526975" w:rsidRPr="00526975">
        <w:rPr>
          <w:rFonts w:ascii="Times New Roman" w:hAnsi="Times New Roman" w:cs="Times New Roman"/>
          <w:sz w:val="24"/>
          <w:szCs w:val="24"/>
        </w:rPr>
        <w:t>”, associados ao operador booleano “AND” e com o filtro “</w:t>
      </w:r>
      <w:proofErr w:type="spellStart"/>
      <w:r w:rsidR="00526975" w:rsidRPr="00526975">
        <w:rPr>
          <w:rFonts w:ascii="Times New Roman" w:hAnsi="Times New Roman" w:cs="Times New Roman"/>
          <w:sz w:val="24"/>
          <w:szCs w:val="24"/>
        </w:rPr>
        <w:t>free</w:t>
      </w:r>
      <w:proofErr w:type="spellEnd"/>
      <w:r w:rsidR="00526975" w:rsidRPr="00526975">
        <w:rPr>
          <w:rFonts w:ascii="Times New Roman" w:hAnsi="Times New Roman" w:cs="Times New Roman"/>
          <w:sz w:val="24"/>
          <w:szCs w:val="24"/>
        </w:rPr>
        <w:t xml:space="preserve"> full </w:t>
      </w:r>
      <w:proofErr w:type="spellStart"/>
      <w:r w:rsidR="00526975" w:rsidRPr="00526975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="00526975" w:rsidRPr="00526975">
        <w:rPr>
          <w:rFonts w:ascii="Times New Roman" w:hAnsi="Times New Roman" w:cs="Times New Roman"/>
          <w:sz w:val="24"/>
          <w:szCs w:val="24"/>
        </w:rPr>
        <w:t xml:space="preserve">”. Foram identificados 7 artigos, dos quais todos foram selecionados para a leitura do texto completo. O parâmetro utilizado para a seleção dos artigos foi a relação com o tema a ser estudado e o objetivo </w:t>
      </w:r>
      <w:proofErr w:type="spellStart"/>
      <w:proofErr w:type="gramStart"/>
      <w:r w:rsidR="00526975" w:rsidRPr="00526975">
        <w:rPr>
          <w:rFonts w:ascii="Times New Roman" w:hAnsi="Times New Roman" w:cs="Times New Roman"/>
          <w:sz w:val="24"/>
          <w:szCs w:val="24"/>
        </w:rPr>
        <w:t>descrito.</w:t>
      </w:r>
      <w:r w:rsidR="00371DE7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proofErr w:type="spellEnd"/>
      <w:proofErr w:type="gramEnd"/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9057AB" w:rsidRPr="009057AB">
        <w:rPr>
          <w:rFonts w:ascii="Times New Roman" w:hAnsi="Times New Roman" w:cs="Times New Roman"/>
          <w:sz w:val="24"/>
          <w:szCs w:val="24"/>
        </w:rPr>
        <w:t xml:space="preserve">O anticorpo monoclonal, </w:t>
      </w:r>
      <w:proofErr w:type="spellStart"/>
      <w:r w:rsidR="009057AB" w:rsidRPr="009057AB">
        <w:rPr>
          <w:rFonts w:ascii="Times New Roman" w:hAnsi="Times New Roman" w:cs="Times New Roman"/>
          <w:sz w:val="24"/>
          <w:szCs w:val="24"/>
        </w:rPr>
        <w:t>teplizumabe</w:t>
      </w:r>
      <w:proofErr w:type="spellEnd"/>
      <w:r w:rsidR="009057AB" w:rsidRPr="009057AB">
        <w:rPr>
          <w:rFonts w:ascii="Times New Roman" w:hAnsi="Times New Roman" w:cs="Times New Roman"/>
          <w:sz w:val="24"/>
          <w:szCs w:val="24"/>
        </w:rPr>
        <w:t xml:space="preserve">, apresentou elevado potencial tanto para a prevenção de indivíduos com alto risco para DM1, quanto para o tratamento em DM1 recentes. Nos estudos analisados, foram vistos uma redução da perda da Proteína C (um peptídeo usado para a avaliar a produção de insulina); uma diminuição da necessidade do uso de insulina, pelos dependentes da insulina exógena e uma preservação da função das células β, as quais tiveram suas atividades prolongadas por mais ou menos dois anos. Além disso, o medicamento mostrou uma atuação no sistema imune, através da indução de células regulatórias, liberação de citocinas inibitórias e depleção de células </w:t>
      </w:r>
      <w:r w:rsidR="00371DE7" w:rsidRPr="009057AB">
        <w:rPr>
          <w:rFonts w:ascii="Times New Roman" w:hAnsi="Times New Roman" w:cs="Times New Roman"/>
          <w:sz w:val="24"/>
          <w:szCs w:val="24"/>
        </w:rPr>
        <w:t>T.</w:t>
      </w:r>
      <w:r w:rsidR="00371DE7" w:rsidRPr="00C45D74">
        <w:rPr>
          <w:rFonts w:ascii="Times New Roman" w:hAnsi="Times New Roman" w:cs="Times New Roman"/>
          <w:b/>
          <w:bCs/>
          <w:sz w:val="24"/>
          <w:szCs w:val="24"/>
        </w:rPr>
        <w:t xml:space="preserve"> 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9057AB" w:rsidRPr="009057AB">
        <w:rPr>
          <w:rFonts w:ascii="Times New Roman" w:hAnsi="Times New Roman" w:cs="Times New Roman"/>
          <w:sz w:val="24"/>
          <w:szCs w:val="24"/>
        </w:rPr>
        <w:t xml:space="preserve">Assim, o </w:t>
      </w:r>
      <w:proofErr w:type="spellStart"/>
      <w:r w:rsidR="009057AB" w:rsidRPr="009057AB">
        <w:rPr>
          <w:rFonts w:ascii="Times New Roman" w:hAnsi="Times New Roman" w:cs="Times New Roman"/>
          <w:sz w:val="24"/>
          <w:szCs w:val="24"/>
        </w:rPr>
        <w:t>teplizumabe</w:t>
      </w:r>
      <w:proofErr w:type="spellEnd"/>
      <w:r w:rsidR="009057AB" w:rsidRPr="009057AB">
        <w:rPr>
          <w:rFonts w:ascii="Times New Roman" w:hAnsi="Times New Roman" w:cs="Times New Roman"/>
          <w:sz w:val="24"/>
          <w:szCs w:val="24"/>
        </w:rPr>
        <w:t xml:space="preserve"> apresentou uma performance positiva para a prevenção e o tratamento de DM1, visto que atua bloqueando </w:t>
      </w:r>
      <w:proofErr w:type="spellStart"/>
      <w:r w:rsidR="009057AB" w:rsidRPr="009057AB">
        <w:rPr>
          <w:rFonts w:ascii="Times New Roman" w:hAnsi="Times New Roman" w:cs="Times New Roman"/>
          <w:sz w:val="24"/>
          <w:szCs w:val="24"/>
        </w:rPr>
        <w:t>coestímulos</w:t>
      </w:r>
      <w:proofErr w:type="spellEnd"/>
      <w:r w:rsidR="009057AB" w:rsidRPr="009057AB">
        <w:rPr>
          <w:rFonts w:ascii="Times New Roman" w:hAnsi="Times New Roman" w:cs="Times New Roman"/>
          <w:sz w:val="24"/>
          <w:szCs w:val="24"/>
        </w:rPr>
        <w:t xml:space="preserve"> a células T, gerando, dessa forma, uma prevenção do declínio de células β e um melhor controle glicêmico.</w:t>
      </w:r>
    </w:p>
    <w:p w14:paraId="7CADBAB3" w14:textId="145EC92A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057AB" w:rsidRPr="009057AB">
        <w:rPr>
          <w:rFonts w:ascii="Times New Roman" w:hAnsi="Times New Roman" w:cs="Times New Roman"/>
          <w:sz w:val="24"/>
          <w:szCs w:val="24"/>
        </w:rPr>
        <w:t>Diabetes Mellitus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9057AB" w:rsidRPr="009057AB">
        <w:rPr>
          <w:rFonts w:ascii="Times New Roman" w:hAnsi="Times New Roman" w:cs="Times New Roman"/>
          <w:sz w:val="24"/>
          <w:szCs w:val="24"/>
        </w:rPr>
        <w:t>Anticorpo Monoclonal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9057AB" w:rsidRPr="009057AB">
        <w:rPr>
          <w:rFonts w:ascii="Times New Roman" w:hAnsi="Times New Roman" w:cs="Times New Roman"/>
          <w:sz w:val="24"/>
          <w:szCs w:val="24"/>
        </w:rPr>
        <w:t>Insulina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98D8D" w14:textId="77777777" w:rsidR="006F1284" w:rsidRDefault="006F1284" w:rsidP="007218E2">
      <w:pPr>
        <w:spacing w:after="0" w:line="240" w:lineRule="auto"/>
      </w:pPr>
      <w:r>
        <w:separator/>
      </w:r>
    </w:p>
  </w:endnote>
  <w:endnote w:type="continuationSeparator" w:id="0">
    <w:p w14:paraId="17D6B0CF" w14:textId="77777777" w:rsidR="006F1284" w:rsidRDefault="006F1284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6D7E6" w14:textId="77777777" w:rsidR="006F1284" w:rsidRDefault="006F1284" w:rsidP="007218E2">
      <w:pPr>
        <w:spacing w:after="0" w:line="240" w:lineRule="auto"/>
      </w:pPr>
      <w:r>
        <w:separator/>
      </w:r>
    </w:p>
  </w:footnote>
  <w:footnote w:type="continuationSeparator" w:id="0">
    <w:p w14:paraId="45B9CEC5" w14:textId="77777777" w:rsidR="006F1284" w:rsidRDefault="006F1284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A5D9A"/>
    <w:rsid w:val="00371DE7"/>
    <w:rsid w:val="003A4751"/>
    <w:rsid w:val="004B2BD6"/>
    <w:rsid w:val="00526975"/>
    <w:rsid w:val="005966D2"/>
    <w:rsid w:val="0063107C"/>
    <w:rsid w:val="006F1284"/>
    <w:rsid w:val="007218E2"/>
    <w:rsid w:val="009057AB"/>
    <w:rsid w:val="009D62B9"/>
    <w:rsid w:val="00B27934"/>
    <w:rsid w:val="00BD6D9B"/>
    <w:rsid w:val="00C45D74"/>
    <w:rsid w:val="00E966F2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362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Maryana Curti</cp:lastModifiedBy>
  <cp:revision>2</cp:revision>
  <dcterms:created xsi:type="dcterms:W3CDTF">2023-04-24T23:22:00Z</dcterms:created>
  <dcterms:modified xsi:type="dcterms:W3CDTF">2023-04-24T23:22:00Z</dcterms:modified>
</cp:coreProperties>
</file>