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896300" cy="180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63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MANIFESTAÇÕES DERMATOLÓGICAS DA SÍNDROME DE OVÁRIOS POLICÍSTICOS E COMPLICAÇÕES CIRÚRGICAS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7" w:lineRule="auto"/>
        <w:ind w:left="0" w:right="109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Isabel Caroline Zanatta Pedon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</w:p>
    <w:p w:rsidR="00000000" w:rsidDel="00000000" w:rsidP="00000000" w:rsidRDefault="00000000" w:rsidRPr="00000000" w14:paraId="00000009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Déborah de Souza Bahia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Ana Beatriz Dantas Silva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B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Gabriela Aiko Paro Nakai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C">
      <w:pPr>
        <w:spacing w:before="38" w:lineRule="auto"/>
        <w:ind w:left="0" w:right="108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Beatriz Thiyo Paro Nakai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Daniel Zanoni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Síndrome de Ovários Policísticos (SOP) é uma condição endócrina comum que afeta mulheres em idade reprodutiva. As manifestações dermatológicas da SOP, incluem acne, hirsutismo e alopecia androgenética. Além disso, as complicações cirúrgicas associadas à SOP podem ser significativas, variando de aderências pós-operatórias a hemorragia e infecção.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as manifestações dermatológicas da SOP e as complicações cirúrgicas associadas à doença.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Foi baseada no checklist PRISMA. As bases de dados utilizadas foram PubMed, Scielo e Web of Science. Os cinco descritores utilizados foram “Síndrome de Ovários Policísticos”, “Manifestações Dermatológicas”, “Complicações Cirúrgicas”, “Tratamento” e “Prognóstico”. Os critérios de inclusão foram: artigos publicados nos últimos dez anos, estudos que incluíam mulheres com diagnóstico confirmado de SOP e estudos que avaliavam as manifestações dermatológicas e/ou complicações cirúrgicas da SOP. Os critérios de exclusão foram: estudos que não estavam em inglês ou português, estudos que não incluíam mulheres com SOP e estudos que não avaliavam as manifestações dermatológicas e/ou complicações cirúrgicas da SOP.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Indicaram que as manifestações dermatológicas da SOP são comuns e podem ter um impacto significativo na qualidade de vida das mulheres afetadas. Além disso, as complicações cirúrgicas associadas à SOP podem ser graves e requerem cuidadosa consideração e planejamento pré-operatório.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SOP é uma condição complexa com uma variedade de manifestações dermatológicas e potenciais complicações cirúrgicas. É essencial que os profissionais de saúde estejam cientes dessas complicações para fornecer o melhor cuidado possível às mulheres afetadas por esta condição. As pesquisas futuras devem continuar a explorar maneiras de minimizar as complicações cirúrgicas e melhorar a qualidade de vida das mulheres com SOP.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Síndrome de Ovários Policísticos; Manifestações Dermatológicas; Complicações Cirúrgicas; Tratamento; Prognóstico.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Faculdade Meridional,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isabelpedon@gmail.com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¹; UNIFAN,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deborahsbfarmacia@gmail.com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anaviatrixds@gmail.com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Universidade Brasil,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gabiaikonakai@hotmail.com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Universidade Brasil, 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behnakai@hotmail.com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38" w:lineRule="auto"/>
        <w:ind w:right="10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abiaikonakai@hotmail.com" TargetMode="External"/><Relationship Id="rId10" Type="http://schemas.openxmlformats.org/officeDocument/2006/relationships/hyperlink" Target="mailto:anaviatrixds@gmail.com" TargetMode="External"/><Relationship Id="rId13" Type="http://schemas.openxmlformats.org/officeDocument/2006/relationships/hyperlink" Target="mailto:drzanoni@gmail.com" TargetMode="External"/><Relationship Id="rId12" Type="http://schemas.openxmlformats.org/officeDocument/2006/relationships/hyperlink" Target="mailto:behnakai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borahsbfarmaci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sabelped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fdz0cxt07+KSvlLA7WL5TZXFQ==">CgMxLjA4AHIhMUF3RzJYeDVpR0hwOUFNRVJtUmdqTTFZNml5VDg5aUk4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