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E42A" w14:textId="4EB7FFA3" w:rsidR="004071DD" w:rsidRPr="004071DD" w:rsidRDefault="004071DD" w:rsidP="004071DD">
      <w:pPr>
        <w:spacing w:line="360" w:lineRule="auto"/>
        <w:rPr>
          <w:sz w:val="24"/>
          <w:szCs w:val="24"/>
        </w:rPr>
      </w:pPr>
    </w:p>
    <w:p w14:paraId="07383E7F" w14:textId="61AEC3D1" w:rsidR="00DB1935" w:rsidRDefault="00DB1935" w:rsidP="00DB1935">
      <w:pPr>
        <w:spacing w:line="360" w:lineRule="auto"/>
        <w:jc w:val="center"/>
        <w:rPr>
          <w:rFonts w:eastAsia="Times New Roman"/>
          <w:b/>
          <w:bCs/>
          <w:sz w:val="24"/>
          <w:szCs w:val="24"/>
        </w:rPr>
      </w:pPr>
    </w:p>
    <w:p w14:paraId="6CD1A52B" w14:textId="77777777" w:rsidR="00042201" w:rsidRDefault="00042201" w:rsidP="00042201">
      <w:pPr>
        <w:tabs>
          <w:tab w:val="left" w:pos="1540"/>
        </w:tabs>
        <w:spacing w:line="360" w:lineRule="auto"/>
        <w:ind w:left="-360"/>
        <w:jc w:val="both"/>
        <w:rPr>
          <w:rFonts w:eastAsia="Times New Roman"/>
          <w:b/>
          <w:bCs/>
          <w:sz w:val="24"/>
          <w:szCs w:val="24"/>
        </w:rPr>
      </w:pPr>
      <w:r>
        <w:rPr>
          <w:rFonts w:eastAsia="Times New Roman"/>
          <w:b/>
          <w:bCs/>
          <w:sz w:val="24"/>
          <w:szCs w:val="24"/>
        </w:rPr>
        <w:t>NEURODIVERSIDADE NO MERCADO DE TRABALHO: O PAPEL DO DIREITO NA PROMOÇÃO DA EQUIDADE E DA ACESSIBILIDADE NAS RELAÇÕES LABORAIS</w:t>
      </w:r>
    </w:p>
    <w:p w14:paraId="2CB6A081" w14:textId="77777777" w:rsidR="00DB1935" w:rsidRDefault="00DB1935" w:rsidP="004071DD">
      <w:pPr>
        <w:tabs>
          <w:tab w:val="left" w:pos="1540"/>
        </w:tabs>
        <w:spacing w:line="360" w:lineRule="auto"/>
        <w:ind w:left="-360"/>
        <w:jc w:val="right"/>
        <w:rPr>
          <w:rFonts w:eastAsia="Times New Roman"/>
          <w:sz w:val="24"/>
          <w:szCs w:val="24"/>
        </w:rPr>
      </w:pPr>
    </w:p>
    <w:p w14:paraId="271E8EAA" w14:textId="6D91C432" w:rsidR="004071DD" w:rsidRPr="004071DD" w:rsidRDefault="00042201" w:rsidP="004071DD">
      <w:pPr>
        <w:tabs>
          <w:tab w:val="left" w:pos="1540"/>
        </w:tabs>
        <w:spacing w:line="360" w:lineRule="auto"/>
        <w:ind w:left="-360"/>
        <w:jc w:val="right"/>
        <w:rPr>
          <w:sz w:val="24"/>
          <w:szCs w:val="24"/>
        </w:rPr>
      </w:pPr>
      <w:r>
        <w:rPr>
          <w:rFonts w:eastAsia="Times New Roman"/>
          <w:sz w:val="24"/>
          <w:szCs w:val="24"/>
        </w:rPr>
        <w:t>Carla Germana Lustosa Rodrigues</w:t>
      </w:r>
      <w:r w:rsidR="00F33874">
        <w:rPr>
          <w:rStyle w:val="Refdenotaderodap"/>
          <w:rFonts w:eastAsia="Times New Roman"/>
          <w:sz w:val="24"/>
          <w:szCs w:val="24"/>
        </w:rPr>
        <w:footnoteReference w:id="1"/>
      </w:r>
    </w:p>
    <w:p w14:paraId="7C4F2E3F" w14:textId="77777777" w:rsidR="00042201" w:rsidRDefault="00042201" w:rsidP="00042201">
      <w:pPr>
        <w:tabs>
          <w:tab w:val="left" w:pos="1540"/>
        </w:tabs>
        <w:spacing w:line="360" w:lineRule="auto"/>
        <w:ind w:left="-360"/>
        <w:jc w:val="right"/>
        <w:rPr>
          <w:rFonts w:eastAsia="Times New Roman"/>
          <w:sz w:val="24"/>
          <w:szCs w:val="24"/>
        </w:rPr>
      </w:pPr>
      <w:r>
        <w:rPr>
          <w:rFonts w:eastAsia="Times New Roman"/>
          <w:sz w:val="24"/>
          <w:szCs w:val="24"/>
        </w:rPr>
        <w:t xml:space="preserve">Isadora Nascimento Menezes¹ </w:t>
      </w:r>
    </w:p>
    <w:p w14:paraId="04AE21B3" w14:textId="77777777" w:rsidR="00042201" w:rsidRDefault="00042201" w:rsidP="00042201">
      <w:pPr>
        <w:tabs>
          <w:tab w:val="left" w:pos="2060"/>
          <w:tab w:val="left" w:pos="7240"/>
        </w:tabs>
        <w:spacing w:line="360" w:lineRule="auto"/>
        <w:ind w:left="-360"/>
        <w:jc w:val="right"/>
        <w:rPr>
          <w:rFonts w:eastAsia="Times New Roman"/>
          <w:sz w:val="24"/>
          <w:szCs w:val="24"/>
          <w:vertAlign w:val="superscript"/>
        </w:rPr>
      </w:pPr>
      <w:r>
        <w:rPr>
          <w:rFonts w:eastAsia="Times New Roman"/>
          <w:sz w:val="24"/>
          <w:szCs w:val="24"/>
        </w:rPr>
        <w:t>Sarah Ellen Portela Costa</w:t>
      </w:r>
      <w:r>
        <w:rPr>
          <w:rFonts w:eastAsia="Times New Roman"/>
          <w:sz w:val="24"/>
          <w:szCs w:val="24"/>
          <w:vertAlign w:val="superscript"/>
        </w:rPr>
        <w:t>1</w:t>
      </w:r>
    </w:p>
    <w:p w14:paraId="274F786A" w14:textId="25E266F8" w:rsidR="00042201" w:rsidRDefault="00042201" w:rsidP="00042201">
      <w:pPr>
        <w:tabs>
          <w:tab w:val="left" w:pos="2060"/>
          <w:tab w:val="left" w:pos="7240"/>
        </w:tabs>
        <w:spacing w:line="360" w:lineRule="auto"/>
        <w:ind w:left="-360"/>
        <w:jc w:val="right"/>
        <w:rPr>
          <w:rFonts w:eastAsia="Times New Roman"/>
          <w:sz w:val="24"/>
          <w:szCs w:val="24"/>
          <w:vertAlign w:val="superscript"/>
        </w:rPr>
      </w:pPr>
      <w:proofErr w:type="spellStart"/>
      <w:r>
        <w:rPr>
          <w:rFonts w:eastAsia="Times New Roman"/>
          <w:sz w:val="24"/>
          <w:szCs w:val="24"/>
        </w:rPr>
        <w:t>Sirajara</w:t>
      </w:r>
      <w:proofErr w:type="spellEnd"/>
      <w:r>
        <w:rPr>
          <w:rFonts w:eastAsia="Times New Roman"/>
          <w:sz w:val="24"/>
          <w:szCs w:val="24"/>
        </w:rPr>
        <w:t xml:space="preserve"> Teresa Lima Vie</w:t>
      </w:r>
      <w:r w:rsidR="007367D8">
        <w:rPr>
          <w:rFonts w:eastAsia="Times New Roman"/>
          <w:sz w:val="24"/>
          <w:szCs w:val="24"/>
        </w:rPr>
        <w:t>i</w:t>
      </w:r>
      <w:r>
        <w:rPr>
          <w:rFonts w:eastAsia="Times New Roman"/>
          <w:sz w:val="24"/>
          <w:szCs w:val="24"/>
        </w:rPr>
        <w:t>ra</w:t>
      </w:r>
      <w:r>
        <w:rPr>
          <w:rFonts w:eastAsia="Times New Roman"/>
          <w:sz w:val="24"/>
          <w:szCs w:val="24"/>
          <w:vertAlign w:val="superscript"/>
        </w:rPr>
        <w:t>1</w:t>
      </w:r>
    </w:p>
    <w:p w14:paraId="2ECB50AD" w14:textId="77777777" w:rsidR="00042201" w:rsidRDefault="00042201" w:rsidP="00042201">
      <w:pPr>
        <w:tabs>
          <w:tab w:val="left" w:pos="2060"/>
          <w:tab w:val="left" w:pos="7240"/>
        </w:tabs>
        <w:spacing w:line="360" w:lineRule="auto"/>
        <w:ind w:left="-360"/>
        <w:jc w:val="right"/>
        <w:rPr>
          <w:rFonts w:eastAsia="Times New Roman"/>
          <w:sz w:val="24"/>
          <w:szCs w:val="24"/>
          <w:vertAlign w:val="superscript"/>
        </w:rPr>
      </w:pPr>
      <w:proofErr w:type="spellStart"/>
      <w:r>
        <w:rPr>
          <w:rFonts w:eastAsia="Times New Roman"/>
          <w:sz w:val="24"/>
          <w:szCs w:val="24"/>
        </w:rPr>
        <w:t>Lucelia</w:t>
      </w:r>
      <w:proofErr w:type="spellEnd"/>
      <w:r>
        <w:rPr>
          <w:rFonts w:eastAsia="Times New Roman"/>
          <w:sz w:val="24"/>
          <w:szCs w:val="24"/>
        </w:rPr>
        <w:t xml:space="preserve"> Keila Bitencourt Gomes</w:t>
      </w:r>
      <w:r>
        <w:rPr>
          <w:rFonts w:eastAsia="Times New Roman"/>
          <w:sz w:val="24"/>
          <w:szCs w:val="24"/>
          <w:vertAlign w:val="superscript"/>
        </w:rPr>
        <w:t>2</w:t>
      </w:r>
    </w:p>
    <w:p w14:paraId="2B6831DA" w14:textId="77777777" w:rsidR="009140D1" w:rsidRPr="004071DD" w:rsidRDefault="009140D1" w:rsidP="009140D1">
      <w:pPr>
        <w:tabs>
          <w:tab w:val="left" w:pos="2060"/>
          <w:tab w:val="left" w:pos="7240"/>
        </w:tabs>
        <w:spacing w:line="360" w:lineRule="auto"/>
        <w:ind w:left="-360"/>
        <w:jc w:val="right"/>
        <w:rPr>
          <w:sz w:val="24"/>
          <w:szCs w:val="24"/>
        </w:rPr>
      </w:pPr>
    </w:p>
    <w:p w14:paraId="711CF01E" w14:textId="77777777" w:rsidR="004071DD" w:rsidRPr="004071DD" w:rsidRDefault="004071DD" w:rsidP="004071DD">
      <w:pPr>
        <w:spacing w:line="360" w:lineRule="auto"/>
        <w:jc w:val="center"/>
        <w:rPr>
          <w:sz w:val="24"/>
          <w:szCs w:val="24"/>
        </w:rPr>
      </w:pPr>
      <w:r w:rsidRPr="004071DD">
        <w:rPr>
          <w:rFonts w:eastAsia="Times New Roman"/>
          <w:b/>
          <w:bCs/>
          <w:sz w:val="24"/>
          <w:szCs w:val="24"/>
        </w:rPr>
        <w:t>RESUMO</w:t>
      </w:r>
    </w:p>
    <w:p w14:paraId="5445CDB2" w14:textId="4D89BA01" w:rsidR="00042201" w:rsidRDefault="00042201" w:rsidP="00581DEE">
      <w:pPr>
        <w:spacing w:before="240" w:after="240"/>
        <w:jc w:val="both"/>
        <w:rPr>
          <w:rFonts w:eastAsia="Times New Roman"/>
          <w:sz w:val="24"/>
          <w:szCs w:val="24"/>
        </w:rPr>
      </w:pPr>
      <w:r>
        <w:rPr>
          <w:rFonts w:eastAsia="Times New Roman"/>
          <w:sz w:val="24"/>
          <w:szCs w:val="24"/>
        </w:rPr>
        <w:t xml:space="preserve">             Este artigo visa examinar as dificuldades, os progressos e as sugestões direcionadas à melhoria da equidade e acessibilidade para indivíduos </w:t>
      </w:r>
      <w:proofErr w:type="spellStart"/>
      <w:r>
        <w:rPr>
          <w:rFonts w:eastAsia="Times New Roman"/>
          <w:sz w:val="24"/>
          <w:szCs w:val="24"/>
        </w:rPr>
        <w:t>neurodivergentes</w:t>
      </w:r>
      <w:proofErr w:type="spellEnd"/>
      <w:r>
        <w:rPr>
          <w:rFonts w:eastAsia="Times New Roman"/>
          <w:sz w:val="24"/>
          <w:szCs w:val="24"/>
        </w:rPr>
        <w:t xml:space="preserve"> no ambiente de trabalho, enfatizando a legislação brasileira e as iniciativas de inclusão nas empresas. A pesquisa adota uma abordagem qualitativa de caráter exploratório, respaldada por uma revisão da literatura em fontes acadêmicas e regulamentares, acessadas por meio de plataformas como SciELO, Google Acadêmico e o site oficial do Planalto. Inicialmente, é importante entender o que é o conceito de neurodiversidade, criado por Judy Singer em 1999. Ele propõe que as diferenças neurológicas — como o Transtorno do Espectro Autista (TEA), o Transtorno de Déficit de Atenção com Hiperatividade (TDAH), a dislexia, entre outras — sejam vistas como uma parte natural da diversidade humana. Essa ideia vai além do modelo médico tradicional e se encaixa em um contexto social e jurídico, que exige políticas públicas e ambientes de trabalho mais inclusivos. A seguir, analisamos o sistema jurídico brasileiro que protege os direitos das pessoas com deficiência, incluindo aquelas com </w:t>
      </w:r>
      <w:proofErr w:type="spellStart"/>
      <w:r>
        <w:rPr>
          <w:rFonts w:eastAsia="Times New Roman"/>
          <w:sz w:val="24"/>
          <w:szCs w:val="24"/>
        </w:rPr>
        <w:t>neurodivergências</w:t>
      </w:r>
      <w:proofErr w:type="spellEnd"/>
      <w:r>
        <w:rPr>
          <w:rFonts w:eastAsia="Times New Roman"/>
          <w:sz w:val="24"/>
          <w:szCs w:val="24"/>
        </w:rPr>
        <w:t xml:space="preserve">. Nesse contexto, destacam-se a Constituição Federal de 1988, a Convenção Internacional sobre os Direitos das Pessoas com Deficiência (Decreto nº 6.949/2009), a Lei Brasileira de Inclusão (Lei nº 13.146/2015) e a Lei nº 12.764/2012, que reconhece o autista como pessoa com deficiência para todos os efeitos legais. No entanto, ainda existem lacunas na legislação quando se trata de incluir outras condições </w:t>
      </w:r>
      <w:proofErr w:type="spellStart"/>
      <w:r>
        <w:rPr>
          <w:rFonts w:eastAsia="Times New Roman"/>
          <w:sz w:val="24"/>
          <w:szCs w:val="24"/>
        </w:rPr>
        <w:t>neurodivergentes</w:t>
      </w:r>
      <w:proofErr w:type="spellEnd"/>
      <w:r>
        <w:rPr>
          <w:rFonts w:eastAsia="Times New Roman"/>
          <w:sz w:val="24"/>
          <w:szCs w:val="24"/>
        </w:rPr>
        <w:t xml:space="preserve"> que não estão explicitamente previstas na lei. Isso acaba gerando insegurança jurídica e dificultando a implementação de políticas afirmativas para esses grupos. Por último, são abordadas as práticas empresariais que promovem a inclusão. Foi observado que, mesmo com alguns avanços na reserva de vagas e na valorização da diversidade, ainda há dificuldades para uma inclusão verdadeira, principalmente por falta de diretrizes claras sobre as adaptações necessárias no ambiente de trabalho. Essas adaptações são fundamentais para que pessoas </w:t>
      </w:r>
      <w:proofErr w:type="spellStart"/>
      <w:r>
        <w:rPr>
          <w:rFonts w:eastAsia="Times New Roman"/>
          <w:sz w:val="24"/>
          <w:szCs w:val="24"/>
        </w:rPr>
        <w:t>neurodivergentes</w:t>
      </w:r>
      <w:proofErr w:type="spellEnd"/>
      <w:r>
        <w:rPr>
          <w:rFonts w:eastAsia="Times New Roman"/>
          <w:sz w:val="24"/>
          <w:szCs w:val="24"/>
        </w:rPr>
        <w:t xml:space="preserve"> possam permanecer e crescer profissionalmente. O estudo conclui que, apesar de a legislação brasileira proporcionar uma forte fundamentação de proteção, sua aplicação prática ainda enfrenta dificuldades. Para garantir igualdade real de</w:t>
      </w:r>
      <w:r w:rsidR="00581DEE">
        <w:rPr>
          <w:rFonts w:eastAsia="Times New Roman"/>
          <w:sz w:val="24"/>
          <w:szCs w:val="24"/>
        </w:rPr>
        <w:t xml:space="preserve"> </w:t>
      </w:r>
      <w:r>
        <w:rPr>
          <w:rFonts w:eastAsia="Times New Roman"/>
          <w:sz w:val="24"/>
          <w:szCs w:val="24"/>
        </w:rPr>
        <w:lastRenderedPageBreak/>
        <w:t>oportunidades no mercado de trabalho, é necessária extrema clareza nas diretrizes, políticas públicas eficazes e práticas empresariais inclusivas.</w:t>
      </w:r>
    </w:p>
    <w:p w14:paraId="653C5445" w14:textId="4BF49E7E" w:rsidR="00042201" w:rsidRPr="00042201" w:rsidRDefault="00042201" w:rsidP="00042201">
      <w:pPr>
        <w:spacing w:before="240" w:after="240" w:line="360" w:lineRule="auto"/>
        <w:jc w:val="both"/>
        <w:rPr>
          <w:rFonts w:eastAsia="Times New Roman"/>
          <w:sz w:val="24"/>
          <w:szCs w:val="24"/>
        </w:rPr>
      </w:pPr>
      <w:r>
        <w:rPr>
          <w:rFonts w:eastAsia="Times New Roman"/>
          <w:b/>
          <w:bCs/>
          <w:sz w:val="24"/>
          <w:szCs w:val="24"/>
        </w:rPr>
        <w:t xml:space="preserve">Palavras-chave: </w:t>
      </w:r>
      <w:r>
        <w:rPr>
          <w:rFonts w:eastAsia="Times New Roman"/>
          <w:sz w:val="24"/>
          <w:szCs w:val="24"/>
        </w:rPr>
        <w:t>Neurodiversidade; Inclusão; Acessibilidade; Legislação Brasileira.</w:t>
      </w:r>
    </w:p>
    <w:p w14:paraId="5744BCAA" w14:textId="77777777" w:rsidR="00042201" w:rsidRDefault="00042201" w:rsidP="00042201">
      <w:pPr>
        <w:spacing w:line="360" w:lineRule="auto"/>
        <w:jc w:val="both"/>
        <w:rPr>
          <w:sz w:val="24"/>
          <w:szCs w:val="24"/>
        </w:rPr>
      </w:pPr>
      <w:r>
        <w:rPr>
          <w:rFonts w:eastAsia="Times New Roman"/>
          <w:b/>
          <w:bCs/>
          <w:sz w:val="24"/>
          <w:szCs w:val="24"/>
        </w:rPr>
        <w:t>1 INTRODUÇÃO</w:t>
      </w:r>
    </w:p>
    <w:p w14:paraId="0306B9D3" w14:textId="77777777" w:rsidR="00042201" w:rsidRDefault="00042201" w:rsidP="00042201">
      <w:pPr>
        <w:spacing w:line="360" w:lineRule="auto"/>
        <w:ind w:left="187" w:firstLine="850"/>
        <w:jc w:val="both"/>
        <w:rPr>
          <w:rFonts w:eastAsia="Times New Roman"/>
          <w:color w:val="000000" w:themeColor="text1"/>
          <w:sz w:val="24"/>
          <w:szCs w:val="24"/>
        </w:rPr>
      </w:pPr>
      <w:r>
        <w:rPr>
          <w:rFonts w:eastAsia="Times New Roman"/>
          <w:color w:val="000000" w:themeColor="text1"/>
          <w:sz w:val="24"/>
          <w:szCs w:val="24"/>
        </w:rPr>
        <w:t xml:space="preserve">A discussão acerca da neurodiversidade no mercado de trabalho tem ganhado relevância no cenário jurídico e social, sobretudo diante da necessidade de efetivação dos direitos fundamentais previstos na Constituição Federal de 1988. Realizar uma pesquisa científica em torno da presença de pessoas </w:t>
      </w:r>
      <w:proofErr w:type="spellStart"/>
      <w:r>
        <w:rPr>
          <w:rFonts w:eastAsia="Times New Roman"/>
          <w:color w:val="000000" w:themeColor="text1"/>
          <w:sz w:val="24"/>
          <w:szCs w:val="24"/>
        </w:rPr>
        <w:t>neurodivergentes</w:t>
      </w:r>
      <w:proofErr w:type="spellEnd"/>
      <w:r>
        <w:rPr>
          <w:rFonts w:eastAsia="Times New Roman"/>
          <w:color w:val="000000" w:themeColor="text1"/>
          <w:sz w:val="24"/>
          <w:szCs w:val="24"/>
        </w:rPr>
        <w:t xml:space="preserve"> em ambientes laborais traz à tona questões intrinsecamente ligadas às garantias constitucionais de igualdade, dignidade da pessoa humana e inclusão social, que se consolidam como pilares do Estado Democrático de Direito.</w:t>
      </w:r>
    </w:p>
    <w:p w14:paraId="341394FE" w14:textId="77777777" w:rsidR="00042201" w:rsidRDefault="00042201" w:rsidP="00042201">
      <w:pPr>
        <w:spacing w:line="360" w:lineRule="auto"/>
        <w:ind w:left="187" w:firstLine="850"/>
        <w:jc w:val="both"/>
        <w:rPr>
          <w:rFonts w:eastAsia="Times New Roman"/>
          <w:color w:val="000000" w:themeColor="text1"/>
          <w:sz w:val="24"/>
          <w:szCs w:val="24"/>
        </w:rPr>
      </w:pPr>
      <w:r>
        <w:rPr>
          <w:rFonts w:eastAsia="Times New Roman"/>
          <w:color w:val="000000" w:themeColor="text1"/>
          <w:sz w:val="24"/>
          <w:szCs w:val="24"/>
        </w:rPr>
        <w:t>De acordo com a Lei Brasileira de Inclusão da Pessoa com Deficiência (Lei nº 13.146/2015), é considerada pessoa com deficiência “aquela que tem impedimento de longo prazo de natureza física, mental, intelectual ou sensorial, o qual, em interação com uma ou mais barreiras, pode obstruir sua participação plena e efetiva na sociedade em igualdade de condições com as demais pessoas”. (Brasil, 2015) Essa definição elucida os óbices existentes no meio social e organizacional, permitindo visualizar os fatores que dificultam a inserção plena desses indivíduos.</w:t>
      </w:r>
    </w:p>
    <w:p w14:paraId="53BFBBDF" w14:textId="08412685" w:rsidR="00042201" w:rsidRDefault="00042201" w:rsidP="00AA1891">
      <w:pPr>
        <w:spacing w:line="360" w:lineRule="auto"/>
        <w:ind w:left="187" w:firstLine="850"/>
        <w:jc w:val="both"/>
        <w:rPr>
          <w:rFonts w:eastAsia="Times New Roman"/>
          <w:color w:val="000000" w:themeColor="text1"/>
          <w:sz w:val="24"/>
          <w:szCs w:val="24"/>
        </w:rPr>
      </w:pPr>
      <w:r>
        <w:rPr>
          <w:rFonts w:eastAsia="Times New Roman"/>
          <w:color w:val="000000" w:themeColor="text1"/>
          <w:sz w:val="24"/>
          <w:szCs w:val="24"/>
        </w:rPr>
        <w:t xml:space="preserve">No âmbito das relações de trabalho, a ausência de políticas inclusivas e de adequações razoáveis pode ampliar a marginalização de pessoas </w:t>
      </w:r>
      <w:proofErr w:type="spellStart"/>
      <w:r>
        <w:rPr>
          <w:rFonts w:eastAsia="Times New Roman"/>
          <w:color w:val="000000" w:themeColor="text1"/>
          <w:sz w:val="24"/>
          <w:szCs w:val="24"/>
        </w:rPr>
        <w:t>neurodivergentes</w:t>
      </w:r>
      <w:proofErr w:type="spellEnd"/>
      <w:r>
        <w:rPr>
          <w:rFonts w:eastAsia="Times New Roman"/>
          <w:color w:val="000000" w:themeColor="text1"/>
          <w:sz w:val="24"/>
          <w:szCs w:val="24"/>
        </w:rPr>
        <w:t xml:space="preserve">, limitando-lhes o acesso a oportunidades profissionais, bem como a permanência em ambientes laborais acessíveis e equitativos. Estudos recentes apontam que a neurodiversidade, quando acolhida, </w:t>
      </w:r>
    </w:p>
    <w:p w14:paraId="17547C89" w14:textId="2262C9CF" w:rsidR="00042201" w:rsidRDefault="00042201" w:rsidP="00042201">
      <w:pPr>
        <w:spacing w:line="360" w:lineRule="auto"/>
        <w:ind w:left="187"/>
        <w:jc w:val="both"/>
        <w:rPr>
          <w:rFonts w:eastAsia="Times New Roman"/>
          <w:color w:val="000000" w:themeColor="text1"/>
          <w:sz w:val="24"/>
          <w:szCs w:val="24"/>
        </w:rPr>
      </w:pPr>
      <w:r>
        <w:rPr>
          <w:rFonts w:eastAsia="Times New Roman"/>
          <w:color w:val="000000" w:themeColor="text1"/>
          <w:sz w:val="24"/>
          <w:szCs w:val="24"/>
        </w:rPr>
        <w:t xml:space="preserve">contribui não apenas para a promoção da justiça social, mas também para a inovação e o fortalecimento das instituições. (Silva, 2021)  Tal ótica traz o seguinte questionamento: quais os desafios e avanços que o Direito, à luz dos direitos fundamentais, tem promovido na inclusão de pessoas </w:t>
      </w:r>
      <w:proofErr w:type="spellStart"/>
      <w:r>
        <w:rPr>
          <w:rFonts w:eastAsia="Times New Roman"/>
          <w:color w:val="000000" w:themeColor="text1"/>
          <w:sz w:val="24"/>
          <w:szCs w:val="24"/>
        </w:rPr>
        <w:t>neurodivergentes</w:t>
      </w:r>
      <w:proofErr w:type="spellEnd"/>
      <w:r>
        <w:rPr>
          <w:rFonts w:eastAsia="Times New Roman"/>
          <w:color w:val="000000" w:themeColor="text1"/>
          <w:sz w:val="24"/>
          <w:szCs w:val="24"/>
        </w:rPr>
        <w:t xml:space="preserve"> no mercado de trabalho? O estudo atual tem como foco analisar o papel da Legislação Brasileira na efetivação da acessibilidade de </w:t>
      </w:r>
      <w:proofErr w:type="spellStart"/>
      <w:r>
        <w:rPr>
          <w:rFonts w:eastAsia="Times New Roman"/>
          <w:color w:val="000000" w:themeColor="text1"/>
          <w:sz w:val="24"/>
          <w:szCs w:val="24"/>
        </w:rPr>
        <w:t>neurodivergentes</w:t>
      </w:r>
      <w:proofErr w:type="spellEnd"/>
      <w:r>
        <w:rPr>
          <w:rFonts w:eastAsia="Times New Roman"/>
          <w:color w:val="000000" w:themeColor="text1"/>
          <w:sz w:val="24"/>
          <w:szCs w:val="24"/>
        </w:rPr>
        <w:t xml:space="preserve"> em ambientes laborais. Baseando-se em artigos, legislações e estudos especializados, buscou-se compreender como as normas e políticas públicas vêm contribuindo para erradicar barreiras dentro do contexto histórica-social para a promoção de práticas trabalhistas inclusivas, assim, assegurando igualdade de oportunidades, garantindo mudança de estrutura </w:t>
      </w:r>
      <w:r>
        <w:rPr>
          <w:rFonts w:eastAsia="Times New Roman"/>
          <w:color w:val="000000" w:themeColor="text1"/>
          <w:sz w:val="24"/>
          <w:szCs w:val="24"/>
        </w:rPr>
        <w:lastRenderedPageBreak/>
        <w:t>laboral com enfoque em valorização da diversidade, reafirmando a garantia de acessibilidade e equidade dentro desses locais.</w:t>
      </w:r>
    </w:p>
    <w:p w14:paraId="1CC5CB4A" w14:textId="42E4D534" w:rsidR="00042201" w:rsidRDefault="00042201" w:rsidP="00042201">
      <w:pPr>
        <w:spacing w:line="360" w:lineRule="auto"/>
        <w:ind w:left="187" w:firstLine="850"/>
        <w:jc w:val="both"/>
        <w:rPr>
          <w:rFonts w:eastAsia="Times New Roman"/>
          <w:color w:val="000000" w:themeColor="text1"/>
          <w:sz w:val="24"/>
          <w:szCs w:val="24"/>
        </w:rPr>
      </w:pPr>
      <w:r>
        <w:rPr>
          <w:rFonts w:eastAsia="Times New Roman"/>
          <w:color w:val="000000" w:themeColor="text1"/>
          <w:sz w:val="24"/>
          <w:szCs w:val="24"/>
        </w:rPr>
        <w:t>Sob esse prisma, pode-se observar que a inclusão da neurodiversidade vai além de uma garantia normativa. Trata-se de relações cotidianas reais a fim da valorização da diversidade humana, pois mesmo com a existência das garantias legais a ausência de sua efetividade não elucida transformação social alguma. Ademais, a realização dessa pesquisa se justifica, por ser socialmente relevante para a realização de estudos associados a pessoas com deficiência no ambiente de trabalho, visando proporcionar cada vez mais a inclusão adequada dentro de ambientes corporativos.</w:t>
      </w:r>
    </w:p>
    <w:p w14:paraId="6B149D5D" w14:textId="77777777" w:rsidR="00042201" w:rsidRDefault="00042201" w:rsidP="00042201">
      <w:pPr>
        <w:spacing w:line="360" w:lineRule="auto"/>
        <w:jc w:val="both"/>
        <w:rPr>
          <w:rFonts w:eastAsia="Times New Roman"/>
          <w:b/>
          <w:bCs/>
          <w:sz w:val="24"/>
          <w:szCs w:val="24"/>
        </w:rPr>
      </w:pPr>
      <w:r>
        <w:rPr>
          <w:rFonts w:eastAsia="Times New Roman"/>
          <w:b/>
          <w:bCs/>
          <w:sz w:val="24"/>
          <w:szCs w:val="24"/>
        </w:rPr>
        <w:t>2 OBJETIVO</w:t>
      </w:r>
    </w:p>
    <w:p w14:paraId="10E5DD91" w14:textId="77777777" w:rsidR="00042201" w:rsidRDefault="00042201" w:rsidP="00042201">
      <w:pPr>
        <w:spacing w:line="360" w:lineRule="auto"/>
        <w:ind w:firstLine="708"/>
        <w:jc w:val="both"/>
        <w:rPr>
          <w:sz w:val="24"/>
          <w:szCs w:val="24"/>
        </w:rPr>
      </w:pPr>
      <w:r>
        <w:rPr>
          <w:b/>
          <w:bCs/>
          <w:sz w:val="24"/>
          <w:szCs w:val="24"/>
        </w:rPr>
        <w:t>Objetivos Gerais</w:t>
      </w:r>
      <w:r>
        <w:rPr>
          <w:sz w:val="24"/>
          <w:szCs w:val="24"/>
        </w:rPr>
        <w:t xml:space="preserve">: Analisar os desafios, avanços e propostas que visam a equidade e a acessibilidade para pessoas </w:t>
      </w:r>
      <w:proofErr w:type="spellStart"/>
      <w:r>
        <w:rPr>
          <w:sz w:val="24"/>
          <w:szCs w:val="24"/>
        </w:rPr>
        <w:t>neurodivergentes</w:t>
      </w:r>
      <w:proofErr w:type="spellEnd"/>
      <w:r>
        <w:rPr>
          <w:sz w:val="24"/>
          <w:szCs w:val="24"/>
        </w:rPr>
        <w:t xml:space="preserve"> no mercado de trabalho, e como a legislação brasileira pode trabalhar na busca de melhorias nessas relações laborais.</w:t>
      </w:r>
    </w:p>
    <w:p w14:paraId="5D71C2FD" w14:textId="77777777" w:rsidR="00042201" w:rsidRDefault="00042201" w:rsidP="00042201">
      <w:pPr>
        <w:spacing w:line="360" w:lineRule="auto"/>
        <w:ind w:firstLine="720"/>
        <w:jc w:val="both"/>
        <w:rPr>
          <w:b/>
          <w:bCs/>
          <w:sz w:val="24"/>
          <w:szCs w:val="24"/>
        </w:rPr>
      </w:pPr>
      <w:r>
        <w:rPr>
          <w:b/>
          <w:bCs/>
          <w:sz w:val="24"/>
          <w:szCs w:val="24"/>
        </w:rPr>
        <w:t xml:space="preserve">Objetivos específicos: </w:t>
      </w:r>
    </w:p>
    <w:p w14:paraId="70525067" w14:textId="77777777" w:rsidR="00042201" w:rsidRDefault="00042201" w:rsidP="00042201">
      <w:pPr>
        <w:pStyle w:val="PargrafodaLista"/>
        <w:numPr>
          <w:ilvl w:val="0"/>
          <w:numId w:val="7"/>
        </w:numPr>
        <w:suppressAutoHyphens/>
        <w:spacing w:line="360" w:lineRule="auto"/>
        <w:jc w:val="both"/>
        <w:rPr>
          <w:sz w:val="24"/>
          <w:szCs w:val="24"/>
        </w:rPr>
      </w:pPr>
      <w:r>
        <w:rPr>
          <w:sz w:val="24"/>
          <w:szCs w:val="24"/>
        </w:rPr>
        <w:t>Conceituar Neurodiversidade</w:t>
      </w:r>
    </w:p>
    <w:p w14:paraId="20E38039" w14:textId="77777777" w:rsidR="00042201" w:rsidRDefault="00042201" w:rsidP="00042201">
      <w:pPr>
        <w:pStyle w:val="PargrafodaLista"/>
        <w:numPr>
          <w:ilvl w:val="0"/>
          <w:numId w:val="7"/>
        </w:numPr>
        <w:suppressAutoHyphens/>
        <w:spacing w:line="360" w:lineRule="auto"/>
        <w:jc w:val="both"/>
        <w:rPr>
          <w:sz w:val="24"/>
          <w:szCs w:val="24"/>
        </w:rPr>
      </w:pPr>
      <w:r>
        <w:rPr>
          <w:sz w:val="24"/>
          <w:szCs w:val="24"/>
        </w:rPr>
        <w:t xml:space="preserve">Analisar a legislação brasileira vigente </w:t>
      </w:r>
    </w:p>
    <w:p w14:paraId="52BAC779" w14:textId="77777777" w:rsidR="00042201" w:rsidRDefault="00042201" w:rsidP="00042201">
      <w:pPr>
        <w:pStyle w:val="PargrafodaLista"/>
        <w:numPr>
          <w:ilvl w:val="0"/>
          <w:numId w:val="7"/>
        </w:numPr>
        <w:suppressAutoHyphens/>
        <w:spacing w:line="360" w:lineRule="auto"/>
        <w:jc w:val="both"/>
        <w:rPr>
          <w:sz w:val="24"/>
          <w:szCs w:val="24"/>
        </w:rPr>
      </w:pPr>
      <w:r>
        <w:rPr>
          <w:sz w:val="24"/>
          <w:szCs w:val="24"/>
        </w:rPr>
        <w:t xml:space="preserve">Identificar melhorias e políticas públicas que visam a acessibilidade de pessoas </w:t>
      </w:r>
      <w:proofErr w:type="spellStart"/>
      <w:r>
        <w:rPr>
          <w:sz w:val="24"/>
          <w:szCs w:val="24"/>
        </w:rPr>
        <w:t>neurodivergentes</w:t>
      </w:r>
      <w:proofErr w:type="spellEnd"/>
      <w:r>
        <w:rPr>
          <w:sz w:val="24"/>
          <w:szCs w:val="24"/>
        </w:rPr>
        <w:t xml:space="preserve"> no mercado de trabalho. </w:t>
      </w:r>
    </w:p>
    <w:p w14:paraId="628352B5" w14:textId="77777777" w:rsidR="00042201" w:rsidRDefault="00042201" w:rsidP="00042201">
      <w:pPr>
        <w:pStyle w:val="PargrafodaLista"/>
        <w:numPr>
          <w:ilvl w:val="0"/>
          <w:numId w:val="7"/>
        </w:numPr>
        <w:suppressAutoHyphens/>
        <w:spacing w:line="360" w:lineRule="auto"/>
        <w:jc w:val="both"/>
        <w:rPr>
          <w:sz w:val="24"/>
          <w:szCs w:val="24"/>
        </w:rPr>
      </w:pPr>
      <w:r>
        <w:rPr>
          <w:sz w:val="24"/>
          <w:szCs w:val="24"/>
        </w:rPr>
        <w:t>Identificar práticas empresariais e políticas públicas que visam a inclusão e acessibilidade nas relações laborais.</w:t>
      </w:r>
    </w:p>
    <w:p w14:paraId="6308DD37" w14:textId="77777777" w:rsidR="00042201" w:rsidRDefault="00042201" w:rsidP="00042201">
      <w:pPr>
        <w:spacing w:line="360" w:lineRule="auto"/>
        <w:jc w:val="both"/>
        <w:rPr>
          <w:sz w:val="24"/>
          <w:szCs w:val="24"/>
        </w:rPr>
      </w:pPr>
    </w:p>
    <w:p w14:paraId="173EA91D" w14:textId="37B18730" w:rsidR="003848EE" w:rsidRPr="00581DEE" w:rsidRDefault="00042201" w:rsidP="00581DEE">
      <w:pPr>
        <w:spacing w:line="360" w:lineRule="auto"/>
        <w:jc w:val="both"/>
        <w:rPr>
          <w:sz w:val="24"/>
          <w:szCs w:val="24"/>
        </w:rPr>
      </w:pPr>
      <w:r>
        <w:rPr>
          <w:rFonts w:eastAsia="Times New Roman"/>
          <w:b/>
          <w:bCs/>
          <w:sz w:val="24"/>
          <w:szCs w:val="24"/>
        </w:rPr>
        <w:t>3 MÉTODO</w:t>
      </w:r>
    </w:p>
    <w:p w14:paraId="5B0DDDFD" w14:textId="1D0656DA" w:rsidR="00042201" w:rsidRDefault="00042201" w:rsidP="00042201">
      <w:pPr>
        <w:spacing w:after="229" w:line="360" w:lineRule="auto"/>
        <w:ind w:firstLine="709"/>
        <w:jc w:val="both"/>
        <w:rPr>
          <w:rFonts w:eastAsia="Arial"/>
          <w:sz w:val="24"/>
          <w:szCs w:val="24"/>
        </w:rPr>
      </w:pPr>
      <w:r>
        <w:rPr>
          <w:rFonts w:eastAsia="Arial"/>
          <w:sz w:val="24"/>
          <w:szCs w:val="24"/>
        </w:rPr>
        <w:t xml:space="preserve"> No que se refere aos métodos adotados, este presente artigo se configura como uma pesquisa bibliográfica, fundamentada na investigação e busca de fontes devidamente reconhecidas.  Segundo Sousa; Oliveira; Alves (2021), “A pesquisa bibliográfica está inserida principalmente no meio acadêmico e tem a finalidade de aprimoramento e atualização do conhecimento, através de uma investigação científica de obras já publicadas.”</w:t>
      </w:r>
    </w:p>
    <w:p w14:paraId="3E0A0ABA" w14:textId="77777777" w:rsidR="00042201" w:rsidRDefault="00042201" w:rsidP="00042201">
      <w:pPr>
        <w:spacing w:after="229" w:line="360" w:lineRule="auto"/>
        <w:ind w:firstLine="709"/>
        <w:jc w:val="both"/>
        <w:rPr>
          <w:rFonts w:eastAsia="Arial"/>
          <w:bCs/>
          <w:sz w:val="24"/>
          <w:szCs w:val="24"/>
        </w:rPr>
      </w:pPr>
      <w:r>
        <w:rPr>
          <w:rFonts w:eastAsia="Arial"/>
          <w:bCs/>
          <w:sz w:val="24"/>
          <w:szCs w:val="24"/>
        </w:rPr>
        <w:t xml:space="preserve"> A revisão literária deste estudo abrange uma gama de concepções teóricas e a legislação brasileira vigente, com destaque no direito do trabalho e as garantias fundamentais direcionadas na acessibilidade e equidade nas relações de trabalhos de pessoas </w:t>
      </w:r>
      <w:proofErr w:type="spellStart"/>
      <w:r>
        <w:rPr>
          <w:rFonts w:eastAsia="Arial"/>
          <w:bCs/>
          <w:sz w:val="24"/>
          <w:szCs w:val="24"/>
        </w:rPr>
        <w:t>neurodivergentes</w:t>
      </w:r>
      <w:proofErr w:type="spellEnd"/>
      <w:r>
        <w:rPr>
          <w:rFonts w:eastAsia="Arial"/>
          <w:bCs/>
          <w:sz w:val="24"/>
          <w:szCs w:val="24"/>
        </w:rPr>
        <w:t xml:space="preserve">. </w:t>
      </w:r>
    </w:p>
    <w:p w14:paraId="224A56EA" w14:textId="6F8DEDC6" w:rsidR="00042201" w:rsidRDefault="00042201" w:rsidP="00042201">
      <w:pPr>
        <w:spacing w:after="229" w:line="360" w:lineRule="auto"/>
        <w:ind w:firstLine="709"/>
        <w:jc w:val="both"/>
        <w:rPr>
          <w:rFonts w:eastAsia="Arial"/>
          <w:sz w:val="24"/>
          <w:szCs w:val="24"/>
        </w:rPr>
      </w:pPr>
      <w:r>
        <w:rPr>
          <w:rFonts w:eastAsia="Arial"/>
          <w:sz w:val="24"/>
          <w:szCs w:val="24"/>
        </w:rPr>
        <w:t xml:space="preserve">A pesquisa qualitativa e exploratória se deu a partir da busca nas Plataformas </w:t>
      </w:r>
      <w:r>
        <w:rPr>
          <w:rFonts w:eastAsia="Arial"/>
          <w:i/>
          <w:iCs/>
          <w:sz w:val="24"/>
          <w:szCs w:val="24"/>
        </w:rPr>
        <w:t>SciELO</w:t>
      </w:r>
      <w:r>
        <w:rPr>
          <w:rFonts w:eastAsia="Arial"/>
          <w:sz w:val="24"/>
          <w:szCs w:val="24"/>
        </w:rPr>
        <w:t xml:space="preserve"> e Google Acadêmico, com o uso de artigos e revistas e para as legislações vigentes no site do</w:t>
      </w:r>
      <w:r w:rsidR="00581DEE">
        <w:rPr>
          <w:rFonts w:eastAsia="Arial"/>
          <w:sz w:val="24"/>
          <w:szCs w:val="24"/>
        </w:rPr>
        <w:t xml:space="preserve"> </w:t>
      </w:r>
      <w:r>
        <w:rPr>
          <w:rFonts w:eastAsia="Arial"/>
          <w:sz w:val="24"/>
          <w:szCs w:val="24"/>
        </w:rPr>
        <w:lastRenderedPageBreak/>
        <w:t xml:space="preserve">Planalto. Para uma pesquisa mais específica, usou-se palavras chaves como </w:t>
      </w:r>
      <w:proofErr w:type="spellStart"/>
      <w:r>
        <w:rPr>
          <w:rFonts w:eastAsia="Arial"/>
          <w:sz w:val="24"/>
          <w:szCs w:val="24"/>
        </w:rPr>
        <w:t>Neurodivergência</w:t>
      </w:r>
      <w:proofErr w:type="spellEnd"/>
      <w:r>
        <w:rPr>
          <w:rFonts w:eastAsia="Arial"/>
          <w:sz w:val="24"/>
          <w:szCs w:val="24"/>
        </w:rPr>
        <w:t xml:space="preserve">, Direito do Trabalho, acessibilidade, igualdade e relações laborais. </w:t>
      </w:r>
    </w:p>
    <w:p w14:paraId="18F52494" w14:textId="77777777" w:rsidR="00042201" w:rsidRDefault="00042201" w:rsidP="00042201">
      <w:pPr>
        <w:spacing w:line="360" w:lineRule="auto"/>
        <w:jc w:val="both"/>
        <w:rPr>
          <w:rFonts w:eastAsia="Times New Roman"/>
          <w:b/>
          <w:bCs/>
          <w:sz w:val="24"/>
          <w:szCs w:val="24"/>
        </w:rPr>
      </w:pPr>
      <w:r>
        <w:rPr>
          <w:rFonts w:eastAsia="Times New Roman"/>
          <w:b/>
          <w:bCs/>
          <w:sz w:val="24"/>
          <w:szCs w:val="24"/>
        </w:rPr>
        <w:t>4 RESULTADOS E DISCUSSÃO</w:t>
      </w:r>
    </w:p>
    <w:p w14:paraId="0F8905E1" w14:textId="77777777" w:rsidR="00042201" w:rsidRDefault="00042201" w:rsidP="00042201">
      <w:pPr>
        <w:spacing w:after="237" w:line="360" w:lineRule="auto"/>
        <w:ind w:firstLine="709"/>
        <w:jc w:val="both"/>
        <w:rPr>
          <w:rFonts w:eastAsia="Arial"/>
          <w:bCs/>
          <w:sz w:val="24"/>
          <w:szCs w:val="24"/>
        </w:rPr>
      </w:pPr>
      <w:r>
        <w:rPr>
          <w:rFonts w:eastAsia="Arial"/>
          <w:bCs/>
          <w:sz w:val="24"/>
          <w:szCs w:val="24"/>
        </w:rPr>
        <w:t xml:space="preserve">Os resultados serão apresentados e discutidos em três secções da seguinte forma:  Neurodiversidade; Legislação Brasileira e os Direitos das Pessoas com </w:t>
      </w:r>
      <w:proofErr w:type="spellStart"/>
      <w:r>
        <w:rPr>
          <w:rFonts w:eastAsia="Arial"/>
          <w:bCs/>
          <w:sz w:val="24"/>
          <w:szCs w:val="24"/>
        </w:rPr>
        <w:t>Neurodivergência</w:t>
      </w:r>
      <w:proofErr w:type="spellEnd"/>
      <w:r>
        <w:rPr>
          <w:rFonts w:eastAsia="Arial"/>
          <w:bCs/>
          <w:sz w:val="24"/>
          <w:szCs w:val="24"/>
        </w:rPr>
        <w:t xml:space="preserve"> no Trabalho; Práticas Corporativas Inclusivas. </w:t>
      </w:r>
    </w:p>
    <w:p w14:paraId="16B3407D" w14:textId="77777777" w:rsidR="00042201" w:rsidRDefault="00042201" w:rsidP="00042201">
      <w:pPr>
        <w:spacing w:after="237" w:line="360" w:lineRule="auto"/>
        <w:jc w:val="both"/>
        <w:rPr>
          <w:rFonts w:eastAsia="Arial"/>
          <w:b/>
          <w:sz w:val="24"/>
          <w:szCs w:val="24"/>
        </w:rPr>
      </w:pPr>
      <w:r>
        <w:rPr>
          <w:rFonts w:eastAsia="Arial"/>
          <w:b/>
          <w:sz w:val="24"/>
          <w:szCs w:val="24"/>
        </w:rPr>
        <w:t xml:space="preserve">4.1 NEURODIVERSIDADE </w:t>
      </w:r>
    </w:p>
    <w:p w14:paraId="75BDB447" w14:textId="77777777" w:rsidR="00042201" w:rsidRDefault="00042201" w:rsidP="00042201">
      <w:pPr>
        <w:spacing w:after="237" w:line="360" w:lineRule="auto"/>
        <w:ind w:firstLine="709"/>
        <w:jc w:val="both"/>
        <w:rPr>
          <w:rFonts w:eastAsia="Arial"/>
          <w:sz w:val="24"/>
          <w:szCs w:val="24"/>
        </w:rPr>
      </w:pPr>
      <w:r>
        <w:rPr>
          <w:rFonts w:eastAsia="Arial"/>
          <w:sz w:val="24"/>
          <w:szCs w:val="24"/>
        </w:rPr>
        <w:t xml:space="preserve">A expressão neurodiversidade foi proposto pela socióloga australiana Judy Singer, em 1999, para descrever indivíduos com variações neurológicas que devem ser compreendidas como parte natural da diversidade humana. Dessa forma, essa abordagem propõe que esses indivíduos devem ser tratados com o devido respeito e reconhecidos da mesma forma que outras demais diversidades como a sexual, cultural ou étnica (Ortega, 2009).   </w:t>
      </w:r>
    </w:p>
    <w:p w14:paraId="09BA02D4" w14:textId="77777777" w:rsidR="00042201" w:rsidRDefault="00042201" w:rsidP="00042201">
      <w:pPr>
        <w:spacing w:after="237" w:line="360" w:lineRule="auto"/>
        <w:ind w:firstLine="709"/>
        <w:jc w:val="both"/>
        <w:rPr>
          <w:rFonts w:eastAsia="Arial"/>
          <w:sz w:val="24"/>
          <w:szCs w:val="24"/>
        </w:rPr>
      </w:pPr>
      <w:r>
        <w:rPr>
          <w:rFonts w:eastAsia="Arial"/>
          <w:sz w:val="24"/>
          <w:szCs w:val="24"/>
        </w:rPr>
        <w:t>A neurodiversidade, engloba indivíduos com Transtornos do Espectro Autista, Transtorno de Déficit de Atenção com Hiperatividade, Dislexia, Discalculia, dentre outras condições. (Albuquerque; Ribeiro, 2024)</w:t>
      </w:r>
    </w:p>
    <w:p w14:paraId="400B3C62" w14:textId="77777777" w:rsidR="00042201" w:rsidRDefault="00042201" w:rsidP="00042201">
      <w:pPr>
        <w:spacing w:after="237" w:line="360" w:lineRule="auto"/>
        <w:ind w:firstLine="709"/>
        <w:jc w:val="both"/>
        <w:rPr>
          <w:rFonts w:eastAsia="Arial"/>
          <w:sz w:val="24"/>
          <w:szCs w:val="24"/>
        </w:rPr>
      </w:pPr>
      <w:r>
        <w:rPr>
          <w:rFonts w:eastAsia="Arial"/>
          <w:sz w:val="24"/>
          <w:szCs w:val="24"/>
        </w:rPr>
        <w:t xml:space="preserve"> Segundo </w:t>
      </w:r>
      <w:proofErr w:type="spellStart"/>
      <w:r>
        <w:rPr>
          <w:rFonts w:eastAsia="Arial"/>
          <w:sz w:val="24"/>
          <w:szCs w:val="24"/>
        </w:rPr>
        <w:t>Zedes</w:t>
      </w:r>
      <w:proofErr w:type="spellEnd"/>
      <w:r>
        <w:rPr>
          <w:rFonts w:eastAsia="Arial"/>
          <w:sz w:val="24"/>
          <w:szCs w:val="24"/>
        </w:rPr>
        <w:t>, 2025</w:t>
      </w:r>
    </w:p>
    <w:p w14:paraId="34784646" w14:textId="62E7145F" w:rsidR="00042201" w:rsidRDefault="00042201" w:rsidP="00042201">
      <w:pPr>
        <w:spacing w:after="237"/>
        <w:ind w:left="2268"/>
        <w:jc w:val="both"/>
        <w:rPr>
          <w:rFonts w:eastAsia="Arial"/>
          <w:sz w:val="20"/>
          <w:szCs w:val="20"/>
        </w:rPr>
      </w:pPr>
      <w:r>
        <w:rPr>
          <w:rFonts w:eastAsia="Arial"/>
          <w:sz w:val="20"/>
          <w:szCs w:val="20"/>
        </w:rPr>
        <w:t xml:space="preserve">A neurodiversidade implica albergar a </w:t>
      </w:r>
      <w:proofErr w:type="spellStart"/>
      <w:r>
        <w:rPr>
          <w:rFonts w:eastAsia="Arial"/>
          <w:sz w:val="20"/>
          <w:szCs w:val="20"/>
        </w:rPr>
        <w:t>neurodivergência</w:t>
      </w:r>
      <w:proofErr w:type="spellEnd"/>
      <w:r>
        <w:rPr>
          <w:rFonts w:eastAsia="Arial"/>
          <w:sz w:val="20"/>
          <w:szCs w:val="20"/>
        </w:rPr>
        <w:t xml:space="preserve"> no meio social, com a inclusão completa dessas pessoas, a fim de que possam usufruir direitos em patamar de igualdade com os demais, especialmente o direito fundamental ao trabalho. (</w:t>
      </w:r>
      <w:proofErr w:type="spellStart"/>
      <w:r>
        <w:rPr>
          <w:rFonts w:eastAsia="Arial"/>
          <w:sz w:val="20"/>
          <w:szCs w:val="20"/>
        </w:rPr>
        <w:t>Zedes</w:t>
      </w:r>
      <w:proofErr w:type="spellEnd"/>
      <w:r>
        <w:rPr>
          <w:rFonts w:eastAsia="Arial"/>
          <w:sz w:val="20"/>
          <w:szCs w:val="20"/>
        </w:rPr>
        <w:t>, 2025)</w:t>
      </w:r>
    </w:p>
    <w:p w14:paraId="052CBB4F" w14:textId="77777777" w:rsidR="00042201" w:rsidRDefault="00042201" w:rsidP="00042201">
      <w:pPr>
        <w:spacing w:after="237" w:line="360" w:lineRule="auto"/>
        <w:ind w:firstLine="720"/>
        <w:jc w:val="both"/>
        <w:rPr>
          <w:rFonts w:eastAsia="Arial"/>
          <w:sz w:val="20"/>
          <w:szCs w:val="20"/>
        </w:rPr>
      </w:pPr>
      <w:r>
        <w:rPr>
          <w:rFonts w:eastAsia="Arial"/>
          <w:sz w:val="24"/>
          <w:szCs w:val="24"/>
        </w:rPr>
        <w:t xml:space="preserve">Assim, observa-se que a </w:t>
      </w:r>
      <w:proofErr w:type="spellStart"/>
      <w:r>
        <w:rPr>
          <w:rFonts w:eastAsia="Arial"/>
          <w:sz w:val="24"/>
          <w:szCs w:val="24"/>
        </w:rPr>
        <w:t>neurosiversidade</w:t>
      </w:r>
      <w:proofErr w:type="spellEnd"/>
      <w:r>
        <w:rPr>
          <w:rFonts w:eastAsia="Arial"/>
          <w:sz w:val="24"/>
          <w:szCs w:val="24"/>
        </w:rPr>
        <w:t xml:space="preserve">, tema proposto inicialmente por uma perspectiva meramente sociológica, passou a ser compreendido além de um conceito médico, mas social e jurídico. A literatura destaca a necessidade de políticas públicas e práticas inclusivas que possibilitam compreender os desafios e avanços de pessoas </w:t>
      </w:r>
      <w:proofErr w:type="spellStart"/>
      <w:r>
        <w:rPr>
          <w:rFonts w:eastAsia="Arial"/>
          <w:sz w:val="24"/>
          <w:szCs w:val="24"/>
        </w:rPr>
        <w:t>neurodivergentes</w:t>
      </w:r>
      <w:proofErr w:type="spellEnd"/>
      <w:r>
        <w:rPr>
          <w:rFonts w:eastAsia="Arial"/>
          <w:sz w:val="24"/>
          <w:szCs w:val="24"/>
        </w:rPr>
        <w:t xml:space="preserve"> no reconhecimento de seus direitos, com ênfase neste artigo no âmbito do Direito do Trabalho. Nesse sentido, como afirmam Albuquerque e Ribeiro (2024), “A iniciativa de tornar os ambientes de trabalho mais inclusivos não apenas reflete uma postura ética, mas também oferece vantagens comerciais substanciais, uma vez que a diversidade de talentos impulsiona o sucesso organizacional. “</w:t>
      </w:r>
    </w:p>
    <w:p w14:paraId="201A6AF1" w14:textId="77777777" w:rsidR="00042201" w:rsidRDefault="00042201" w:rsidP="00042201">
      <w:pPr>
        <w:spacing w:after="237" w:line="360" w:lineRule="auto"/>
        <w:jc w:val="both"/>
        <w:rPr>
          <w:rFonts w:eastAsia="Arial"/>
          <w:b/>
          <w:sz w:val="24"/>
          <w:szCs w:val="24"/>
        </w:rPr>
      </w:pPr>
      <w:r>
        <w:rPr>
          <w:rFonts w:eastAsia="Arial"/>
          <w:b/>
          <w:sz w:val="24"/>
          <w:szCs w:val="24"/>
        </w:rPr>
        <w:lastRenderedPageBreak/>
        <w:t xml:space="preserve">4.2 LEGISLAÇÃO BRASILEIRA E OS DIREITOS DAS PESSOAS COM </w:t>
      </w:r>
      <w:r>
        <w:rPr>
          <w:rFonts w:eastAsia="Arial"/>
          <w:b/>
          <w:bCs/>
          <w:sz w:val="24"/>
          <w:szCs w:val="24"/>
        </w:rPr>
        <w:t>NEURODIVERGÊNCIA NO TRABALHO</w:t>
      </w:r>
    </w:p>
    <w:p w14:paraId="30855D98" w14:textId="77777777" w:rsidR="00042201" w:rsidRDefault="00042201" w:rsidP="00042201">
      <w:pPr>
        <w:spacing w:after="237" w:line="360" w:lineRule="auto"/>
        <w:ind w:firstLine="709"/>
        <w:jc w:val="both"/>
        <w:rPr>
          <w:rFonts w:eastAsia="Arial"/>
          <w:sz w:val="24"/>
          <w:szCs w:val="24"/>
        </w:rPr>
      </w:pPr>
      <w:r>
        <w:rPr>
          <w:rFonts w:eastAsia="Arial"/>
          <w:sz w:val="24"/>
          <w:szCs w:val="24"/>
        </w:rPr>
        <w:t xml:space="preserve">O ordenamento brasileiro oferece um tripé protetivo robusto que inclui a Constituição Federal, a Convenção sobre os Direitos das Pessoas com Deficiência e a Lei Brasileira de Inclusão (LBI), assim como cotas, que cobrem explicitamente o Transtorno do Espectro Autista (TEA) e, por via funcional, pode alcançar outras </w:t>
      </w:r>
      <w:proofErr w:type="spellStart"/>
      <w:r>
        <w:rPr>
          <w:rFonts w:eastAsia="Arial"/>
          <w:sz w:val="24"/>
          <w:szCs w:val="24"/>
        </w:rPr>
        <w:t>neurodivergências</w:t>
      </w:r>
      <w:proofErr w:type="spellEnd"/>
      <w:r>
        <w:rPr>
          <w:rFonts w:eastAsia="Arial"/>
          <w:sz w:val="24"/>
          <w:szCs w:val="24"/>
        </w:rPr>
        <w:t>. Contudo, persistem problemas como a insegurança quanto ao enquadramento jurídico de condições não listadas expressamente e o déficit de diretrizes oficiais sobre acessibilidade sensorial/cognitiva e adaptações no ciclo completo do trabalho.</w:t>
      </w:r>
    </w:p>
    <w:p w14:paraId="3E40CDC0" w14:textId="77777777" w:rsidR="003848EE" w:rsidRDefault="00042201" w:rsidP="003848EE">
      <w:pPr>
        <w:spacing w:after="237" w:line="360" w:lineRule="auto"/>
        <w:ind w:firstLine="709"/>
        <w:jc w:val="both"/>
        <w:rPr>
          <w:rFonts w:eastAsia="Arial"/>
          <w:sz w:val="24"/>
          <w:szCs w:val="24"/>
        </w:rPr>
      </w:pPr>
      <w:r>
        <w:rPr>
          <w:rFonts w:eastAsia="Arial"/>
          <w:sz w:val="24"/>
          <w:szCs w:val="24"/>
        </w:rPr>
        <w:t>A Constituição Federal de 1988 estabeleceu as bases normativas para a proteção das pessoas com deficiência no Brasil. Além de consagrar a dignidade da pessoa humana e a igualdade (art. 1º, III e art. 5º, caput), a Carta veda a discriminação no trabalho por motivo de deficiência (art. 7º, XXXI) e garante reserva de vagas em concursos públicos (art. 37, VIII). Esses dispositivos dialogam diretamente com a Convenção da ONU (Organização das Nações Unidas) sobre os Direitos das Pessoas com Deficiência, incorporada ao ordenamento jurídico pelo Decreto nº 6.949/2009, com status constitucional, que impõe aos Estados signatários a adoção do modelo social da deficiência e o dever de assegurar “adaptações razoáveis” também no ambiente laboral (Brasil, 1988; Brasil, 2009).</w:t>
      </w:r>
    </w:p>
    <w:p w14:paraId="47D7D04B" w14:textId="55F8A0E1" w:rsidR="00042201" w:rsidRDefault="00042201" w:rsidP="003848EE">
      <w:pPr>
        <w:spacing w:after="237" w:line="360" w:lineRule="auto"/>
        <w:ind w:firstLine="709"/>
        <w:jc w:val="both"/>
        <w:rPr>
          <w:rFonts w:eastAsia="Arial"/>
          <w:sz w:val="24"/>
          <w:szCs w:val="24"/>
        </w:rPr>
      </w:pPr>
      <w:r>
        <w:rPr>
          <w:rFonts w:eastAsia="Arial"/>
          <w:sz w:val="24"/>
          <w:szCs w:val="24"/>
        </w:rPr>
        <w:t xml:space="preserve">Da mesma forma, a Lei Brasileira de Inclusão (Lei nº 13.146/2015) representou um avanço significativo ao detalhar direitos fundamentais em diferentes dimensões da vida social. No campo do trabalho, os </w:t>
      </w:r>
      <w:proofErr w:type="spellStart"/>
      <w:r>
        <w:rPr>
          <w:rFonts w:eastAsia="Arial"/>
          <w:sz w:val="24"/>
          <w:szCs w:val="24"/>
        </w:rPr>
        <w:t>arts</w:t>
      </w:r>
      <w:proofErr w:type="spellEnd"/>
      <w:r>
        <w:rPr>
          <w:rFonts w:eastAsia="Arial"/>
          <w:sz w:val="24"/>
          <w:szCs w:val="24"/>
        </w:rPr>
        <w:t>. 34 a 38 garantem à pessoa com deficiência o direito de exercer atividade profissional em ambiente acessível e inclusivo, em igualdade de oportunidades, proibindo discriminação desde o recrutamento até a promoção. A lei reforça a obrigação de adaptações razoáveis e de acessibilidade, elementos centrais para a efetividade da inclusão no mundo laboral (Brasil, 2015).</w:t>
      </w:r>
    </w:p>
    <w:p w14:paraId="3D5EA9B5" w14:textId="77777777" w:rsidR="00042201" w:rsidRDefault="00042201" w:rsidP="00042201">
      <w:pPr>
        <w:spacing w:after="237" w:line="360" w:lineRule="auto"/>
        <w:ind w:firstLine="709"/>
        <w:jc w:val="both"/>
        <w:rPr>
          <w:rFonts w:eastAsia="Arial"/>
          <w:sz w:val="24"/>
          <w:szCs w:val="24"/>
        </w:rPr>
      </w:pPr>
      <w:r>
        <w:rPr>
          <w:rFonts w:eastAsia="Arial"/>
          <w:sz w:val="24"/>
          <w:szCs w:val="24"/>
        </w:rPr>
        <w:t xml:space="preserve">Em caráter específico e em complemento, a Lei nº 12.764/2012 instituiu a Política Nacional de Proteção dos Direitos da Pessoa com TEA, reconhecendo expressamente o autista como pessoa com deficiência para todos os efeitos legais. Assim, trabalhadores autistas têm acesso a direitos da LBI, às cotas e às políticas de acessibilidade, o que representa um marco para a inclusão de pessoas </w:t>
      </w:r>
      <w:proofErr w:type="spellStart"/>
      <w:r>
        <w:rPr>
          <w:rFonts w:eastAsia="Arial"/>
          <w:sz w:val="24"/>
          <w:szCs w:val="24"/>
        </w:rPr>
        <w:t>neurodivergentes</w:t>
      </w:r>
      <w:proofErr w:type="spellEnd"/>
      <w:r>
        <w:rPr>
          <w:rFonts w:eastAsia="Arial"/>
          <w:sz w:val="24"/>
          <w:szCs w:val="24"/>
        </w:rPr>
        <w:t xml:space="preserve"> no mercado de trabalho (Brasil, 2012).</w:t>
      </w:r>
    </w:p>
    <w:p w14:paraId="7C43EBFB" w14:textId="77777777" w:rsidR="00581DEE" w:rsidRDefault="00581DEE" w:rsidP="00042201">
      <w:pPr>
        <w:spacing w:after="237" w:line="360" w:lineRule="auto"/>
        <w:ind w:firstLine="709"/>
        <w:jc w:val="both"/>
        <w:rPr>
          <w:rFonts w:eastAsia="Arial"/>
          <w:sz w:val="24"/>
          <w:szCs w:val="24"/>
        </w:rPr>
      </w:pPr>
    </w:p>
    <w:p w14:paraId="73A16423" w14:textId="32E7A8CF" w:rsidR="00042201" w:rsidRDefault="00042201" w:rsidP="00042201">
      <w:pPr>
        <w:spacing w:after="237" w:line="360" w:lineRule="auto"/>
        <w:ind w:firstLine="709"/>
        <w:jc w:val="both"/>
        <w:rPr>
          <w:rFonts w:eastAsia="Arial"/>
          <w:sz w:val="24"/>
          <w:szCs w:val="24"/>
        </w:rPr>
      </w:pPr>
      <w:r>
        <w:rPr>
          <w:rFonts w:eastAsia="Arial"/>
          <w:sz w:val="24"/>
          <w:szCs w:val="24"/>
        </w:rPr>
        <w:t xml:space="preserve"> No setor privado, destaca-se o art. 93 da Lei nº 8.213/1991, que obriga empresas com 100 ou mais empregados a preencher de 2% a 5% de seus cargos com pessoas com deficiência ou reabilitadas. Já na esfera pública, o Decreto nº 9.508/2018 prevê reserva mínima de 5% das vagas em concursos federais para esse grupo (Brasil, 1991; Brasil, 2018). Apesar disso, estudos indicam que a inclusão formal, via cotas, não é suficiente para assegurar permanência e progressão profissional, sobretudo quando faltam adaptações estruturais e organizacionais.</w:t>
      </w:r>
    </w:p>
    <w:p w14:paraId="118B7553" w14:textId="77777777" w:rsidR="00042201" w:rsidRDefault="00042201" w:rsidP="00042201">
      <w:pPr>
        <w:spacing w:after="237" w:line="360" w:lineRule="auto"/>
        <w:ind w:firstLine="709"/>
        <w:jc w:val="both"/>
        <w:rPr>
          <w:rFonts w:eastAsia="Arial"/>
          <w:sz w:val="24"/>
          <w:szCs w:val="24"/>
        </w:rPr>
      </w:pPr>
      <w:r>
        <w:rPr>
          <w:rFonts w:eastAsia="Arial"/>
          <w:sz w:val="24"/>
          <w:szCs w:val="24"/>
        </w:rPr>
        <w:t xml:space="preserve">Todavia, observa-se uma lacuna importante: o enquadramento jurídico de condições </w:t>
      </w:r>
      <w:proofErr w:type="spellStart"/>
      <w:r>
        <w:rPr>
          <w:rFonts w:eastAsia="Arial"/>
          <w:sz w:val="24"/>
          <w:szCs w:val="24"/>
        </w:rPr>
        <w:t>neurodivergentes</w:t>
      </w:r>
      <w:proofErr w:type="spellEnd"/>
      <w:r>
        <w:rPr>
          <w:rFonts w:eastAsia="Arial"/>
          <w:sz w:val="24"/>
          <w:szCs w:val="24"/>
        </w:rPr>
        <w:t xml:space="preserve"> além do TEA. Enquanto o autismo tem reconhecimento legal expresso, transtornos como Transtorno do déficit de atenção com hiperatividade (TDAH), dislexia ou dispraxia dependem de comprovação de “impedimento de longo prazo” que, em interação com barreiras, restrinja a participação plena (Lima, 2024). A interpretação predominante em decisões judiciais tem sido restritiva, negando enquadramento automático dessas condições para fins de cotas e benefícios, o que acaba por criar insegurança jurídica na aplicação de cotas e acomodações (Brasil, 2020).</w:t>
      </w:r>
    </w:p>
    <w:p w14:paraId="3C177ECD" w14:textId="57221BCF" w:rsidR="00042201" w:rsidRDefault="00042201" w:rsidP="003848EE">
      <w:pPr>
        <w:spacing w:after="237" w:line="360" w:lineRule="auto"/>
        <w:ind w:firstLine="709"/>
        <w:jc w:val="both"/>
        <w:rPr>
          <w:rFonts w:eastAsia="Arial"/>
          <w:sz w:val="24"/>
          <w:szCs w:val="24"/>
        </w:rPr>
      </w:pPr>
      <w:r>
        <w:rPr>
          <w:rFonts w:eastAsia="Arial"/>
          <w:sz w:val="24"/>
          <w:szCs w:val="24"/>
        </w:rPr>
        <w:t xml:space="preserve">Outro desafio reside na ausência de parâmetros técnicos específicos para adaptações razoáveis em contextos de neurodiversidade. Embora a LBI imponha esse dever, não há normativos oficiais que detalhem ajustes sensoriais, cognitivos ou comunicacionais necessários como flexibilização em entrevistas, ambientes menos ruidosos ou instruções mais claras. Pesquisas recentes demonstram que a falta de tais diretrizes compromete a efetividade da inclusão, resultando em rotatividade, subemprego e desgaste psíquico de trabalhadores </w:t>
      </w:r>
      <w:proofErr w:type="spellStart"/>
      <w:r>
        <w:rPr>
          <w:rFonts w:eastAsia="Arial"/>
          <w:sz w:val="24"/>
          <w:szCs w:val="24"/>
        </w:rPr>
        <w:t>neurodivergentes</w:t>
      </w:r>
      <w:proofErr w:type="spellEnd"/>
      <w:r>
        <w:rPr>
          <w:rFonts w:eastAsia="Arial"/>
          <w:sz w:val="24"/>
          <w:szCs w:val="24"/>
        </w:rPr>
        <w:t xml:space="preserve"> (Dantas; Almeida, 2025).</w:t>
      </w:r>
    </w:p>
    <w:p w14:paraId="6C685084" w14:textId="77777777" w:rsidR="00042201" w:rsidRDefault="00042201" w:rsidP="00042201">
      <w:pPr>
        <w:jc w:val="both"/>
        <w:rPr>
          <w:b/>
          <w:bCs/>
          <w:sz w:val="24"/>
          <w:szCs w:val="24"/>
        </w:rPr>
      </w:pPr>
      <w:r>
        <w:rPr>
          <w:b/>
          <w:bCs/>
          <w:sz w:val="24"/>
          <w:szCs w:val="24"/>
        </w:rPr>
        <w:t xml:space="preserve">4.3 </w:t>
      </w:r>
      <w:bookmarkStart w:id="0" w:name="_Hlk207564884"/>
      <w:r>
        <w:rPr>
          <w:b/>
          <w:bCs/>
          <w:sz w:val="24"/>
          <w:szCs w:val="24"/>
        </w:rPr>
        <w:t>PRÁTICAS CORPORATIVAS INCLUSIVAS</w:t>
      </w:r>
      <w:bookmarkEnd w:id="0"/>
      <w:r>
        <w:rPr>
          <w:b/>
          <w:bCs/>
          <w:sz w:val="24"/>
          <w:szCs w:val="24"/>
        </w:rPr>
        <w:t xml:space="preserve">: </w:t>
      </w:r>
    </w:p>
    <w:p w14:paraId="78E5D42E" w14:textId="77777777" w:rsidR="00042201" w:rsidRDefault="00042201" w:rsidP="00042201">
      <w:pPr>
        <w:jc w:val="both"/>
        <w:rPr>
          <w:b/>
          <w:bCs/>
          <w:sz w:val="24"/>
          <w:szCs w:val="24"/>
        </w:rPr>
      </w:pPr>
    </w:p>
    <w:p w14:paraId="2409EF36" w14:textId="77777777" w:rsidR="00042201" w:rsidRDefault="00042201" w:rsidP="00042201">
      <w:pPr>
        <w:spacing w:after="237" w:line="360" w:lineRule="auto"/>
        <w:ind w:firstLine="709"/>
        <w:jc w:val="both"/>
        <w:rPr>
          <w:rFonts w:eastAsia="Arial"/>
          <w:sz w:val="24"/>
          <w:szCs w:val="24"/>
        </w:rPr>
      </w:pPr>
      <w:r>
        <w:rPr>
          <w:rFonts w:eastAsia="Arial"/>
          <w:sz w:val="24"/>
          <w:szCs w:val="24"/>
        </w:rPr>
        <w:t>A inclusão vai além de simplesmente aceitar a diversidade; trata-se de criar ambientes que respeitem e acolham diferenças de maneira ativa, garantindo a todos os mesmos direitos e oportunidades. No caso das pessoas com Transtorno do Espectro Autista (TEA), a inserção no mercado de trabalho exige uma articulação eficaz entre legislações, empresas e sociedade civil. Para isso, é fundamental que as organizações sejam capacitadas e sensibilizadas, compreendendo as necessidades desses trabalhadores e promovendo adaptações que favoreçam sua integração, valorizando suas habilidades (Dantas; Almeida, 2025).</w:t>
      </w:r>
    </w:p>
    <w:p w14:paraId="2C2A9FE5" w14:textId="77777777" w:rsidR="00042201" w:rsidRDefault="00042201" w:rsidP="00042201">
      <w:pPr>
        <w:spacing w:after="237" w:line="360" w:lineRule="auto"/>
        <w:ind w:firstLine="709"/>
        <w:jc w:val="both"/>
        <w:rPr>
          <w:rFonts w:eastAsia="Arial"/>
          <w:sz w:val="24"/>
          <w:szCs w:val="24"/>
        </w:rPr>
      </w:pPr>
      <w:r>
        <w:rPr>
          <w:rFonts w:eastAsia="Arial"/>
          <w:sz w:val="24"/>
          <w:szCs w:val="24"/>
        </w:rPr>
        <w:lastRenderedPageBreak/>
        <w:t>Atualmente, programas de conscientização e treinamento são ferramentas essenciais para combater preconceitos e construir uma cultura organizacional mais inclusiva. A diversidade no ambiente corporativo não deve ser vista apenas como um valor moral, mas também como um fator estratégico, já que está diretamente associada ao aumento da criatividade e da inovação. Quando bem gerida, a diversidade contribui para iniciativas práticas de inclusão que beneficiam tanto indivíduos quanto organizações. Nesse sentido, é fundamental adotar uma inclusão sustentável, em que as práticas diárias estejam alinhadas à valorização genuína da diversidade, especialmente em contextos multiculturais (Dantas; Almeida, 2025).</w:t>
      </w:r>
    </w:p>
    <w:p w14:paraId="7A44CD49" w14:textId="77777777" w:rsidR="00042201" w:rsidRDefault="00042201" w:rsidP="00042201">
      <w:pPr>
        <w:spacing w:after="237" w:line="360" w:lineRule="auto"/>
        <w:ind w:firstLine="709"/>
        <w:jc w:val="both"/>
        <w:rPr>
          <w:rFonts w:eastAsia="Arial"/>
          <w:sz w:val="24"/>
          <w:szCs w:val="24"/>
        </w:rPr>
      </w:pPr>
      <w:r>
        <w:rPr>
          <w:rFonts w:eastAsia="Arial"/>
          <w:sz w:val="24"/>
          <w:szCs w:val="24"/>
        </w:rPr>
        <w:t xml:space="preserve">No Brasil, algumas experiências já se consolidaram. O Banco do Brasil, por exemplo, mantém há mais de uma década programas estruturados de inclusão de pessoas com deficiência, incluindo adaptações de provas em concursos, trilhas de capacitação e adequações em postos de trabalho. Relatórios internos indicam que trabalhadores </w:t>
      </w:r>
      <w:proofErr w:type="spellStart"/>
      <w:r>
        <w:rPr>
          <w:rFonts w:eastAsia="Arial"/>
          <w:sz w:val="24"/>
          <w:szCs w:val="24"/>
        </w:rPr>
        <w:t>neurodivergentes</w:t>
      </w:r>
      <w:proofErr w:type="spellEnd"/>
      <w:r>
        <w:rPr>
          <w:rFonts w:eastAsia="Arial"/>
          <w:sz w:val="24"/>
          <w:szCs w:val="24"/>
        </w:rPr>
        <w:t xml:space="preserve"> têm sido beneficiados por ajustes de rotinas e flexibilização de treinamentos (Banco do Brasil, 2023).</w:t>
      </w:r>
    </w:p>
    <w:p w14:paraId="02D21906" w14:textId="5291C4F7" w:rsidR="00042201" w:rsidRDefault="00042201" w:rsidP="003848EE">
      <w:pPr>
        <w:spacing w:after="237" w:line="360" w:lineRule="auto"/>
        <w:ind w:firstLine="709"/>
        <w:jc w:val="both"/>
        <w:rPr>
          <w:rFonts w:eastAsia="Arial"/>
          <w:sz w:val="24"/>
          <w:szCs w:val="24"/>
        </w:rPr>
      </w:pPr>
      <w:r>
        <w:rPr>
          <w:rFonts w:eastAsia="Arial"/>
          <w:sz w:val="24"/>
          <w:szCs w:val="24"/>
        </w:rPr>
        <w:t>Da mesma forma, o Estado tem promovido programas de trabalho e estágios inclusivos voltados a estudantes com TEA, reforçando a necessidade de que políticas afirmativas não se restrinjam ao setor privado. Um exemplo claro é o Projeto de Lei 5813/23, que estabelece regras para contratos de estágio voltados à aprendizagem de pessoas com Transtorno do Espectro Autista (TEA). A autora do PL, deputada Iza Arruda do MDB-PE, explica: “O objetivo desse projeto de lei é fomentar oportunidades de trabalho para pessoas com transtorno do espectro autista com comprometimento cognitivo ou gravidade nível 2”. Tal projeto mais tarde se tornou a Lei Nº 14.992/2024, que estabeleceu medidas que favoreçam a inserção de pessoas com transtorno do espectro autista no mercado de trabalho e em contratos de aprendizagem (Brasil, 2024)</w:t>
      </w:r>
    </w:p>
    <w:p w14:paraId="5116A0DE" w14:textId="77777777" w:rsidR="00042201" w:rsidRDefault="00042201" w:rsidP="00042201">
      <w:pPr>
        <w:spacing w:after="237" w:line="360" w:lineRule="auto"/>
        <w:ind w:firstLine="709"/>
        <w:jc w:val="both"/>
        <w:rPr>
          <w:rFonts w:eastAsia="Arial"/>
          <w:sz w:val="24"/>
          <w:szCs w:val="24"/>
        </w:rPr>
      </w:pPr>
      <w:r>
        <w:rPr>
          <w:rFonts w:eastAsia="Arial"/>
          <w:sz w:val="24"/>
          <w:szCs w:val="24"/>
        </w:rPr>
        <w:t>Ademais, essas experiências evidenciam que o sucesso da inclusão depende menos de grandes investimentos e mais de mudanças culturais e de gestão. A replicabilidade dos modelos passa pela revisão de critérios de seleção, pela adoção de programas internos de sensibilização e pela incorporação da acessibilidade cognitiva e sensorial como princípio transversal da organização. Assim, a presença de grupos historicamente marginalizados, como pessoas com deficiência, amplia a eficiência, a criatividade e o desenvolvimento das equipes, fortalecendo a inovação nas organizações (Dantas; Almeida, 2025).</w:t>
      </w:r>
    </w:p>
    <w:p w14:paraId="6C264C80" w14:textId="77777777" w:rsidR="00042201" w:rsidRDefault="00042201" w:rsidP="00042201">
      <w:pPr>
        <w:spacing w:after="237" w:line="360" w:lineRule="auto"/>
        <w:ind w:firstLine="709"/>
        <w:jc w:val="both"/>
        <w:rPr>
          <w:rFonts w:eastAsia="Arial"/>
          <w:sz w:val="24"/>
          <w:szCs w:val="24"/>
        </w:rPr>
      </w:pPr>
      <w:r>
        <w:rPr>
          <w:rFonts w:eastAsia="Arial"/>
          <w:sz w:val="24"/>
          <w:szCs w:val="24"/>
        </w:rPr>
        <w:lastRenderedPageBreak/>
        <w:t xml:space="preserve">Portanto, o mapeamento de práticas corporativas revela que a inclusão de pessoas </w:t>
      </w:r>
      <w:proofErr w:type="spellStart"/>
      <w:r>
        <w:rPr>
          <w:rFonts w:eastAsia="Arial"/>
          <w:sz w:val="24"/>
          <w:szCs w:val="24"/>
        </w:rPr>
        <w:t>neurodivergentes</w:t>
      </w:r>
      <w:proofErr w:type="spellEnd"/>
      <w:r>
        <w:rPr>
          <w:rFonts w:eastAsia="Arial"/>
          <w:sz w:val="24"/>
          <w:szCs w:val="24"/>
        </w:rPr>
        <w:t>, quando apoiada por políticas consistentes, gera benefícios duplos: fortalece a equidade e promove a inovação, ao valorizar modos de pensar diversos. Tais experiências configuram não apenas boas práticas, mas verdadeiros paradigmas replicáveis para a construção de ambientes laborais mais inclusivos (Dantas; Almeida, 2025).</w:t>
      </w:r>
    </w:p>
    <w:p w14:paraId="1451B1E7" w14:textId="77777777" w:rsidR="00042201" w:rsidRDefault="00042201" w:rsidP="00042201">
      <w:pPr>
        <w:spacing w:line="360" w:lineRule="auto"/>
        <w:jc w:val="both"/>
        <w:rPr>
          <w:sz w:val="24"/>
          <w:szCs w:val="24"/>
        </w:rPr>
      </w:pPr>
      <w:r>
        <w:rPr>
          <w:rFonts w:eastAsia="Times New Roman"/>
          <w:b/>
          <w:bCs/>
          <w:sz w:val="24"/>
          <w:szCs w:val="24"/>
        </w:rPr>
        <w:t>5 CONSIDERAÇÕES FINAIS</w:t>
      </w:r>
    </w:p>
    <w:p w14:paraId="1D22B7DF" w14:textId="77777777" w:rsidR="00042201" w:rsidRDefault="00042201" w:rsidP="00042201">
      <w:pPr>
        <w:spacing w:line="360" w:lineRule="auto"/>
        <w:jc w:val="both"/>
        <w:rPr>
          <w:rFonts w:eastAsia="Times New Roman"/>
          <w:sz w:val="24"/>
          <w:szCs w:val="24"/>
        </w:rPr>
      </w:pPr>
      <w:r>
        <w:rPr>
          <w:rFonts w:eastAsia="Times New Roman"/>
          <w:b/>
          <w:bCs/>
          <w:sz w:val="24"/>
          <w:szCs w:val="24"/>
        </w:rPr>
        <w:tab/>
      </w:r>
      <w:r>
        <w:rPr>
          <w:rFonts w:eastAsia="Times New Roman"/>
          <w:sz w:val="24"/>
          <w:szCs w:val="24"/>
        </w:rPr>
        <w:t xml:space="preserve">A análise deste estudo evidencia que, embora o ordenamento jurídico brasileiro disponha de instrumentos voltados à proteção das pessoas com deficiência, ainda se encontra lacunas quanto à efetivação da acessibilidade e da inclusão de pessoas </w:t>
      </w:r>
      <w:proofErr w:type="spellStart"/>
      <w:r>
        <w:rPr>
          <w:rFonts w:eastAsia="Times New Roman"/>
          <w:sz w:val="24"/>
          <w:szCs w:val="24"/>
        </w:rPr>
        <w:t>neurodivergentes</w:t>
      </w:r>
      <w:proofErr w:type="spellEnd"/>
      <w:r>
        <w:rPr>
          <w:rFonts w:eastAsia="Times New Roman"/>
          <w:sz w:val="24"/>
          <w:szCs w:val="24"/>
        </w:rPr>
        <w:t xml:space="preserve"> no mercado de trabalho. A legislação vigente apresenta importantes avanços, mas não assegura plenamente os direitos e necessidades desse grupo.</w:t>
      </w:r>
    </w:p>
    <w:p w14:paraId="1C104B9E" w14:textId="291165A3" w:rsidR="00042201" w:rsidRDefault="00042201" w:rsidP="00042201">
      <w:pPr>
        <w:spacing w:line="360" w:lineRule="auto"/>
        <w:jc w:val="both"/>
        <w:rPr>
          <w:rFonts w:eastAsia="Times New Roman"/>
          <w:sz w:val="24"/>
          <w:szCs w:val="24"/>
        </w:rPr>
      </w:pPr>
      <w:r>
        <w:rPr>
          <w:rFonts w:eastAsia="Times New Roman"/>
          <w:sz w:val="24"/>
          <w:szCs w:val="24"/>
        </w:rPr>
        <w:t xml:space="preserve">         A inclusão de neurodiversidade vai além de normas que assegurem seus direitos, mas, sobretudo práticos corporativas que implementem adaptações necessárias e garantam ambientes laborais acessíveis. Dessa forma, empresas que adotam políticas inclusivas colhem vantagens mútuas, como o fortalecimento da equidade e promove a inovação, valorizando novas formas de pensar.</w:t>
      </w:r>
    </w:p>
    <w:p w14:paraId="3831A0B3" w14:textId="48CAD9C6" w:rsidR="00042201" w:rsidRDefault="00042201" w:rsidP="00042201">
      <w:pPr>
        <w:spacing w:line="360" w:lineRule="auto"/>
        <w:jc w:val="both"/>
        <w:rPr>
          <w:rFonts w:eastAsia="Times New Roman"/>
          <w:sz w:val="24"/>
          <w:szCs w:val="24"/>
        </w:rPr>
      </w:pPr>
      <w:r>
        <w:rPr>
          <w:rFonts w:eastAsia="Times New Roman"/>
          <w:sz w:val="24"/>
          <w:szCs w:val="24"/>
        </w:rPr>
        <w:t xml:space="preserve">        </w:t>
      </w:r>
      <w:r w:rsidR="003848EE">
        <w:rPr>
          <w:rFonts w:eastAsia="Times New Roman"/>
          <w:sz w:val="24"/>
          <w:szCs w:val="24"/>
        </w:rPr>
        <w:t xml:space="preserve"> </w:t>
      </w:r>
      <w:r>
        <w:rPr>
          <w:rFonts w:eastAsia="Times New Roman"/>
          <w:sz w:val="24"/>
          <w:szCs w:val="24"/>
        </w:rPr>
        <w:t xml:space="preserve">Conclui-se, portanto, que a efetividade da equidade e da acessibilidade das pessoas </w:t>
      </w:r>
      <w:proofErr w:type="spellStart"/>
      <w:r>
        <w:rPr>
          <w:rFonts w:eastAsia="Times New Roman"/>
          <w:sz w:val="24"/>
          <w:szCs w:val="24"/>
        </w:rPr>
        <w:t>neurodivergentes</w:t>
      </w:r>
      <w:proofErr w:type="spellEnd"/>
      <w:r>
        <w:rPr>
          <w:rFonts w:eastAsia="Times New Roman"/>
          <w:sz w:val="24"/>
          <w:szCs w:val="24"/>
        </w:rPr>
        <w:t xml:space="preserve"> no mercado de trabalho, depende da articulação mútua entre Estado e a iniciativa privada. A valorização destes indivíduos deve ser vista, como uma promoção da igualdade e da inovação no mercado trabalhista. Assim, é necessário o fortalecimento de políticas públicas aliado ao comportamento empresarial. </w:t>
      </w:r>
    </w:p>
    <w:p w14:paraId="62EEC49F" w14:textId="77777777" w:rsidR="00042201" w:rsidRDefault="00042201" w:rsidP="00042201">
      <w:pPr>
        <w:spacing w:line="360" w:lineRule="auto"/>
        <w:jc w:val="both"/>
        <w:rPr>
          <w:rFonts w:eastAsia="Times New Roman"/>
          <w:b/>
          <w:bCs/>
          <w:sz w:val="24"/>
          <w:szCs w:val="24"/>
        </w:rPr>
      </w:pPr>
    </w:p>
    <w:p w14:paraId="7CFA008B" w14:textId="77777777" w:rsidR="00042201" w:rsidRDefault="00042201" w:rsidP="00042201">
      <w:pPr>
        <w:spacing w:line="360" w:lineRule="auto"/>
        <w:jc w:val="center"/>
        <w:rPr>
          <w:rFonts w:eastAsia="Times New Roman"/>
          <w:b/>
          <w:bCs/>
          <w:sz w:val="24"/>
          <w:szCs w:val="24"/>
        </w:rPr>
      </w:pPr>
      <w:r>
        <w:rPr>
          <w:rFonts w:eastAsia="Times New Roman"/>
          <w:b/>
          <w:bCs/>
          <w:sz w:val="24"/>
          <w:szCs w:val="24"/>
        </w:rPr>
        <w:t>REFERÊNCIAS</w:t>
      </w:r>
    </w:p>
    <w:p w14:paraId="1DF3CD35" w14:textId="77777777" w:rsidR="00042201" w:rsidRDefault="00042201" w:rsidP="00042201">
      <w:pPr>
        <w:spacing w:before="240" w:after="240"/>
      </w:pPr>
      <w:r>
        <w:t xml:space="preserve">ALBUQUERQUE, Ciro Férrer </w:t>
      </w:r>
      <w:proofErr w:type="spellStart"/>
      <w:r>
        <w:t>Herbster</w:t>
      </w:r>
      <w:proofErr w:type="spellEnd"/>
      <w:r>
        <w:t>; RIBEIRO, Teresa Patrícia Fernandes</w:t>
      </w:r>
      <w:r>
        <w:rPr>
          <w:b/>
          <w:bCs/>
        </w:rPr>
        <w:t xml:space="preserve">. </w:t>
      </w:r>
      <w:proofErr w:type="spellStart"/>
      <w:r>
        <w:rPr>
          <w:b/>
          <w:bCs/>
        </w:rPr>
        <w:t>Neuroergonomia</w:t>
      </w:r>
      <w:proofErr w:type="spellEnd"/>
      <w:r>
        <w:rPr>
          <w:b/>
          <w:bCs/>
        </w:rPr>
        <w:t xml:space="preserve"> e saúde mental: projetando ambientes de trabalho responsivos à neurodiversidade.</w:t>
      </w:r>
      <w:r>
        <w:t xml:space="preserve"> In: CONGRESSO BRASILEIRO DE ERGONOMIA E FATORES HUMANOS (ABERGO), 24., 2024, Goiânia (GO). Anais... Goiânia, GO: Even3, 2024. ISBN 978-65-272-0856-3. Disponível em: </w:t>
      </w:r>
      <w:hyperlink r:id="rId8">
        <w:r>
          <w:rPr>
            <w:rStyle w:val="Hyperlink"/>
          </w:rPr>
          <w:t>https://www.even3.com.br/anais/abergo2024/898530-neuroergonomia-e-saude-mental--projetando-ambientes-de-trabalho-responsivos-a-neurodiversidade</w:t>
        </w:r>
      </w:hyperlink>
      <w:r>
        <w:t>. Acesso em: 4 set. 2025.</w:t>
      </w:r>
    </w:p>
    <w:p w14:paraId="2D1435B5" w14:textId="77777777" w:rsidR="00042201" w:rsidRDefault="00042201" w:rsidP="00042201">
      <w:pPr>
        <w:spacing w:before="240" w:after="240"/>
      </w:pPr>
      <w:r>
        <w:t xml:space="preserve">BANCO DO BRASIL. </w:t>
      </w:r>
      <w:r>
        <w:rPr>
          <w:b/>
          <w:bCs/>
        </w:rPr>
        <w:t>Relatório de Sustentabilidade 2023.</w:t>
      </w:r>
      <w:r>
        <w:t xml:space="preserve"> Brasília: BB, 2023.</w:t>
      </w:r>
    </w:p>
    <w:p w14:paraId="7B5D3738" w14:textId="77777777" w:rsidR="00042201" w:rsidRDefault="00042201" w:rsidP="00042201">
      <w:pPr>
        <w:spacing w:before="240" w:after="240"/>
      </w:pPr>
      <w:r>
        <w:t xml:space="preserve">BRASIL. Constituição (1988). </w:t>
      </w:r>
      <w:r>
        <w:rPr>
          <w:b/>
          <w:bCs/>
        </w:rPr>
        <w:t>Constituição da República Federativa do Brasil de 1988.</w:t>
      </w:r>
      <w:r>
        <w:t xml:space="preserve"> Brasília, DF: Senado Federal, 1988.</w:t>
      </w:r>
    </w:p>
    <w:p w14:paraId="421C50B6" w14:textId="77777777" w:rsidR="00042201" w:rsidRDefault="00042201" w:rsidP="00042201">
      <w:pPr>
        <w:spacing w:before="240" w:after="240"/>
      </w:pPr>
      <w:r>
        <w:t xml:space="preserve">BRASIL. Decreto nº 6.949, de 25 de agosto de 2009. </w:t>
      </w:r>
      <w:r>
        <w:rPr>
          <w:b/>
          <w:bCs/>
        </w:rPr>
        <w:t>Promulga a Convenção Internacional sobre os Direitos das Pessoas com Deficiência.</w:t>
      </w:r>
      <w:r>
        <w:t xml:space="preserve"> Diário Oficial da União, Brasília, DF, 26 ago. 2009.</w:t>
      </w:r>
    </w:p>
    <w:p w14:paraId="53512936" w14:textId="77777777" w:rsidR="00042201" w:rsidRDefault="00042201" w:rsidP="00042201">
      <w:pPr>
        <w:spacing w:before="240" w:after="240"/>
      </w:pPr>
      <w:r>
        <w:lastRenderedPageBreak/>
        <w:t xml:space="preserve">BRASIL. Decreto nº 9.508, de 24 de setembro de 2018. </w:t>
      </w:r>
      <w:r>
        <w:rPr>
          <w:b/>
          <w:bCs/>
        </w:rPr>
        <w:t xml:space="preserve">Reserva de vagas para pessoas com deficiência em concursos públicos. </w:t>
      </w:r>
      <w:r>
        <w:t>Diário Oficial da União, Brasília, DF, 25 set. 2018.</w:t>
      </w:r>
    </w:p>
    <w:p w14:paraId="6BA6E750" w14:textId="77777777" w:rsidR="00042201" w:rsidRDefault="00042201" w:rsidP="00042201">
      <w:pPr>
        <w:spacing w:before="240" w:after="240"/>
      </w:pPr>
      <w:r>
        <w:t>BRASIL. Lei nº 8.213, de 24 de julho de 1991.</w:t>
      </w:r>
      <w:r>
        <w:rPr>
          <w:b/>
          <w:bCs/>
        </w:rPr>
        <w:t xml:space="preserve"> Dispõe sobre os Planos de Benefícios da Previdência Social. </w:t>
      </w:r>
      <w:r>
        <w:t>Diário Oficial da União, Brasília, DF, 25 jul. 1991.</w:t>
      </w:r>
    </w:p>
    <w:p w14:paraId="7D04DB13" w14:textId="77777777" w:rsidR="00042201" w:rsidRDefault="00042201" w:rsidP="00042201">
      <w:pPr>
        <w:spacing w:before="240" w:after="240"/>
      </w:pPr>
      <w:r>
        <w:t xml:space="preserve">BRASIL. Lei nº 12.764, de 27 de dezembro de 2012. </w:t>
      </w:r>
      <w:r>
        <w:rPr>
          <w:b/>
          <w:bCs/>
        </w:rPr>
        <w:t>Institui a Política Nacional de Proteção dos Direitos da Pessoa com Transtorno do Espectro Autista.</w:t>
      </w:r>
      <w:r>
        <w:t xml:space="preserve"> Diário Oficial da União, Brasília, DF, 28 dez. 2012.</w:t>
      </w:r>
    </w:p>
    <w:p w14:paraId="3E556136" w14:textId="77777777" w:rsidR="00042201" w:rsidRDefault="00042201" w:rsidP="00042201">
      <w:pPr>
        <w:spacing w:before="240" w:after="240"/>
      </w:pPr>
      <w:r>
        <w:t>BRASIL. Lei nº 13.146, de 6 de julho de 2015.</w:t>
      </w:r>
      <w:r>
        <w:rPr>
          <w:b/>
          <w:bCs/>
        </w:rPr>
        <w:t xml:space="preserve"> Institui a Lei Brasileira de Inclusão da Pessoa com Deficiência (Estatuto da Pessoa com Deficiência).</w:t>
      </w:r>
      <w:r>
        <w:t xml:space="preserve"> Diário Oficial da União, Brasília, DF, 7 jul. 2015. Disponível em: </w:t>
      </w:r>
      <w:hyperlink r:id="rId9">
        <w:r>
          <w:rPr>
            <w:rStyle w:val="Hyperlink"/>
          </w:rPr>
          <w:t>https://www.planalto.gov.br/ccivil_03_ato2015-2018/2015/lei/l13146.htm</w:t>
        </w:r>
      </w:hyperlink>
      <w:r>
        <w:t>.</w:t>
      </w:r>
    </w:p>
    <w:p w14:paraId="6C7F3173" w14:textId="77777777" w:rsidR="00042201" w:rsidRDefault="00042201" w:rsidP="00042201">
      <w:pPr>
        <w:spacing w:before="240" w:after="240"/>
      </w:pPr>
      <w:r>
        <w:t xml:space="preserve">BRASIL. Lei nº 14.992, de 3 de outubro de 2024. </w:t>
      </w:r>
      <w:r>
        <w:rPr>
          <w:b/>
          <w:bCs/>
        </w:rPr>
        <w:t>Altera a Lei nº 13.667, de 17 de maio de 2018, para estabelecer medidas que favoreçam a inserção de pessoas com transtorno do espectro autista no mercado de trabalho.</w:t>
      </w:r>
      <w:r>
        <w:t xml:space="preserve"> Diário Oficial da União: seção 1, Brasília, DF, p. 4, 4 out. 2024. Disponível em: </w:t>
      </w:r>
      <w:hyperlink r:id="rId10">
        <w:r>
          <w:rPr>
            <w:rStyle w:val="Hyperlink"/>
          </w:rPr>
          <w:t>https://www2.camara.leg.br/legin/fed/lei/2024/lei-14992-3-outubro-2024-796431-publicacaooriginal-173278-pl.html</w:t>
        </w:r>
      </w:hyperlink>
      <w:r>
        <w:t>. Acesso em: 6 set. 2025.</w:t>
      </w:r>
    </w:p>
    <w:p w14:paraId="66990B00" w14:textId="77777777" w:rsidR="00042201" w:rsidRDefault="00042201" w:rsidP="00042201">
      <w:pPr>
        <w:spacing w:before="240" w:after="240"/>
      </w:pPr>
      <w:r>
        <w:t xml:space="preserve">BRASIL. Tribunal Regional Federal da 3ª Região. </w:t>
      </w:r>
      <w:r>
        <w:rPr>
          <w:b/>
          <w:bCs/>
        </w:rPr>
        <w:t xml:space="preserve">Apelação Cível n. 5842874-66.2019.4.03.9999, 9ª Turma, Rel. Des. Federal </w:t>
      </w:r>
      <w:proofErr w:type="spellStart"/>
      <w:r>
        <w:rPr>
          <w:b/>
          <w:bCs/>
        </w:rPr>
        <w:t>Daldice</w:t>
      </w:r>
      <w:proofErr w:type="spellEnd"/>
      <w:r>
        <w:rPr>
          <w:b/>
          <w:bCs/>
        </w:rPr>
        <w:t xml:space="preserve"> Maria Santana de Almeida, </w:t>
      </w:r>
      <w:proofErr w:type="spellStart"/>
      <w:r>
        <w:rPr>
          <w:b/>
          <w:bCs/>
        </w:rPr>
        <w:t>julg</w:t>
      </w:r>
      <w:proofErr w:type="spellEnd"/>
      <w:r>
        <w:rPr>
          <w:b/>
          <w:bCs/>
        </w:rPr>
        <w:t>. em 21 fev. 2020, intimação em 26 fev. 2020.</w:t>
      </w:r>
      <w:r>
        <w:t xml:space="preserve"> </w:t>
      </w:r>
      <w:proofErr w:type="spellStart"/>
      <w:r>
        <w:t>Previdenciarista</w:t>
      </w:r>
      <w:proofErr w:type="spellEnd"/>
      <w:r>
        <w:t xml:space="preserve">, ementa publicada em 8 jul. 2020. Disponível em: </w:t>
      </w:r>
      <w:hyperlink r:id="rId11">
        <w:r>
          <w:rPr>
            <w:rStyle w:val="Hyperlink"/>
          </w:rPr>
          <w:t>https://previdenciarista.com/trf3/beneficio-assistencial-doenca-transtorno-de-deficit-de-atencao-e-hiperatividade-deficiencia-nao-configurada-inviabilidade-da-concessao-do-beneficio-2020-02-26-5842874-66-2019-4-03-9999/</w:t>
        </w:r>
      </w:hyperlink>
      <w:r>
        <w:t>. Acesso em: 3 set. 2025.</w:t>
      </w:r>
    </w:p>
    <w:p w14:paraId="1847F384" w14:textId="77777777" w:rsidR="00042201" w:rsidRDefault="00042201" w:rsidP="00042201">
      <w:pPr>
        <w:spacing w:before="240" w:after="240"/>
      </w:pPr>
      <w:r>
        <w:t xml:space="preserve">DANTAS, Adelma Araújo; ALMEIDA, </w:t>
      </w:r>
      <w:proofErr w:type="spellStart"/>
      <w:r>
        <w:t>Suenya</w:t>
      </w:r>
      <w:proofErr w:type="spellEnd"/>
      <w:r>
        <w:t xml:space="preserve"> Talita de</w:t>
      </w:r>
      <w:r>
        <w:rPr>
          <w:b/>
          <w:bCs/>
        </w:rPr>
        <w:t>.</w:t>
      </w:r>
      <w:r>
        <w:t xml:space="preserve"> </w:t>
      </w:r>
      <w:r>
        <w:rPr>
          <w:b/>
          <w:bCs/>
        </w:rPr>
        <w:t>Autismo: os desafios para a inserção de adultos com TEA no mercado de trabalho no Brasil.</w:t>
      </w:r>
      <w:r>
        <w:t xml:space="preserve"> Revista Ibero-Americana de Humanidades, Ciências e Educação, São Paulo, v. 11, n. 6, 2025. Disponível em: </w:t>
      </w:r>
      <w:hyperlink r:id="rId12">
        <w:r>
          <w:rPr>
            <w:rStyle w:val="Hyperlink"/>
          </w:rPr>
          <w:t>https://periodicorease.pro.br/rease/article/download/20411/12616/57132</w:t>
        </w:r>
      </w:hyperlink>
      <w:r>
        <w:t>. Acesso em: 3 set. 2025.</w:t>
      </w:r>
    </w:p>
    <w:p w14:paraId="1B55D3BD" w14:textId="77777777" w:rsidR="00042201" w:rsidRDefault="00042201" w:rsidP="00042201">
      <w:pPr>
        <w:spacing w:before="240" w:after="240"/>
      </w:pPr>
      <w:r>
        <w:t xml:space="preserve">DE SOUSA, Angélica Silva; DE OLIVEIRA, Guilherme Saramago; ALVES, Laís Hilário. </w:t>
      </w:r>
      <w:r>
        <w:rPr>
          <w:b/>
          <w:bCs/>
        </w:rPr>
        <w:t>A pesquisa bibliográfica: princípios e fundamentos.</w:t>
      </w:r>
      <w:r>
        <w:t xml:space="preserve"> Cadernos da FUCAMP, Monte Carmelo, v. 20, n. 43, p. 1-20, 2021.</w:t>
      </w:r>
    </w:p>
    <w:p w14:paraId="46A8C9C2" w14:textId="77777777" w:rsidR="00042201" w:rsidRDefault="00042201" w:rsidP="00042201">
      <w:pPr>
        <w:spacing w:before="240" w:after="240"/>
      </w:pPr>
      <w:r>
        <w:t xml:space="preserve">LIMA, Telmo Gonçalves. </w:t>
      </w:r>
      <w:r>
        <w:rPr>
          <w:b/>
          <w:bCs/>
        </w:rPr>
        <w:t>Pessoas com Transtorno do Espectro Autista: efetivação do direito à singularidade e à neurodiversidade nas sentenças de interdição.</w:t>
      </w:r>
      <w:r>
        <w:t xml:space="preserve"> 2024. Dissertação (Mestrado em Direito) – Universidade Católica do Salvador, Salvador, 2024. Disponível em: </w:t>
      </w:r>
      <w:hyperlink r:id="rId13">
        <w:r>
          <w:rPr>
            <w:rStyle w:val="Hyperlink"/>
          </w:rPr>
          <w:t>https://ri.ucsal.br/bitstreams/1c56195d-2e77-4124-9fc4-662f1801d7d8/download</w:t>
        </w:r>
      </w:hyperlink>
      <w:r>
        <w:t>. Acesso em: 3 set. 2025.</w:t>
      </w:r>
    </w:p>
    <w:p w14:paraId="5450F7FC" w14:textId="77777777" w:rsidR="00042201" w:rsidRDefault="00042201" w:rsidP="00042201">
      <w:pPr>
        <w:spacing w:before="240" w:after="240"/>
      </w:pPr>
      <w:r>
        <w:t xml:space="preserve">ORTEGA, Francisco. </w:t>
      </w:r>
      <w:r>
        <w:rPr>
          <w:b/>
          <w:bCs/>
        </w:rPr>
        <w:t>Deficiência, autismo e neurodiversidade</w:t>
      </w:r>
      <w:r>
        <w:t>. Ciência &amp; Saúde Coletiva, Rio de Janeiro, v. 14, p. 67-77, 2009.</w:t>
      </w:r>
    </w:p>
    <w:p w14:paraId="41465696" w14:textId="77777777" w:rsidR="00042201" w:rsidRDefault="00042201" w:rsidP="00042201">
      <w:pPr>
        <w:spacing w:before="240" w:after="240"/>
      </w:pPr>
      <w:r>
        <w:t xml:space="preserve">SILVA, Wellington Nunes. </w:t>
      </w:r>
      <w:r>
        <w:rPr>
          <w:b/>
          <w:bCs/>
        </w:rPr>
        <w:t>Melhorias no processo de inclusão do deficiente físico no contexto de trabalho.</w:t>
      </w:r>
      <w:r>
        <w:t xml:space="preserve"> 2019. Trabalho de Conclusão de Curso (Especialização em Engenharia de Segurança do Trabalho) - Universidade Tecnológica Federal do Paraná, Curitiba, 2019. Disponível em: </w:t>
      </w:r>
      <w:hyperlink r:id="rId14">
        <w:r>
          <w:rPr>
            <w:rStyle w:val="Hyperlink"/>
          </w:rPr>
          <w:t>https://repositorio.utfpr.edu.br/jspui/handle/1/17525</w:t>
        </w:r>
      </w:hyperlink>
    </w:p>
    <w:p w14:paraId="4274A2BE" w14:textId="77777777" w:rsidR="00042201" w:rsidRDefault="00042201" w:rsidP="00042201">
      <w:pPr>
        <w:spacing w:before="240" w:after="240"/>
      </w:pPr>
      <w:r>
        <w:t xml:space="preserve">ZEDES, Carolina </w:t>
      </w:r>
      <w:proofErr w:type="spellStart"/>
      <w:r>
        <w:t>Marzola</w:t>
      </w:r>
      <w:proofErr w:type="spellEnd"/>
      <w:r>
        <w:t xml:space="preserve"> Hirata. </w:t>
      </w:r>
      <w:r>
        <w:rPr>
          <w:b/>
          <w:bCs/>
        </w:rPr>
        <w:t>Neurodiversidade, inclusão no trabalho e regulação jurídica.</w:t>
      </w:r>
      <w:r>
        <w:t xml:space="preserve"> 2025. 258 f. Tese (Doutorado em Direito do Trabalho e da Seguridade Social) – Faculdade de Direito, Universidade de São Paulo, São Paulo, 2025. Disponível em: </w:t>
      </w:r>
      <w:hyperlink r:id="rId15">
        <w:r>
          <w:rPr>
            <w:rStyle w:val="Hyperlink"/>
          </w:rPr>
          <w:t>https://www.teses.usp.br/teses/disponiveis/2/2138/tde-18072025-150525/pt-br.php</w:t>
        </w:r>
      </w:hyperlink>
      <w:r>
        <w:t>. Acesso em: 31 ago. 2025.</w:t>
      </w:r>
    </w:p>
    <w:p w14:paraId="0F941C3B" w14:textId="77777777" w:rsidR="00042201" w:rsidRDefault="00042201" w:rsidP="00042201">
      <w:pPr>
        <w:pStyle w:val="Rodap"/>
        <w:rPr>
          <w:b/>
          <w:bCs/>
          <w:sz w:val="24"/>
          <w:szCs w:val="24"/>
        </w:rPr>
      </w:pPr>
    </w:p>
    <w:p w14:paraId="1AFD81D4" w14:textId="77777777" w:rsidR="00042201" w:rsidRDefault="00042201" w:rsidP="004071DD">
      <w:pPr>
        <w:spacing w:line="360" w:lineRule="auto"/>
        <w:rPr>
          <w:rFonts w:eastAsia="Times New Roman"/>
          <w:sz w:val="24"/>
          <w:szCs w:val="24"/>
        </w:rPr>
      </w:pPr>
    </w:p>
    <w:p w14:paraId="6005056F" w14:textId="77777777" w:rsidR="00042201" w:rsidRPr="00042201" w:rsidRDefault="00042201" w:rsidP="004071DD">
      <w:pPr>
        <w:spacing w:line="360" w:lineRule="auto"/>
        <w:rPr>
          <w:rFonts w:eastAsia="Times New Roman"/>
          <w:sz w:val="24"/>
          <w:szCs w:val="24"/>
        </w:rPr>
      </w:pPr>
    </w:p>
    <w:p w14:paraId="2E7AFC22" w14:textId="77777777" w:rsidR="00042201" w:rsidRDefault="00042201" w:rsidP="004071DD">
      <w:pPr>
        <w:spacing w:line="360" w:lineRule="auto"/>
        <w:rPr>
          <w:rFonts w:eastAsia="Times New Roman"/>
          <w:i/>
          <w:iCs/>
          <w:sz w:val="24"/>
          <w:szCs w:val="24"/>
        </w:rPr>
      </w:pPr>
    </w:p>
    <w:p w14:paraId="67F03D2E" w14:textId="77777777" w:rsidR="00042201" w:rsidRDefault="00042201" w:rsidP="004071DD">
      <w:pPr>
        <w:spacing w:line="360" w:lineRule="auto"/>
        <w:rPr>
          <w:rFonts w:eastAsia="Times New Roman"/>
          <w:i/>
          <w:iCs/>
          <w:sz w:val="24"/>
          <w:szCs w:val="24"/>
        </w:rPr>
      </w:pPr>
    </w:p>
    <w:p w14:paraId="5D52C510" w14:textId="77777777" w:rsidR="00042201" w:rsidRDefault="00042201" w:rsidP="004071DD">
      <w:pPr>
        <w:spacing w:line="360" w:lineRule="auto"/>
        <w:rPr>
          <w:rFonts w:eastAsia="Times New Roman"/>
          <w:i/>
          <w:iCs/>
          <w:sz w:val="24"/>
          <w:szCs w:val="24"/>
        </w:rPr>
      </w:pPr>
    </w:p>
    <w:p w14:paraId="118E104A" w14:textId="77777777" w:rsidR="00042201" w:rsidRDefault="00042201" w:rsidP="004071DD">
      <w:pPr>
        <w:spacing w:line="360" w:lineRule="auto"/>
        <w:rPr>
          <w:rFonts w:eastAsia="Times New Roman"/>
          <w:i/>
          <w:iCs/>
          <w:sz w:val="24"/>
          <w:szCs w:val="24"/>
        </w:rPr>
      </w:pPr>
    </w:p>
    <w:p w14:paraId="15210C94" w14:textId="77777777" w:rsidR="00042201" w:rsidRDefault="00042201" w:rsidP="004071DD">
      <w:pPr>
        <w:spacing w:line="360" w:lineRule="auto"/>
        <w:rPr>
          <w:rFonts w:eastAsia="Times New Roman"/>
          <w:i/>
          <w:iCs/>
          <w:sz w:val="24"/>
          <w:szCs w:val="24"/>
        </w:rPr>
      </w:pPr>
    </w:p>
    <w:p w14:paraId="182C6036" w14:textId="77777777" w:rsidR="00042201" w:rsidRDefault="00042201" w:rsidP="004071DD">
      <w:pPr>
        <w:spacing w:line="360" w:lineRule="auto"/>
        <w:rPr>
          <w:rFonts w:eastAsia="Times New Roman"/>
          <w:i/>
          <w:iCs/>
          <w:sz w:val="24"/>
          <w:szCs w:val="24"/>
        </w:rPr>
      </w:pPr>
    </w:p>
    <w:p w14:paraId="66FE77CD" w14:textId="77777777" w:rsidR="00042201" w:rsidRDefault="00042201" w:rsidP="004071DD">
      <w:pPr>
        <w:spacing w:line="360" w:lineRule="auto"/>
        <w:rPr>
          <w:rFonts w:eastAsia="Times New Roman"/>
          <w:i/>
          <w:iCs/>
          <w:sz w:val="24"/>
          <w:szCs w:val="24"/>
        </w:rPr>
      </w:pPr>
    </w:p>
    <w:p w14:paraId="7872AE62" w14:textId="77777777" w:rsidR="00042201" w:rsidRDefault="00042201" w:rsidP="004071DD">
      <w:pPr>
        <w:spacing w:line="360" w:lineRule="auto"/>
        <w:rPr>
          <w:rFonts w:eastAsia="Times New Roman"/>
          <w:i/>
          <w:iCs/>
          <w:sz w:val="24"/>
          <w:szCs w:val="24"/>
        </w:rPr>
      </w:pPr>
    </w:p>
    <w:p w14:paraId="1E5325FB" w14:textId="77777777" w:rsidR="00042201" w:rsidRDefault="00042201" w:rsidP="004071DD">
      <w:pPr>
        <w:spacing w:line="360" w:lineRule="auto"/>
        <w:rPr>
          <w:rFonts w:eastAsia="Times New Roman"/>
          <w:i/>
          <w:iCs/>
          <w:sz w:val="24"/>
          <w:szCs w:val="24"/>
        </w:rPr>
      </w:pPr>
    </w:p>
    <w:p w14:paraId="45A06B9F" w14:textId="77777777" w:rsidR="00042201" w:rsidRDefault="00042201" w:rsidP="004071DD">
      <w:pPr>
        <w:spacing w:line="360" w:lineRule="auto"/>
        <w:rPr>
          <w:rFonts w:eastAsia="Times New Roman"/>
          <w:i/>
          <w:iCs/>
          <w:sz w:val="24"/>
          <w:szCs w:val="24"/>
        </w:rPr>
      </w:pPr>
    </w:p>
    <w:p w14:paraId="06781D8C" w14:textId="77777777" w:rsidR="009944CE" w:rsidRPr="003933B9" w:rsidRDefault="009944CE" w:rsidP="009944CE">
      <w:pPr>
        <w:pStyle w:val="Rodap"/>
      </w:pPr>
      <w:bookmarkStart w:id="1" w:name="page2"/>
      <w:bookmarkEnd w:id="1"/>
    </w:p>
    <w:sectPr w:rsidR="009944CE" w:rsidRPr="003933B9" w:rsidSect="004071DD">
      <w:headerReference w:type="default" r:id="rId16"/>
      <w:footerReference w:type="default" r:id="rId17"/>
      <w:pgSz w:w="11906"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4DAA" w14:textId="77777777" w:rsidR="00C20368" w:rsidRDefault="00C20368" w:rsidP="004071DD">
      <w:r>
        <w:separator/>
      </w:r>
    </w:p>
  </w:endnote>
  <w:endnote w:type="continuationSeparator" w:id="0">
    <w:p w14:paraId="457F796D" w14:textId="77777777" w:rsidR="00C20368" w:rsidRDefault="00C20368"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5C2A" w14:textId="77777777" w:rsidR="00E03F14" w:rsidRDefault="00E03F14" w:rsidP="00CB1ECB">
    <w:pPr>
      <w:pStyle w:val="Rodap"/>
      <w:ind w:hanging="1418"/>
      <w:rPr>
        <w:noProof/>
      </w:rPr>
    </w:pPr>
  </w:p>
  <w:p w14:paraId="06106E4C" w14:textId="51F31F58" w:rsidR="00552968" w:rsidRDefault="00E03F14"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2097436799" name="Imagem 20974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B1ECB" w:rsidRDefault="00CB1ECB"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7354" w14:textId="77777777" w:rsidR="00C20368" w:rsidRDefault="00C20368" w:rsidP="004071DD">
      <w:r>
        <w:separator/>
      </w:r>
    </w:p>
  </w:footnote>
  <w:footnote w:type="continuationSeparator" w:id="0">
    <w:p w14:paraId="4CA44227" w14:textId="77777777" w:rsidR="00C20368" w:rsidRDefault="00C20368" w:rsidP="004071DD">
      <w:r>
        <w:continuationSeparator/>
      </w:r>
    </w:p>
  </w:footnote>
  <w:footnote w:id="1">
    <w:p w14:paraId="5881B10D" w14:textId="54A1B4D2" w:rsidR="00F33874" w:rsidRDefault="00F33874">
      <w:pPr>
        <w:pStyle w:val="Textodenotaderodap"/>
      </w:pPr>
      <w:r>
        <w:rPr>
          <w:rStyle w:val="Refdenotaderodap"/>
        </w:rPr>
        <w:footnoteRef/>
      </w:r>
      <w:r>
        <w:t xml:space="preserve"> </w:t>
      </w:r>
      <w:r w:rsidRPr="00F33874">
        <w:t xml:space="preserve">¹ Graduando em </w:t>
      </w:r>
      <w:r w:rsidR="00042201">
        <w:t>Direito</w:t>
      </w:r>
      <w:r w:rsidRPr="00F33874">
        <w:t xml:space="preserve"> – </w:t>
      </w:r>
      <w:proofErr w:type="spellStart"/>
      <w:r w:rsidRPr="00F33874">
        <w:t>Christus</w:t>
      </w:r>
      <w:proofErr w:type="spellEnd"/>
      <w:r w:rsidRPr="00F33874">
        <w:t xml:space="preserve"> Faculdade do Piauí.</w:t>
      </w:r>
    </w:p>
    <w:p w14:paraId="30E10E43" w14:textId="7F892F2B" w:rsidR="00042201" w:rsidRPr="00042201" w:rsidRDefault="00042201">
      <w:pPr>
        <w:pStyle w:val="Textodenotaderodap"/>
      </w:pPr>
      <w:r>
        <w:t>2</w:t>
      </w:r>
      <w:r>
        <w:rPr>
          <w:vertAlign w:val="superscript"/>
        </w:rPr>
        <w:t xml:space="preserve">2 </w:t>
      </w:r>
      <w:r>
        <w:t xml:space="preserve"> Professora Mestra em Direito-</w:t>
      </w:r>
      <w:r w:rsidRPr="00042201">
        <w:t xml:space="preserve"> </w:t>
      </w:r>
      <w:proofErr w:type="spellStart"/>
      <w:r w:rsidRPr="00F33874">
        <w:t>Christus</w:t>
      </w:r>
      <w:proofErr w:type="spellEnd"/>
      <w:r w:rsidRPr="00F33874">
        <w:t xml:space="preserve"> Faculdade do Piauí.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C556" w14:textId="309EA412" w:rsidR="00CB1ECB" w:rsidRDefault="00044CF3"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1199B5F7">
          <wp:simplePos x="0" y="0"/>
          <wp:positionH relativeFrom="page">
            <wp:align>left</wp:align>
          </wp:positionH>
          <wp:positionV relativeFrom="paragraph">
            <wp:posOffset>-447040</wp:posOffset>
          </wp:positionV>
          <wp:extent cx="7629525" cy="1402848"/>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r>
      <w:tab/>
    </w:r>
    <w:r w:rsidR="005469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4"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abstractNum w:abstractNumId="5" w15:restartNumberingAfterBreak="0">
    <w:nsid w:val="6BA735E3"/>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49661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542814">
    <w:abstractNumId w:val="3"/>
  </w:num>
  <w:num w:numId="3" w16cid:durableId="2128086192">
    <w:abstractNumId w:val="4"/>
  </w:num>
  <w:num w:numId="4" w16cid:durableId="777992193">
    <w:abstractNumId w:val="2"/>
  </w:num>
  <w:num w:numId="5" w16cid:durableId="614141171">
    <w:abstractNumId w:val="1"/>
  </w:num>
  <w:num w:numId="6" w16cid:durableId="683870612">
    <w:abstractNumId w:val="0"/>
  </w:num>
  <w:num w:numId="7" w16cid:durableId="1320234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DD"/>
    <w:rsid w:val="00042201"/>
    <w:rsid w:val="00044CF3"/>
    <w:rsid w:val="00062FBE"/>
    <w:rsid w:val="000C0A41"/>
    <w:rsid w:val="000D1FDB"/>
    <w:rsid w:val="00146632"/>
    <w:rsid w:val="0014789D"/>
    <w:rsid w:val="00147A52"/>
    <w:rsid w:val="00280A8C"/>
    <w:rsid w:val="0029366B"/>
    <w:rsid w:val="002A1E6B"/>
    <w:rsid w:val="00321602"/>
    <w:rsid w:val="0036755F"/>
    <w:rsid w:val="003848EE"/>
    <w:rsid w:val="003933B9"/>
    <w:rsid w:val="003D7432"/>
    <w:rsid w:val="004071DD"/>
    <w:rsid w:val="004220E9"/>
    <w:rsid w:val="004961DC"/>
    <w:rsid w:val="004E110E"/>
    <w:rsid w:val="005469FC"/>
    <w:rsid w:val="00552968"/>
    <w:rsid w:val="00581DEE"/>
    <w:rsid w:val="005910BF"/>
    <w:rsid w:val="005C4F4F"/>
    <w:rsid w:val="00715E15"/>
    <w:rsid w:val="007242CD"/>
    <w:rsid w:val="007367D8"/>
    <w:rsid w:val="00770C83"/>
    <w:rsid w:val="00783E9A"/>
    <w:rsid w:val="00804E7E"/>
    <w:rsid w:val="00822D90"/>
    <w:rsid w:val="008233E9"/>
    <w:rsid w:val="00846ACF"/>
    <w:rsid w:val="008865CE"/>
    <w:rsid w:val="009140D1"/>
    <w:rsid w:val="00963E7D"/>
    <w:rsid w:val="009944CE"/>
    <w:rsid w:val="00A72088"/>
    <w:rsid w:val="00AA1891"/>
    <w:rsid w:val="00B512D1"/>
    <w:rsid w:val="00B7370E"/>
    <w:rsid w:val="00B761A1"/>
    <w:rsid w:val="00C20368"/>
    <w:rsid w:val="00C43042"/>
    <w:rsid w:val="00CB1ECB"/>
    <w:rsid w:val="00CC3AC7"/>
    <w:rsid w:val="00CF1AD2"/>
    <w:rsid w:val="00DB1935"/>
    <w:rsid w:val="00E03F14"/>
    <w:rsid w:val="00E04D2A"/>
    <w:rsid w:val="00E1448D"/>
    <w:rsid w:val="00E94362"/>
    <w:rsid w:val="00F33874"/>
    <w:rsid w:val="00FA4973"/>
    <w:rsid w:val="00FC6A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qFormat/>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character" w:styleId="Hyperlink">
    <w:name w:val="Hyperlink"/>
    <w:rsid w:val="00042201"/>
    <w:rPr>
      <w:color w:val="000080"/>
      <w:u w:val="single"/>
    </w:rPr>
  </w:style>
  <w:style w:type="character" w:styleId="HiperlinkVisitado">
    <w:name w:val="FollowedHyperlink"/>
    <w:basedOn w:val="Fontepargpadro"/>
    <w:uiPriority w:val="99"/>
    <w:semiHidden/>
    <w:unhideWhenUsed/>
    <w:rsid w:val="000422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3.com.br/anais/abergo2024/898530-neuroergonomia-e-saude-mental--projetando-ambientes-de-trabalho-responsivos-a-neurodiversidade" TargetMode="External"/><Relationship Id="rId13" Type="http://schemas.openxmlformats.org/officeDocument/2006/relationships/hyperlink" Target="https://ri.ucsal.br/bitstreams/1c56195d-2e77-4124-9fc4-662f1801d7d8/downloa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eriodicorease.pro.br/rease/article/download/20411/12616/5713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videnciarista.com/trf3/beneficio-assistencial-doenca-transtorno-de-deficit-de-atencao-e-hiperatividade-deficiencia-nao-configurada-inviabilidade-da-concessao-do-beneficio-2020-02-26-5842874-66-2019-4-03-9999/" TargetMode="External"/><Relationship Id="rId5" Type="http://schemas.openxmlformats.org/officeDocument/2006/relationships/webSettings" Target="webSettings.xml"/><Relationship Id="rId15" Type="http://schemas.openxmlformats.org/officeDocument/2006/relationships/hyperlink" Target="https://www.teses.usp.br/teses/disponiveis/2/2138/tde-18072025-150525/pt-br.php" TargetMode="External"/><Relationship Id="rId10" Type="http://schemas.openxmlformats.org/officeDocument/2006/relationships/hyperlink" Target="https://www2.camara.leg.br/legin/fed/lei/2024/lei-14992-3-outubro-2024-796431-publicacaooriginal-173278-pl.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lanalto.gov.br/ccivil_03_ato2015-2018/2015/lei/l13146.htm" TargetMode="External"/><Relationship Id="rId14" Type="http://schemas.openxmlformats.org/officeDocument/2006/relationships/hyperlink" Target="https://repositorio.utfpr.edu.br/jspui/handle/1/1752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9190F-B5BC-4F8E-9AE6-C19A2C6A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3725</Words>
  <Characters>20116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Carla Germana</cp:lastModifiedBy>
  <cp:revision>3</cp:revision>
  <cp:lastPrinted>2021-07-28T20:43:00Z</cp:lastPrinted>
  <dcterms:created xsi:type="dcterms:W3CDTF">2025-09-11T21:40:00Z</dcterms:created>
  <dcterms:modified xsi:type="dcterms:W3CDTF">2025-09-11T21:46:00Z</dcterms:modified>
</cp:coreProperties>
</file>