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B886C" w14:textId="5B8A6FE3" w:rsidR="004B2BD6" w:rsidRDefault="0063107C" w:rsidP="00BD6D9B">
      <w:pPr>
        <w:jc w:val="center"/>
        <w:rPr>
          <w:rFonts w:ascii="Times New Roman" w:hAnsi="Times New Roman" w:cs="Times New Roman"/>
          <w:sz w:val="28"/>
          <w:szCs w:val="28"/>
        </w:rPr>
      </w:pPr>
      <w:r w:rsidRPr="00296DC0">
        <w:rPr>
          <w:rFonts w:ascii="Times New Roman" w:hAnsi="Times New Roman" w:cs="Times New Roman"/>
          <w:b/>
          <w:noProof/>
          <w:sz w:val="26"/>
          <w:szCs w:val="26"/>
          <w:lang w:eastAsia="pt-BR"/>
        </w:rPr>
        <w:drawing>
          <wp:anchor distT="0" distB="0" distL="114300" distR="114300" simplePos="0" relativeHeight="251659264" behindDoc="1" locked="0" layoutInCell="1" allowOverlap="1" wp14:anchorId="3BE41451" wp14:editId="60A7E05F">
            <wp:simplePos x="0" y="0"/>
            <wp:positionH relativeFrom="page">
              <wp:align>right</wp:align>
            </wp:positionH>
            <wp:positionV relativeFrom="paragraph">
              <wp:posOffset>-1139825</wp:posOffset>
            </wp:positionV>
            <wp:extent cx="7753350" cy="10744200"/>
            <wp:effectExtent l="0" t="0" r="0" b="0"/>
            <wp:wrapNone/>
            <wp:docPr id="5"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a:ln>
                      <a:noFill/>
                    </a:ln>
                  </pic:spPr>
                </pic:pic>
              </a:graphicData>
            </a:graphic>
            <wp14:sizeRelH relativeFrom="margin">
              <wp14:pctWidth>0</wp14:pctWidth>
            </wp14:sizeRelH>
          </wp:anchor>
        </w:drawing>
      </w:r>
    </w:p>
    <w:p w14:paraId="5F1A7D26" w14:textId="77777777" w:rsidR="0063107C" w:rsidRPr="00BD6D9B" w:rsidRDefault="0063107C" w:rsidP="00BD6D9B">
      <w:pPr>
        <w:jc w:val="center"/>
        <w:rPr>
          <w:rFonts w:ascii="Times New Roman" w:hAnsi="Times New Roman" w:cs="Times New Roman"/>
          <w:sz w:val="28"/>
          <w:szCs w:val="28"/>
        </w:rPr>
      </w:pPr>
    </w:p>
    <w:p w14:paraId="5221294D" w14:textId="77777777" w:rsidR="002C3DA8" w:rsidRDefault="002C3DA8" w:rsidP="004B2BD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SÍNDROME DE TAKOTSUBO: </w:t>
      </w:r>
    </w:p>
    <w:p w14:paraId="5D304A69" w14:textId="13C39B15" w:rsidR="004B2BD6" w:rsidRPr="004B2BD6" w:rsidRDefault="002C3DA8" w:rsidP="002C3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UMA DISFUNÇÃO VENTRICULAR TRANSITÓRIA</w:t>
      </w:r>
    </w:p>
    <w:p w14:paraId="4CFB10B5" w14:textId="6AA72F07" w:rsidR="00C45D74" w:rsidRPr="000E04E3" w:rsidRDefault="000E04E3" w:rsidP="002C3DA8">
      <w:pPr>
        <w:spacing w:line="240" w:lineRule="auto"/>
        <w:jc w:val="both"/>
        <w:rPr>
          <w:rFonts w:ascii="Times New Roman" w:hAnsi="Times New Roman" w:cs="Times New Roman"/>
          <w:color w:val="000000" w:themeColor="text1"/>
          <w:sz w:val="24"/>
          <w:szCs w:val="24"/>
        </w:rPr>
      </w:pPr>
      <w:r w:rsidRPr="000E04E3">
        <w:rPr>
          <w:rFonts w:ascii="Times New Roman" w:hAnsi="Times New Roman" w:cs="Times New Roman"/>
          <w:b/>
          <w:bCs/>
          <w:sz w:val="24"/>
          <w:szCs w:val="24"/>
        </w:rPr>
        <w:t xml:space="preserve">INTRODUÇÃO: </w:t>
      </w:r>
      <w:r w:rsidRPr="000E04E3">
        <w:rPr>
          <w:rFonts w:ascii="Times New Roman" w:hAnsi="Times New Roman" w:cs="Times New Roman"/>
          <w:color w:val="000000" w:themeColor="text1"/>
          <w:sz w:val="24"/>
          <w:szCs w:val="24"/>
        </w:rPr>
        <w:t>A síndrome de Takotsubo (STT) é uma síndrome cardíaca aguda caracterizada por anormalidades regionais típicas do movimento da parede que refletem o comprometimento da </w:t>
      </w:r>
      <w:hyperlink r:id="rId7" w:tooltip="Saiba mais sobre a contratilidade miocárdica nas páginas de tópicos geradas por IA da ScienceDirect" w:history="1">
        <w:r w:rsidRPr="000E04E3">
          <w:rPr>
            <w:rStyle w:val="Hyperlink"/>
            <w:rFonts w:ascii="Times New Roman" w:hAnsi="Times New Roman" w:cs="Times New Roman"/>
            <w:color w:val="000000" w:themeColor="text1"/>
            <w:sz w:val="24"/>
            <w:szCs w:val="24"/>
            <w:u w:val="none"/>
          </w:rPr>
          <w:t>contratilidade miocárdica </w:t>
        </w:r>
      </w:hyperlink>
      <w:r w:rsidRPr="000E04E3">
        <w:rPr>
          <w:rFonts w:ascii="Times New Roman" w:hAnsi="Times New Roman" w:cs="Times New Roman"/>
          <w:color w:val="000000" w:themeColor="text1"/>
          <w:sz w:val="24"/>
          <w:szCs w:val="24"/>
        </w:rPr>
        <w:t>que leva à </w:t>
      </w:r>
      <w:hyperlink r:id="rId8" w:tooltip="Saiba mais sobre insuficiência cardíaca aguda nas páginas de tópicos geradas por IA da ScienceDirect" w:history="1">
        <w:r w:rsidRPr="000E04E3">
          <w:rPr>
            <w:rStyle w:val="Hyperlink"/>
            <w:rFonts w:ascii="Times New Roman" w:hAnsi="Times New Roman" w:cs="Times New Roman"/>
            <w:color w:val="000000" w:themeColor="text1"/>
            <w:sz w:val="24"/>
            <w:szCs w:val="24"/>
            <w:u w:val="none"/>
          </w:rPr>
          <w:t>insuficiência cardíaca aguda </w:t>
        </w:r>
      </w:hyperlink>
      <w:r w:rsidRPr="000E04E3">
        <w:rPr>
          <w:rFonts w:ascii="Times New Roman" w:hAnsi="Times New Roman" w:cs="Times New Roman"/>
          <w:color w:val="000000" w:themeColor="text1"/>
          <w:sz w:val="24"/>
          <w:szCs w:val="24"/>
        </w:rPr>
        <w:t>na ausência de </w:t>
      </w:r>
      <w:hyperlink r:id="rId9" w:tooltip="Saiba mais sobre a doença arterial coronariana nas páginas de tópicos geradas por IA da ScienceDirect" w:history="1">
        <w:r w:rsidRPr="000E04E3">
          <w:rPr>
            <w:rStyle w:val="Hyperlink"/>
            <w:rFonts w:ascii="Times New Roman" w:hAnsi="Times New Roman" w:cs="Times New Roman"/>
            <w:color w:val="000000" w:themeColor="text1"/>
            <w:sz w:val="24"/>
            <w:szCs w:val="24"/>
            <w:u w:val="none"/>
          </w:rPr>
          <w:t>doença arterial coronariana</w:t>
        </w:r>
      </w:hyperlink>
      <w:r w:rsidRPr="000E04E3">
        <w:rPr>
          <w:rFonts w:ascii="Times New Roman" w:hAnsi="Times New Roman" w:cs="Times New Roman"/>
          <w:color w:val="000000" w:themeColor="text1"/>
          <w:sz w:val="24"/>
          <w:szCs w:val="24"/>
        </w:rPr>
        <w:t> epicárdica culpada. A síndrome de Takotsubo é uma condição caracterizada por disfunção sistólica ventricular esquerda transitória aguda, que na apresentação pode ser difícil de distinguir do infarto agudo do miocárdio</w:t>
      </w:r>
      <w:r w:rsidRPr="000E04E3">
        <w:rPr>
          <w:rFonts w:ascii="Times New Roman" w:hAnsi="Times New Roman" w:cs="Times New Roman"/>
          <w:color w:val="000000" w:themeColor="text1"/>
          <w:sz w:val="24"/>
          <w:szCs w:val="24"/>
        </w:rPr>
        <w:t xml:space="preserve"> </w:t>
      </w:r>
      <w:r w:rsidR="00C45D74" w:rsidRPr="000E04E3">
        <w:rPr>
          <w:rFonts w:ascii="Times New Roman" w:hAnsi="Times New Roman" w:cs="Times New Roman"/>
          <w:b/>
          <w:bCs/>
          <w:sz w:val="24"/>
          <w:szCs w:val="24"/>
        </w:rPr>
        <w:t>OBJETIVO</w:t>
      </w:r>
      <w:r w:rsidRPr="000E04E3">
        <w:rPr>
          <w:rFonts w:ascii="Times New Roman" w:hAnsi="Times New Roman" w:cs="Times New Roman"/>
          <w:sz w:val="24"/>
          <w:szCs w:val="24"/>
        </w:rPr>
        <w:t xml:space="preserve">: Compreender a Síndrome de Takotsubo e </w:t>
      </w:r>
      <w:r w:rsidR="004D40C3">
        <w:rPr>
          <w:rFonts w:ascii="Times New Roman" w:hAnsi="Times New Roman" w:cs="Times New Roman"/>
          <w:sz w:val="24"/>
          <w:szCs w:val="24"/>
        </w:rPr>
        <w:t>suas repercuss</w:t>
      </w:r>
      <w:r w:rsidRPr="000E04E3">
        <w:rPr>
          <w:rFonts w:ascii="Times New Roman" w:hAnsi="Times New Roman" w:cs="Times New Roman"/>
          <w:sz w:val="24"/>
          <w:szCs w:val="24"/>
        </w:rPr>
        <w:t>ões</w:t>
      </w:r>
      <w:r>
        <w:rPr>
          <w:rFonts w:ascii="Times New Roman" w:hAnsi="Times New Roman" w:cs="Times New Roman"/>
          <w:sz w:val="24"/>
          <w:szCs w:val="24"/>
        </w:rPr>
        <w:t xml:space="preserve"> no indivíduo, bem como seu diferencial em relação ao infarto agudo do miocárdio. </w:t>
      </w:r>
      <w:r w:rsidR="003A4751" w:rsidRPr="000E04E3">
        <w:rPr>
          <w:rFonts w:ascii="Times New Roman" w:hAnsi="Times New Roman" w:cs="Times New Roman"/>
          <w:b/>
          <w:bCs/>
          <w:sz w:val="24"/>
          <w:szCs w:val="24"/>
        </w:rPr>
        <w:t>MET</w:t>
      </w:r>
      <w:bookmarkStart w:id="0" w:name="_GoBack"/>
      <w:bookmarkEnd w:id="0"/>
      <w:r w:rsidR="003A4751" w:rsidRPr="000E04E3">
        <w:rPr>
          <w:rFonts w:ascii="Times New Roman" w:hAnsi="Times New Roman" w:cs="Times New Roman"/>
          <w:b/>
          <w:bCs/>
          <w:sz w:val="24"/>
          <w:szCs w:val="24"/>
        </w:rPr>
        <w:t>ODOLOGIA</w:t>
      </w:r>
      <w:r w:rsidR="00C45D74" w:rsidRPr="000E04E3">
        <w:rPr>
          <w:rFonts w:ascii="Times New Roman" w:hAnsi="Times New Roman" w:cs="Times New Roman"/>
          <w:b/>
          <w:bCs/>
          <w:sz w:val="24"/>
          <w:szCs w:val="24"/>
        </w:rPr>
        <w:t>:</w:t>
      </w:r>
      <w:r w:rsidRPr="000E04E3">
        <w:rPr>
          <w:rFonts w:ascii="Times New Roman" w:hAnsi="Times New Roman" w:cs="Times New Roman"/>
          <w:bCs/>
          <w:color w:val="000000" w:themeColor="text1"/>
          <w:sz w:val="24"/>
          <w:szCs w:val="24"/>
        </w:rPr>
        <w:t xml:space="preserve"> </w:t>
      </w:r>
      <w:r w:rsidRPr="000E04E3">
        <w:rPr>
          <w:rFonts w:ascii="Times New Roman" w:hAnsi="Times New Roman" w:cs="Times New Roman"/>
          <w:bCs/>
          <w:color w:val="000000" w:themeColor="text1"/>
          <w:sz w:val="24"/>
          <w:szCs w:val="24"/>
        </w:rPr>
        <w:t xml:space="preserve">Trata-se de um estudo do tipo revisão integrativa de literatura que contempla </w:t>
      </w:r>
      <w:r>
        <w:rPr>
          <w:rFonts w:ascii="Times New Roman" w:hAnsi="Times New Roman" w:cs="Times New Roman"/>
          <w:bCs/>
          <w:color w:val="000000" w:themeColor="text1"/>
          <w:sz w:val="24"/>
          <w:szCs w:val="24"/>
        </w:rPr>
        <w:t>estudos</w:t>
      </w:r>
      <w:r w:rsidRPr="000E04E3">
        <w:rPr>
          <w:rFonts w:ascii="Times New Roman" w:hAnsi="Times New Roman" w:cs="Times New Roman"/>
          <w:bCs/>
          <w:color w:val="000000" w:themeColor="text1"/>
          <w:sz w:val="24"/>
          <w:szCs w:val="24"/>
        </w:rPr>
        <w:t xml:space="preserve"> entre 2018 a 2023, conforme os critérios de inclusão, obtidos na base de dados “PubMed” utilizando os descritores: “</w:t>
      </w:r>
      <w:r w:rsidRPr="000E04E3">
        <w:rPr>
          <w:rFonts w:ascii="Times New Roman" w:hAnsi="Times New Roman" w:cs="Times New Roman"/>
          <w:color w:val="000000" w:themeColor="text1"/>
          <w:sz w:val="24"/>
          <w:szCs w:val="24"/>
        </w:rPr>
        <w:t xml:space="preserve">Síndrome de Takotsubo”, “Fisiopatologia” e </w:t>
      </w:r>
      <w:r>
        <w:rPr>
          <w:rFonts w:ascii="Times New Roman" w:hAnsi="Times New Roman" w:cs="Times New Roman"/>
          <w:color w:val="000000" w:themeColor="text1"/>
          <w:sz w:val="24"/>
          <w:szCs w:val="24"/>
        </w:rPr>
        <w:t>“C</w:t>
      </w:r>
      <w:r w:rsidRPr="000E04E3">
        <w:rPr>
          <w:rFonts w:ascii="Times New Roman" w:hAnsi="Times New Roman" w:cs="Times New Roman"/>
          <w:color w:val="000000" w:themeColor="text1"/>
          <w:sz w:val="24"/>
          <w:szCs w:val="24"/>
        </w:rPr>
        <w:t>ardiomiopatia”.</w:t>
      </w:r>
      <w:r w:rsidRPr="000E04E3">
        <w:rPr>
          <w:rFonts w:ascii="Times New Roman" w:hAnsi="Times New Roman" w:cs="Times New Roman"/>
          <w:bCs/>
          <w:color w:val="000000" w:themeColor="text1"/>
          <w:sz w:val="24"/>
          <w:szCs w:val="24"/>
        </w:rPr>
        <w:t xml:space="preserve"> </w:t>
      </w:r>
      <w:r w:rsidRPr="000E04E3">
        <w:rPr>
          <w:rFonts w:ascii="Times New Roman" w:hAnsi="Times New Roman" w:cs="Times New Roman"/>
          <w:bCs/>
          <w:color w:val="000000" w:themeColor="text1"/>
          <w:sz w:val="24"/>
          <w:szCs w:val="24"/>
        </w:rPr>
        <w:t>O cruzamento dos descritores permitiu a identificação de</w:t>
      </w:r>
      <w:r w:rsidRPr="000E04E3">
        <w:rPr>
          <w:rFonts w:ascii="Times New Roman" w:hAnsi="Times New Roman" w:cs="Times New Roman"/>
          <w:color w:val="000000" w:themeColor="text1"/>
          <w:sz w:val="24"/>
          <w:szCs w:val="24"/>
        </w:rPr>
        <w:t xml:space="preserve"> 47 publicações e, após a aplicação dos critérios de ele</w:t>
      </w:r>
      <w:r>
        <w:rPr>
          <w:rFonts w:ascii="Times New Roman" w:hAnsi="Times New Roman" w:cs="Times New Roman"/>
          <w:color w:val="000000" w:themeColor="text1"/>
          <w:sz w:val="24"/>
          <w:szCs w:val="24"/>
        </w:rPr>
        <w:t>gibilidade, houve a seleção de 6</w:t>
      </w:r>
      <w:r w:rsidRPr="000E04E3">
        <w:rPr>
          <w:rFonts w:ascii="Times New Roman" w:hAnsi="Times New Roman" w:cs="Times New Roman"/>
          <w:color w:val="000000" w:themeColor="text1"/>
          <w:sz w:val="24"/>
          <w:szCs w:val="24"/>
        </w:rPr>
        <w:t xml:space="preserve"> estudos.</w:t>
      </w:r>
      <w:r w:rsidRPr="000E04E3">
        <w:rPr>
          <w:rFonts w:ascii="Times New Roman" w:hAnsi="Times New Roman" w:cs="Times New Roman"/>
          <w:color w:val="000000" w:themeColor="text1"/>
          <w:sz w:val="24"/>
          <w:szCs w:val="24"/>
        </w:rPr>
        <w:t xml:space="preserve"> </w:t>
      </w:r>
      <w:r w:rsidR="003A4751" w:rsidRPr="000E04E3">
        <w:rPr>
          <w:rFonts w:ascii="Times New Roman" w:hAnsi="Times New Roman" w:cs="Times New Roman"/>
          <w:b/>
          <w:bCs/>
          <w:sz w:val="24"/>
          <w:szCs w:val="24"/>
        </w:rPr>
        <w:t>RESULTADOS</w:t>
      </w:r>
      <w:r w:rsidR="00C45D74" w:rsidRPr="000E04E3">
        <w:rPr>
          <w:rFonts w:ascii="Times New Roman" w:hAnsi="Times New Roman" w:cs="Times New Roman"/>
          <w:b/>
          <w:bCs/>
          <w:sz w:val="24"/>
          <w:szCs w:val="24"/>
        </w:rPr>
        <w:t xml:space="preserve">: </w:t>
      </w:r>
      <w:r w:rsidRPr="000E04E3">
        <w:rPr>
          <w:rFonts w:ascii="Times New Roman" w:hAnsi="Times New Roman" w:cs="Times New Roman"/>
          <w:color w:val="000000" w:themeColor="text1"/>
          <w:sz w:val="24"/>
          <w:szCs w:val="24"/>
        </w:rPr>
        <w:t>Embora anteriormente considerado uma condição benigna e autolimitada, estudos recentes confirmaram qu</w:t>
      </w:r>
      <w:r>
        <w:rPr>
          <w:rFonts w:ascii="Times New Roman" w:hAnsi="Times New Roman" w:cs="Times New Roman"/>
          <w:color w:val="000000" w:themeColor="text1"/>
          <w:sz w:val="24"/>
          <w:szCs w:val="24"/>
        </w:rPr>
        <w:t>e os pacientes com síndrome de T</w:t>
      </w:r>
      <w:r w:rsidRPr="000E04E3">
        <w:rPr>
          <w:rFonts w:ascii="Times New Roman" w:hAnsi="Times New Roman" w:cs="Times New Roman"/>
          <w:color w:val="000000" w:themeColor="text1"/>
          <w:sz w:val="24"/>
          <w:szCs w:val="24"/>
        </w:rPr>
        <w:t>akotsubo apresentam disfunção cardíaca persistente e sutil, e muitos continuam a apresentar sintomas limitantes, apesar da restauração da fração de ejeção do ventrículo esquerdo. Além disso, esses pacientes têm uma carga substancial de morbidade, bem como mortalidade, com altas taxas de eventos cardiovasculares adversos maiores subsequentes. Os mecanismos por trás dessa condição permanecem indefinidos. STT é mais frequente em mulheres pós-menopáusicas e a apresentação clínica é geralmente semelhante ao infarto agudo do miocárdio, com dor torácica e/ou dispneia, elevação ou depressão do segmento ST e/ou inversão da onda T no eletrocardiograma de repouso, e elevação da </w:t>
      </w:r>
      <w:hyperlink r:id="rId10" w:tooltip="Saiba mais sobre a troponina nas páginas de tópicos geradas por IA da ScienceDirect" w:history="1">
        <w:r w:rsidRPr="000E04E3">
          <w:rPr>
            <w:rStyle w:val="Hyperlink"/>
            <w:rFonts w:ascii="Times New Roman" w:hAnsi="Times New Roman" w:cs="Times New Roman"/>
            <w:color w:val="000000" w:themeColor="text1"/>
            <w:sz w:val="24"/>
            <w:szCs w:val="24"/>
          </w:rPr>
          <w:t>troponina</w:t>
        </w:r>
      </w:hyperlink>
      <w:r w:rsidRPr="000E04E3">
        <w:rPr>
          <w:rFonts w:ascii="Times New Roman" w:hAnsi="Times New Roman" w:cs="Times New Roman"/>
          <w:color w:val="000000" w:themeColor="text1"/>
          <w:sz w:val="24"/>
          <w:szCs w:val="24"/>
        </w:rPr>
        <w:t> cardíaca sérica</w:t>
      </w:r>
      <w:r>
        <w:rPr>
          <w:rFonts w:ascii="Times New Roman" w:hAnsi="Times New Roman" w:cs="Times New Roman"/>
          <w:color w:val="000000" w:themeColor="text1"/>
          <w:sz w:val="24"/>
          <w:szCs w:val="24"/>
        </w:rPr>
        <w:t xml:space="preserve">. </w:t>
      </w:r>
      <w:r w:rsidR="00C45D74" w:rsidRPr="000E04E3">
        <w:rPr>
          <w:rFonts w:ascii="Times New Roman" w:hAnsi="Times New Roman" w:cs="Times New Roman"/>
          <w:b/>
          <w:bCs/>
          <w:sz w:val="24"/>
          <w:szCs w:val="24"/>
        </w:rPr>
        <w:t xml:space="preserve">CONCLUSÃO: </w:t>
      </w:r>
      <w:r w:rsidRPr="000E04E3">
        <w:rPr>
          <w:rFonts w:ascii="Times New Roman" w:hAnsi="Times New Roman" w:cs="Times New Roman"/>
          <w:color w:val="000000" w:themeColor="text1"/>
          <w:sz w:val="24"/>
          <w:szCs w:val="24"/>
        </w:rPr>
        <w:t xml:space="preserve">A lesão miocárdica induzida por catecolaminas é a teoria mais estabelecida e bem conhecida, mas isso não explica todas as características clínicas e apresentações da condição, e várias outras vias e anormalidades estão surgindo. O princípio subjacente </w:t>
      </w:r>
      <w:r>
        <w:rPr>
          <w:rFonts w:ascii="Times New Roman" w:hAnsi="Times New Roman" w:cs="Times New Roman"/>
          <w:color w:val="000000" w:themeColor="text1"/>
          <w:sz w:val="24"/>
          <w:szCs w:val="24"/>
        </w:rPr>
        <w:t>é que a síndrome de T</w:t>
      </w:r>
      <w:r w:rsidRPr="000E04E3">
        <w:rPr>
          <w:rFonts w:ascii="Times New Roman" w:hAnsi="Times New Roman" w:cs="Times New Roman"/>
          <w:color w:val="000000" w:themeColor="text1"/>
          <w:sz w:val="24"/>
          <w:szCs w:val="24"/>
        </w:rPr>
        <w:t>akotsubo é um diagnóstico de exclusão, uma vez que ainda não foi definido um teste diagnóstico específico ou biomarcador para identificar a condição. Os pacientes com STT podem apresentar uma variedade de padrões clínicos diferentes; a síndrome é frequentemente precipitada por estresse emocional significativo ou doença física grave acompanhada de ativação do sistema nervoso simpático</w:t>
      </w:r>
      <w:r w:rsidRPr="008A2CB5">
        <w:rPr>
          <w:rFonts w:ascii="Times New Roman" w:hAnsi="Times New Roman" w:cs="Times New Roman"/>
          <w:i/>
          <w:color w:val="000000" w:themeColor="text1"/>
          <w:sz w:val="24"/>
          <w:szCs w:val="24"/>
        </w:rPr>
        <w:t>.</w:t>
      </w:r>
    </w:p>
    <w:p w14:paraId="5EC8B84B" w14:textId="77777777" w:rsidR="00E9749F" w:rsidRPr="00C45D74" w:rsidRDefault="00E9749F" w:rsidP="00E9749F">
      <w:pPr>
        <w:spacing w:line="240" w:lineRule="auto"/>
        <w:jc w:val="both"/>
        <w:rPr>
          <w:rFonts w:ascii="Times New Roman" w:hAnsi="Times New Roman" w:cs="Times New Roman"/>
          <w:sz w:val="24"/>
          <w:szCs w:val="24"/>
        </w:rPr>
      </w:pPr>
    </w:p>
    <w:p w14:paraId="7CADBAB3" w14:textId="665CAAE8" w:rsidR="00C45D74" w:rsidRDefault="00C45D74" w:rsidP="00E9749F">
      <w:pPr>
        <w:spacing w:line="360" w:lineRule="auto"/>
        <w:jc w:val="both"/>
        <w:rPr>
          <w:rFonts w:ascii="Times New Roman" w:hAnsi="Times New Roman" w:cs="Times New Roman"/>
          <w:sz w:val="24"/>
          <w:szCs w:val="24"/>
        </w:rPr>
      </w:pPr>
      <w:r w:rsidRPr="00E9749F">
        <w:rPr>
          <w:rFonts w:ascii="Times New Roman" w:hAnsi="Times New Roman" w:cs="Times New Roman"/>
          <w:b/>
          <w:bCs/>
          <w:sz w:val="24"/>
          <w:szCs w:val="24"/>
        </w:rPr>
        <w:t>Palavras-chaves</w:t>
      </w:r>
      <w:r>
        <w:rPr>
          <w:rFonts w:ascii="Times New Roman" w:hAnsi="Times New Roman" w:cs="Times New Roman"/>
          <w:sz w:val="24"/>
          <w:szCs w:val="24"/>
        </w:rPr>
        <w:t>:</w:t>
      </w:r>
      <w:r w:rsidR="002C3DA8" w:rsidRPr="002C3DA8">
        <w:rPr>
          <w:rFonts w:ascii="Times New Roman" w:hAnsi="Times New Roman" w:cs="Times New Roman"/>
          <w:color w:val="000000" w:themeColor="text1"/>
          <w:sz w:val="24"/>
          <w:szCs w:val="24"/>
        </w:rPr>
        <w:t xml:space="preserve"> </w:t>
      </w:r>
      <w:r w:rsidR="002C3DA8">
        <w:rPr>
          <w:rFonts w:ascii="Times New Roman" w:hAnsi="Times New Roman" w:cs="Times New Roman"/>
          <w:color w:val="000000" w:themeColor="text1"/>
          <w:sz w:val="24"/>
          <w:szCs w:val="24"/>
        </w:rPr>
        <w:t xml:space="preserve">Síndrome de Takotsubo; </w:t>
      </w:r>
      <w:r w:rsidR="002C3DA8" w:rsidRPr="000E04E3">
        <w:rPr>
          <w:rFonts w:ascii="Times New Roman" w:hAnsi="Times New Roman" w:cs="Times New Roman"/>
          <w:color w:val="000000" w:themeColor="text1"/>
          <w:sz w:val="24"/>
          <w:szCs w:val="24"/>
        </w:rPr>
        <w:t>Fisiopatologia</w:t>
      </w:r>
      <w:r w:rsidR="00E9749F">
        <w:rPr>
          <w:rFonts w:ascii="Times New Roman" w:hAnsi="Times New Roman" w:cs="Times New Roman"/>
          <w:sz w:val="24"/>
          <w:szCs w:val="24"/>
        </w:rPr>
        <w:t>;</w:t>
      </w:r>
      <w:r w:rsidR="002C3DA8" w:rsidRPr="002C3DA8">
        <w:rPr>
          <w:rFonts w:ascii="Times New Roman" w:hAnsi="Times New Roman" w:cs="Times New Roman"/>
          <w:color w:val="000000" w:themeColor="text1"/>
          <w:sz w:val="24"/>
          <w:szCs w:val="24"/>
        </w:rPr>
        <w:t xml:space="preserve"> </w:t>
      </w:r>
      <w:r w:rsidR="002C3DA8">
        <w:rPr>
          <w:rFonts w:ascii="Times New Roman" w:hAnsi="Times New Roman" w:cs="Times New Roman"/>
          <w:color w:val="000000" w:themeColor="text1"/>
          <w:sz w:val="24"/>
          <w:szCs w:val="24"/>
        </w:rPr>
        <w:t>C</w:t>
      </w:r>
      <w:r w:rsidR="002C3DA8" w:rsidRPr="000E04E3">
        <w:rPr>
          <w:rFonts w:ascii="Times New Roman" w:hAnsi="Times New Roman" w:cs="Times New Roman"/>
          <w:color w:val="000000" w:themeColor="text1"/>
          <w:sz w:val="24"/>
          <w:szCs w:val="24"/>
        </w:rPr>
        <w:t>ardiomiopatia</w:t>
      </w:r>
      <w:r w:rsidR="00E9749F">
        <w:rPr>
          <w:rFonts w:ascii="Times New Roman" w:hAnsi="Times New Roman" w:cs="Times New Roman"/>
          <w:sz w:val="24"/>
          <w:szCs w:val="24"/>
        </w:rPr>
        <w:t>.</w:t>
      </w:r>
    </w:p>
    <w:p w14:paraId="2FE06DD9" w14:textId="77777777" w:rsidR="00C45D74" w:rsidRPr="00C45D74" w:rsidRDefault="00C45D74" w:rsidP="00C45D74">
      <w:pPr>
        <w:spacing w:line="360" w:lineRule="auto"/>
        <w:rPr>
          <w:rFonts w:ascii="Times New Roman" w:hAnsi="Times New Roman" w:cs="Times New Roman"/>
          <w:sz w:val="24"/>
          <w:szCs w:val="24"/>
        </w:rPr>
      </w:pPr>
    </w:p>
    <w:p w14:paraId="34E1EAE8" w14:textId="4FE2EB62" w:rsidR="00C45D74" w:rsidRPr="00C45D74" w:rsidRDefault="00C45D74" w:rsidP="00C45D74">
      <w:pPr>
        <w:spacing w:line="360" w:lineRule="auto"/>
        <w:rPr>
          <w:rFonts w:ascii="Times New Roman" w:hAnsi="Times New Roman" w:cs="Times New Roman"/>
          <w:sz w:val="24"/>
          <w:szCs w:val="24"/>
        </w:rPr>
      </w:pPr>
    </w:p>
    <w:p w14:paraId="7F0472C1" w14:textId="58A6D677" w:rsidR="00C45D74" w:rsidRPr="00C45D74" w:rsidRDefault="00C45D74" w:rsidP="00C45D74">
      <w:pPr>
        <w:spacing w:line="360" w:lineRule="auto"/>
        <w:rPr>
          <w:rFonts w:ascii="Times New Roman" w:hAnsi="Times New Roman" w:cs="Times New Roman"/>
          <w:sz w:val="24"/>
          <w:szCs w:val="24"/>
        </w:rPr>
      </w:pPr>
    </w:p>
    <w:p w14:paraId="2D285F77" w14:textId="6FA24D0A" w:rsidR="004B2BD6" w:rsidRPr="004B2BD6" w:rsidRDefault="004B2BD6" w:rsidP="004B2BD6">
      <w:pPr>
        <w:spacing w:line="360" w:lineRule="auto"/>
        <w:rPr>
          <w:rFonts w:ascii="Times New Roman" w:hAnsi="Times New Roman" w:cs="Times New Roman"/>
          <w:sz w:val="24"/>
          <w:szCs w:val="24"/>
        </w:rPr>
      </w:pPr>
    </w:p>
    <w:sectPr w:rsidR="004B2BD6" w:rsidRPr="004B2BD6" w:rsidSect="00E9749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268CE" w14:textId="77777777" w:rsidR="001264DD" w:rsidRDefault="001264DD" w:rsidP="007218E2">
      <w:pPr>
        <w:spacing w:after="0" w:line="240" w:lineRule="auto"/>
      </w:pPr>
      <w:r>
        <w:separator/>
      </w:r>
    </w:p>
  </w:endnote>
  <w:endnote w:type="continuationSeparator" w:id="0">
    <w:p w14:paraId="072CCD95" w14:textId="77777777" w:rsidR="001264DD" w:rsidRDefault="001264DD" w:rsidP="0072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69647" w14:textId="77777777" w:rsidR="001264DD" w:rsidRDefault="001264DD" w:rsidP="007218E2">
      <w:pPr>
        <w:spacing w:after="0" w:line="240" w:lineRule="auto"/>
      </w:pPr>
      <w:r>
        <w:separator/>
      </w:r>
    </w:p>
  </w:footnote>
  <w:footnote w:type="continuationSeparator" w:id="0">
    <w:p w14:paraId="3C806596" w14:textId="77777777" w:rsidR="001264DD" w:rsidRDefault="001264DD" w:rsidP="00721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D6"/>
    <w:rsid w:val="00077963"/>
    <w:rsid w:val="000B2334"/>
    <w:rsid w:val="000E04E3"/>
    <w:rsid w:val="001264DD"/>
    <w:rsid w:val="002C3DA8"/>
    <w:rsid w:val="003A4751"/>
    <w:rsid w:val="004B2BD6"/>
    <w:rsid w:val="004D40C3"/>
    <w:rsid w:val="005966D2"/>
    <w:rsid w:val="0063107C"/>
    <w:rsid w:val="007218E2"/>
    <w:rsid w:val="009D62B9"/>
    <w:rsid w:val="00B27934"/>
    <w:rsid w:val="00BD6D9B"/>
    <w:rsid w:val="00C45D74"/>
    <w:rsid w:val="00E9749F"/>
    <w:rsid w:val="00F30932"/>
    <w:rsid w:val="00FD10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34DCD"/>
  <w15:chartTrackingRefBased/>
  <w15:docId w15:val="{19B6A29F-E896-434E-8EF9-6742DF4B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8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8E2"/>
  </w:style>
  <w:style w:type="paragraph" w:styleId="Rodap">
    <w:name w:val="footer"/>
    <w:basedOn w:val="Normal"/>
    <w:link w:val="RodapChar"/>
    <w:uiPriority w:val="99"/>
    <w:unhideWhenUsed/>
    <w:rsid w:val="007218E2"/>
    <w:pPr>
      <w:tabs>
        <w:tab w:val="center" w:pos="4252"/>
        <w:tab w:val="right" w:pos="8504"/>
      </w:tabs>
      <w:spacing w:after="0" w:line="240" w:lineRule="auto"/>
    </w:pPr>
  </w:style>
  <w:style w:type="character" w:customStyle="1" w:styleId="RodapChar">
    <w:name w:val="Rodapé Char"/>
    <w:basedOn w:val="Fontepargpadro"/>
    <w:link w:val="Rodap"/>
    <w:uiPriority w:val="99"/>
    <w:rsid w:val="007218E2"/>
  </w:style>
  <w:style w:type="character" w:styleId="Hyperlink">
    <w:name w:val="Hyperlink"/>
    <w:basedOn w:val="Fontepargpadro"/>
    <w:uiPriority w:val="99"/>
    <w:unhideWhenUsed/>
    <w:rsid w:val="000E04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acute-decompensated-heart-failure" TargetMode="External"/><Relationship Id="rId3" Type="http://schemas.openxmlformats.org/officeDocument/2006/relationships/webSettings" Target="webSettings.xml"/><Relationship Id="rId7" Type="http://schemas.openxmlformats.org/officeDocument/2006/relationships/hyperlink" Target="https://www.sciencedirect.com/topics/medicine-and-dentistry/heart-muscle-contractilit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sciencedirect.com/topics/nursing-and-health-professions/troponin" TargetMode="External"/><Relationship Id="rId4" Type="http://schemas.openxmlformats.org/officeDocument/2006/relationships/footnotes" Target="footnotes.xml"/><Relationship Id="rId9" Type="http://schemas.openxmlformats.org/officeDocument/2006/relationships/hyperlink" Target="https://www.sciencedirect.com/topics/medicine-and-dentistry/coronary-artery-disease"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555</Words>
  <Characters>3003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Alves Xavier</dc:creator>
  <cp:keywords/>
  <dc:description/>
  <cp:lastModifiedBy>User</cp:lastModifiedBy>
  <cp:revision>3</cp:revision>
  <dcterms:created xsi:type="dcterms:W3CDTF">2023-05-07T20:07:00Z</dcterms:created>
  <dcterms:modified xsi:type="dcterms:W3CDTF">2023-05-07T20:09:00Z</dcterms:modified>
</cp:coreProperties>
</file>