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D657" w14:textId="13935B6D" w:rsidR="0049740C" w:rsidRDefault="00E24B6D">
      <w:pPr>
        <w:pBdr>
          <w:top w:val="nil"/>
          <w:left w:val="nil"/>
          <w:bottom w:val="nil"/>
          <w:right w:val="nil"/>
          <w:between w:val="nil"/>
        </w:pBdr>
        <w:spacing w:line="360" w:lineRule="auto"/>
        <w:jc w:val="center"/>
        <w:rPr>
          <w:rFonts w:ascii="Calibri" w:eastAsia="Calibri" w:hAnsi="Calibri" w:cs="Calibri"/>
          <w:b/>
          <w:sz w:val="28"/>
          <w:szCs w:val="28"/>
        </w:rPr>
      </w:pPr>
      <w:r>
        <w:rPr>
          <w:rFonts w:ascii="Calibri" w:eastAsia="Calibri" w:hAnsi="Calibri" w:cs="Calibri"/>
          <w:b/>
          <w:sz w:val="28"/>
          <w:szCs w:val="28"/>
        </w:rPr>
        <w:t>ANÁLISE SOBRE A GARANTIA DE DIREITOS DA CRIANÇA NO AMBIENTE DIGITAL A PARTIR DA AUDIÊNCIA PÚBLICA SOBRE A POLÍTICA DE MODERAÇÃO DE CONTEÚDO DAS PLATAFORMAS DIGITAIS NO BRASIL</w:t>
      </w:r>
    </w:p>
    <w:p w14:paraId="7CCFD658" w14:textId="77777777" w:rsidR="0049740C" w:rsidRDefault="0049740C">
      <w:pPr>
        <w:spacing w:line="360" w:lineRule="auto"/>
        <w:rPr>
          <w:rFonts w:ascii="Calibri" w:eastAsia="Calibri" w:hAnsi="Calibri" w:cs="Calibri"/>
          <w:b/>
          <w:sz w:val="28"/>
          <w:szCs w:val="28"/>
        </w:rPr>
      </w:pPr>
    </w:p>
    <w:p w14:paraId="7CCFD659" w14:textId="77777777" w:rsidR="0049740C" w:rsidRDefault="00E24B6D">
      <w:pPr>
        <w:spacing w:line="360" w:lineRule="auto"/>
        <w:jc w:val="right"/>
        <w:rPr>
          <w:rFonts w:ascii="Calibri" w:eastAsia="Calibri" w:hAnsi="Calibri" w:cs="Calibri"/>
          <w:sz w:val="24"/>
          <w:szCs w:val="24"/>
        </w:rPr>
      </w:pPr>
      <w:r>
        <w:rPr>
          <w:rFonts w:ascii="Calibri" w:eastAsia="Calibri" w:hAnsi="Calibri" w:cs="Calibri"/>
          <w:sz w:val="24"/>
          <w:szCs w:val="24"/>
        </w:rPr>
        <w:t>Elena Wesley</w:t>
      </w:r>
      <w:r>
        <w:rPr>
          <w:rFonts w:ascii="Calibri" w:eastAsia="Calibri" w:hAnsi="Calibri" w:cs="Calibri"/>
          <w:sz w:val="24"/>
          <w:szCs w:val="24"/>
          <w:vertAlign w:val="superscript"/>
        </w:rPr>
        <w:footnoteReference w:id="1"/>
      </w:r>
      <w:r>
        <w:rPr>
          <w:rFonts w:ascii="Calibri" w:eastAsia="Calibri" w:hAnsi="Calibri" w:cs="Calibri"/>
          <w:sz w:val="24"/>
          <w:szCs w:val="24"/>
        </w:rPr>
        <w:t>, Jorge Paulo de França Jr.</w:t>
      </w:r>
      <w:r>
        <w:rPr>
          <w:rFonts w:ascii="Calibri" w:eastAsia="Calibri" w:hAnsi="Calibri" w:cs="Calibri"/>
          <w:sz w:val="24"/>
          <w:szCs w:val="24"/>
          <w:vertAlign w:val="superscript"/>
        </w:rPr>
        <w:footnoteReference w:id="2"/>
      </w:r>
      <w:r>
        <w:rPr>
          <w:rFonts w:ascii="Calibri" w:eastAsia="Calibri" w:hAnsi="Calibri" w:cs="Calibri"/>
          <w:sz w:val="24"/>
          <w:szCs w:val="24"/>
        </w:rPr>
        <w:t xml:space="preserve"> e </w:t>
      </w:r>
      <w:proofErr w:type="spellStart"/>
      <w:r>
        <w:rPr>
          <w:rFonts w:ascii="Calibri" w:eastAsia="Calibri" w:hAnsi="Calibri" w:cs="Calibri"/>
          <w:sz w:val="24"/>
          <w:szCs w:val="24"/>
        </w:rPr>
        <w:t>Tayrine</w:t>
      </w:r>
      <w:proofErr w:type="spellEnd"/>
      <w:r>
        <w:rPr>
          <w:rFonts w:ascii="Calibri" w:eastAsia="Calibri" w:hAnsi="Calibri" w:cs="Calibri"/>
          <w:sz w:val="24"/>
          <w:szCs w:val="24"/>
        </w:rPr>
        <w:t xml:space="preserve"> Santana</w:t>
      </w:r>
      <w:r>
        <w:rPr>
          <w:rFonts w:ascii="Calibri" w:eastAsia="Calibri" w:hAnsi="Calibri" w:cs="Calibri"/>
          <w:sz w:val="24"/>
          <w:szCs w:val="24"/>
          <w:vertAlign w:val="superscript"/>
        </w:rPr>
        <w:footnoteReference w:id="3"/>
      </w:r>
    </w:p>
    <w:p w14:paraId="7CCFD65A" w14:textId="77777777" w:rsidR="0049740C" w:rsidRDefault="0049740C">
      <w:pPr>
        <w:spacing w:line="360" w:lineRule="auto"/>
        <w:rPr>
          <w:rFonts w:ascii="Calibri" w:eastAsia="Calibri" w:hAnsi="Calibri" w:cs="Calibri"/>
        </w:rPr>
      </w:pPr>
    </w:p>
    <w:p w14:paraId="7CCFD65B" w14:textId="77777777" w:rsidR="0049740C" w:rsidRDefault="00E24B6D">
      <w:pPr>
        <w:jc w:val="both"/>
        <w:rPr>
          <w:rFonts w:ascii="Calibri" w:eastAsia="Calibri" w:hAnsi="Calibri" w:cs="Calibri"/>
          <w:sz w:val="24"/>
          <w:szCs w:val="24"/>
        </w:rPr>
      </w:pPr>
      <w:r w:rsidRPr="2A644F60">
        <w:rPr>
          <w:rFonts w:ascii="Calibri" w:eastAsia="Calibri" w:hAnsi="Calibri" w:cs="Calibri"/>
          <w:b/>
          <w:bCs/>
        </w:rPr>
        <w:t xml:space="preserve">Resumo: </w:t>
      </w:r>
      <w:r>
        <w:rPr>
          <w:rFonts w:ascii="Calibri" w:eastAsia="Calibri" w:hAnsi="Calibri" w:cs="Calibri"/>
          <w:sz w:val="24"/>
          <w:szCs w:val="24"/>
        </w:rPr>
        <w:t xml:space="preserve">O presente estudo analisa, a partir da perspectiva de autoras como </w:t>
      </w:r>
      <w:proofErr w:type="spellStart"/>
      <w:r>
        <w:rPr>
          <w:rFonts w:ascii="Calibri" w:eastAsia="Calibri" w:hAnsi="Calibri" w:cs="Calibri"/>
          <w:sz w:val="24"/>
          <w:szCs w:val="24"/>
        </w:rPr>
        <w:t>Baym</w:t>
      </w:r>
      <w:proofErr w:type="spellEnd"/>
      <w:r>
        <w:rPr>
          <w:rFonts w:ascii="Calibri" w:eastAsia="Calibri" w:hAnsi="Calibri" w:cs="Calibri"/>
          <w:sz w:val="24"/>
          <w:szCs w:val="24"/>
        </w:rPr>
        <w:t xml:space="preserve"> e </w:t>
      </w:r>
      <w:proofErr w:type="spellStart"/>
      <w:r>
        <w:rPr>
          <w:rFonts w:ascii="Calibri" w:eastAsia="Calibri" w:hAnsi="Calibri" w:cs="Calibri"/>
          <w:sz w:val="24"/>
          <w:szCs w:val="24"/>
        </w:rPr>
        <w:t>Boyd</w:t>
      </w:r>
      <w:proofErr w:type="spellEnd"/>
      <w:r>
        <w:rPr>
          <w:rFonts w:ascii="Calibri" w:eastAsia="Calibri" w:hAnsi="Calibri" w:cs="Calibri"/>
          <w:sz w:val="24"/>
          <w:szCs w:val="24"/>
        </w:rPr>
        <w:t xml:space="preserve"> (2012) e Cesarino (2022), os argumentos citados por organizações da sociedade civil durante audiência pública para debate técnico sobre a política de moderação de conteúdo das plataformas digitais no Brasil, promovida pela Advocacia Geral da União (AGU) em 22 de janeiro de 2024</w:t>
      </w:r>
      <w:r>
        <w:rPr>
          <w:rFonts w:ascii="Calibri" w:eastAsia="Calibri" w:hAnsi="Calibri" w:cs="Calibri"/>
          <w:sz w:val="24"/>
          <w:szCs w:val="24"/>
          <w:vertAlign w:val="superscript"/>
        </w:rPr>
        <w:footnoteReference w:id="4"/>
      </w:r>
      <w:r>
        <w:rPr>
          <w:rFonts w:ascii="Calibri" w:eastAsia="Calibri" w:hAnsi="Calibri" w:cs="Calibri"/>
          <w:sz w:val="24"/>
          <w:szCs w:val="24"/>
        </w:rPr>
        <w:t>. Considerando as proposições apresentadas por organizações reconhecidas na defesa dos direitos da criança e do adolescente, como o Instituto Alana</w:t>
      </w:r>
      <w:r>
        <w:rPr>
          <w:rFonts w:ascii="Calibri" w:eastAsia="Calibri" w:hAnsi="Calibri" w:cs="Calibri"/>
          <w:sz w:val="24"/>
          <w:szCs w:val="24"/>
          <w:vertAlign w:val="superscript"/>
        </w:rPr>
        <w:footnoteReference w:id="5"/>
      </w:r>
      <w:r>
        <w:rPr>
          <w:rFonts w:ascii="Calibri" w:eastAsia="Calibri" w:hAnsi="Calibri" w:cs="Calibri"/>
          <w:sz w:val="24"/>
          <w:szCs w:val="24"/>
        </w:rPr>
        <w:t xml:space="preserve">, o estudo busca aprofundar a discussão sobre 1) os riscos para esse público frente às novas normativas da plataforma; 2) a atribuição de responsabilidade para o usuário, agora </w:t>
      </w:r>
      <w:r w:rsidR="64D320CB">
        <w:rPr>
          <w:rFonts w:ascii="Calibri" w:eastAsia="Calibri" w:hAnsi="Calibri" w:cs="Calibri"/>
          <w:sz w:val="24"/>
          <w:szCs w:val="24"/>
        </w:rPr>
        <w:t>incumbido</w:t>
      </w:r>
      <w:r>
        <w:rPr>
          <w:rFonts w:ascii="Calibri" w:eastAsia="Calibri" w:hAnsi="Calibri" w:cs="Calibri"/>
          <w:sz w:val="24"/>
          <w:szCs w:val="24"/>
        </w:rPr>
        <w:t xml:space="preserve"> pela moderação de conteúdo na plataforma versus a responsabilidade da plataforma; 3) a partir da bibliografia proposta, discutir qual é a tolerância da sociedade ao lidar com a violação de direitos online de crianças e adolescentes. A pesquisa não busca esgotar o tema, mas contribuir para o debate sobre as recentes mudanças e como o Brasil pode atuar frente a elas.</w:t>
      </w:r>
    </w:p>
    <w:p w14:paraId="7CCFD65C" w14:textId="77777777" w:rsidR="0049740C" w:rsidRDefault="0049740C">
      <w:pPr>
        <w:jc w:val="both"/>
        <w:rPr>
          <w:rFonts w:ascii="Calibri" w:eastAsia="Calibri" w:hAnsi="Calibri" w:cs="Calibri"/>
          <w:sz w:val="24"/>
          <w:szCs w:val="24"/>
        </w:rPr>
      </w:pPr>
    </w:p>
    <w:p w14:paraId="7CCFD65D" w14:textId="77777777" w:rsidR="0049740C" w:rsidRDefault="00E24B6D">
      <w:pPr>
        <w:rPr>
          <w:rFonts w:ascii="Calibri" w:eastAsia="Calibri" w:hAnsi="Calibri" w:cs="Calibri"/>
        </w:rPr>
      </w:pPr>
      <w:r>
        <w:rPr>
          <w:rFonts w:ascii="Calibri" w:eastAsia="Calibri" w:hAnsi="Calibri" w:cs="Calibri"/>
          <w:b/>
        </w:rPr>
        <w:t>Palavras-chave:</w:t>
      </w:r>
      <w:r>
        <w:rPr>
          <w:rFonts w:ascii="Calibri" w:eastAsia="Calibri" w:hAnsi="Calibri" w:cs="Calibri"/>
        </w:rPr>
        <w:t xml:space="preserve"> Meta; plataforma; responsabilização; moderação</w:t>
      </w:r>
    </w:p>
    <w:p w14:paraId="7CCFD65E" w14:textId="77777777" w:rsidR="0049740C" w:rsidRDefault="0049740C">
      <w:pPr>
        <w:spacing w:line="360" w:lineRule="auto"/>
        <w:rPr>
          <w:rFonts w:ascii="Calibri" w:eastAsia="Calibri" w:hAnsi="Calibri" w:cs="Calibri"/>
          <w:sz w:val="24"/>
          <w:szCs w:val="24"/>
        </w:rPr>
      </w:pPr>
    </w:p>
    <w:p w14:paraId="7CCFD65F" w14:textId="77777777" w:rsidR="0049740C" w:rsidRDefault="00E24B6D">
      <w:pPr>
        <w:spacing w:line="360" w:lineRule="auto"/>
        <w:rPr>
          <w:rFonts w:ascii="Calibri" w:eastAsia="Calibri" w:hAnsi="Calibri" w:cs="Calibri"/>
          <w:b/>
          <w:sz w:val="24"/>
          <w:szCs w:val="24"/>
        </w:rPr>
      </w:pPr>
      <w:r>
        <w:rPr>
          <w:rFonts w:ascii="Calibri" w:eastAsia="Calibri" w:hAnsi="Calibri" w:cs="Calibri"/>
          <w:b/>
          <w:sz w:val="24"/>
          <w:szCs w:val="24"/>
        </w:rPr>
        <w:t>Tema-problema</w:t>
      </w:r>
    </w:p>
    <w:p w14:paraId="7CCFD660" w14:textId="77777777" w:rsidR="0049740C" w:rsidRDefault="00E24B6D">
      <w:pPr>
        <w:spacing w:line="360" w:lineRule="auto"/>
        <w:ind w:firstLine="720"/>
        <w:jc w:val="both"/>
        <w:rPr>
          <w:rFonts w:ascii="Calibri" w:eastAsia="Calibri" w:hAnsi="Calibri" w:cs="Calibri"/>
          <w:sz w:val="24"/>
          <w:szCs w:val="24"/>
        </w:rPr>
      </w:pPr>
      <w:r>
        <w:rPr>
          <w:rFonts w:ascii="Calibri" w:eastAsia="Calibri" w:hAnsi="Calibri" w:cs="Calibri"/>
          <w:sz w:val="24"/>
          <w:szCs w:val="24"/>
        </w:rPr>
        <w:t xml:space="preserve">Sete de janeiro de 2025.  Mark Zuckerberg, criador do Facebook e dono da Meta (plataforma que administra diferentes redes sociais, como o Facebook, Instagram e WhatsApp) publica um vídeo para informar sobre as novas práticas na moderação de </w:t>
      </w:r>
      <w:r>
        <w:rPr>
          <w:rFonts w:ascii="Calibri" w:eastAsia="Calibri" w:hAnsi="Calibri" w:cs="Calibri"/>
          <w:sz w:val="24"/>
          <w:szCs w:val="24"/>
        </w:rPr>
        <w:lastRenderedPageBreak/>
        <w:t>conteúdo das plataformas: “Oi, pessoal! Eu quero falar sobre algo importante hoje porque é hora de retornarmos às nossas raízes sobre liberdade de expressão no Facebook e Instagram”</w:t>
      </w:r>
      <w:r>
        <w:rPr>
          <w:rFonts w:ascii="Calibri" w:eastAsia="Calibri" w:hAnsi="Calibri" w:cs="Calibri"/>
          <w:sz w:val="24"/>
          <w:szCs w:val="24"/>
          <w:vertAlign w:val="superscript"/>
        </w:rPr>
        <w:footnoteReference w:id="6"/>
      </w:r>
      <w:r>
        <w:rPr>
          <w:rFonts w:ascii="Calibri" w:eastAsia="Calibri" w:hAnsi="Calibri" w:cs="Calibri"/>
          <w:sz w:val="24"/>
          <w:szCs w:val="24"/>
        </w:rPr>
        <w:t>. O anúncio, feito de forma descontraída e em vídeo no próprio perfil do CEO no Instagram, traz novas camadas para as discussões sobre responsabilidade das plataformas digitais, liberdade de expressão, moderação e recomendação de conteúdo.</w:t>
      </w:r>
    </w:p>
    <w:p w14:paraId="7CCFD661" w14:textId="77777777" w:rsidR="0049740C" w:rsidRDefault="00E24B6D">
      <w:pPr>
        <w:spacing w:line="360" w:lineRule="auto"/>
        <w:ind w:firstLine="720"/>
        <w:jc w:val="both"/>
        <w:rPr>
          <w:rFonts w:ascii="Calibri" w:eastAsia="Calibri" w:hAnsi="Calibri" w:cs="Calibri"/>
          <w:sz w:val="24"/>
          <w:szCs w:val="24"/>
        </w:rPr>
      </w:pPr>
      <w:r>
        <w:rPr>
          <w:rFonts w:ascii="Calibri" w:eastAsia="Calibri" w:hAnsi="Calibri" w:cs="Calibri"/>
          <w:sz w:val="24"/>
          <w:szCs w:val="24"/>
        </w:rPr>
        <w:t xml:space="preserve">A mudança se dá principalmente por um novo fator: a empresa cessou a checagem de fatos nos Estados Unidos e, com isso, a moderação será realizada por meio da ferramenta de </w:t>
      </w:r>
      <w:r w:rsidR="5BB03E74">
        <w:rPr>
          <w:rFonts w:ascii="Calibri" w:eastAsia="Calibri" w:hAnsi="Calibri" w:cs="Calibri"/>
          <w:sz w:val="24"/>
          <w:szCs w:val="24"/>
        </w:rPr>
        <w:t>“</w:t>
      </w:r>
      <w:r>
        <w:rPr>
          <w:rFonts w:ascii="Calibri" w:eastAsia="Calibri" w:hAnsi="Calibri" w:cs="Calibri"/>
          <w:sz w:val="24"/>
          <w:szCs w:val="24"/>
        </w:rPr>
        <w:t>notas da comunidade”, ou seja, os próprios usuários passam a analisar as publicações e classificá-las, reportá-las ou indicar erros</w:t>
      </w:r>
      <w:r>
        <w:rPr>
          <w:rFonts w:ascii="Calibri" w:eastAsia="Calibri" w:hAnsi="Calibri" w:cs="Calibri"/>
          <w:sz w:val="24"/>
          <w:szCs w:val="24"/>
          <w:vertAlign w:val="superscript"/>
        </w:rPr>
        <w:footnoteReference w:id="7"/>
      </w:r>
      <w:r>
        <w:rPr>
          <w:rFonts w:ascii="Calibri" w:eastAsia="Calibri" w:hAnsi="Calibri" w:cs="Calibri"/>
          <w:sz w:val="24"/>
          <w:szCs w:val="24"/>
        </w:rPr>
        <w:t>. Nesse contexto e com o objetivo de entender os impactos dessas mudanças, a Advocacia Geral da União (AGU) reuniu em audiência pública 45 representantes de setores da sociedade, entre jornalistas, pesquisadores e integrantes de organizações da sociedade civil engajadas no tema. O evento foi realizado no dia 21 de janeiro, em Brasília, com transmissão online</w:t>
      </w:r>
      <w:r>
        <w:rPr>
          <w:rFonts w:ascii="Calibri" w:eastAsia="Calibri" w:hAnsi="Calibri" w:cs="Calibri"/>
          <w:sz w:val="24"/>
          <w:szCs w:val="24"/>
          <w:vertAlign w:val="superscript"/>
        </w:rPr>
        <w:footnoteReference w:id="8"/>
      </w:r>
      <w:r>
        <w:rPr>
          <w:rFonts w:ascii="Calibri" w:eastAsia="Calibri" w:hAnsi="Calibri" w:cs="Calibri"/>
          <w:sz w:val="24"/>
          <w:szCs w:val="24"/>
        </w:rPr>
        <w:t xml:space="preserve">.  </w:t>
      </w:r>
    </w:p>
    <w:p w14:paraId="7CCFD662" w14:textId="77777777" w:rsidR="0049740C" w:rsidRDefault="0049740C">
      <w:pPr>
        <w:spacing w:line="360" w:lineRule="auto"/>
        <w:ind w:firstLine="720"/>
        <w:jc w:val="both"/>
        <w:rPr>
          <w:rFonts w:ascii="Calibri" w:eastAsia="Calibri" w:hAnsi="Calibri" w:cs="Calibri"/>
          <w:sz w:val="24"/>
          <w:szCs w:val="24"/>
        </w:rPr>
      </w:pPr>
    </w:p>
    <w:p w14:paraId="7CCFD663" w14:textId="77777777" w:rsidR="0049740C" w:rsidRDefault="00E24B6D">
      <w:pPr>
        <w:spacing w:line="360" w:lineRule="auto"/>
        <w:rPr>
          <w:rFonts w:ascii="Calibri" w:eastAsia="Calibri" w:hAnsi="Calibri" w:cs="Calibri"/>
          <w:sz w:val="24"/>
          <w:szCs w:val="24"/>
        </w:rPr>
      </w:pPr>
      <w:r>
        <w:rPr>
          <w:rFonts w:ascii="Calibri" w:eastAsia="Calibri" w:hAnsi="Calibri" w:cs="Calibri"/>
          <w:b/>
          <w:sz w:val="24"/>
          <w:szCs w:val="24"/>
        </w:rPr>
        <w:t>Antecedentes e contexto teórico</w:t>
      </w:r>
    </w:p>
    <w:p w14:paraId="7CCFD664" w14:textId="77777777" w:rsidR="0049740C" w:rsidRDefault="00E24B6D">
      <w:pPr>
        <w:spacing w:line="360" w:lineRule="auto"/>
        <w:ind w:firstLine="720"/>
        <w:jc w:val="both"/>
        <w:rPr>
          <w:rFonts w:ascii="Calibri" w:eastAsia="Calibri" w:hAnsi="Calibri" w:cs="Calibri"/>
          <w:sz w:val="24"/>
          <w:szCs w:val="24"/>
        </w:rPr>
      </w:pPr>
      <w:r>
        <w:rPr>
          <w:rFonts w:ascii="Calibri" w:eastAsia="Calibri" w:hAnsi="Calibri" w:cs="Calibri"/>
          <w:sz w:val="24"/>
          <w:szCs w:val="24"/>
        </w:rPr>
        <w:t xml:space="preserve">As redes sociais da Meta poderiam ser equiparadas ao que os especialistas chamam de “realidade mediada”. O ambiente digital transforma a natureza da vida pública, confundindo as fronteiras entre audiências e públicos, e alterando o significado da participação na vida pública. De acordo com Nancy K. </w:t>
      </w:r>
      <w:proofErr w:type="spellStart"/>
      <w:r>
        <w:rPr>
          <w:rFonts w:ascii="Calibri" w:eastAsia="Calibri" w:hAnsi="Calibri" w:cs="Calibri"/>
          <w:sz w:val="24"/>
          <w:szCs w:val="24"/>
        </w:rPr>
        <w:t>Baym</w:t>
      </w:r>
      <w:proofErr w:type="spellEnd"/>
      <w:r>
        <w:rPr>
          <w:rFonts w:ascii="Calibri" w:eastAsia="Calibri" w:hAnsi="Calibri" w:cs="Calibri"/>
          <w:sz w:val="24"/>
          <w:szCs w:val="24"/>
        </w:rPr>
        <w:t xml:space="preserve"> e </w:t>
      </w:r>
      <w:proofErr w:type="spellStart"/>
      <w:r>
        <w:rPr>
          <w:rFonts w:ascii="Calibri" w:eastAsia="Calibri" w:hAnsi="Calibri" w:cs="Calibri"/>
          <w:sz w:val="24"/>
          <w:szCs w:val="24"/>
        </w:rPr>
        <w:t>Danah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Boyd</w:t>
      </w:r>
      <w:proofErr w:type="spellEnd"/>
      <w:r>
        <w:rPr>
          <w:rFonts w:ascii="Calibri" w:eastAsia="Calibri" w:hAnsi="Calibri" w:cs="Calibri"/>
          <w:sz w:val="24"/>
          <w:szCs w:val="24"/>
        </w:rPr>
        <w:t>, “a natureza da publicidade online é definida pela arquitetura e disponibilidades das mídias sociais, mas também pelo contexto social das pessoas, suas identidades e práticas” (BAYM &amp; BOYD, 2012, p.320, tradução nossa)</w:t>
      </w:r>
      <w:r>
        <w:rPr>
          <w:rFonts w:ascii="Calibri" w:eastAsia="Calibri" w:hAnsi="Calibri" w:cs="Calibri"/>
          <w:sz w:val="24"/>
          <w:szCs w:val="24"/>
          <w:vertAlign w:val="superscript"/>
        </w:rPr>
        <w:footnoteReference w:id="9"/>
      </w:r>
      <w:r>
        <w:rPr>
          <w:rFonts w:ascii="Calibri" w:eastAsia="Calibri" w:hAnsi="Calibri" w:cs="Calibri"/>
          <w:sz w:val="24"/>
          <w:szCs w:val="24"/>
        </w:rPr>
        <w:t>.</w:t>
      </w:r>
    </w:p>
    <w:p w14:paraId="7CCFD665" w14:textId="77777777" w:rsidR="0049740C" w:rsidRDefault="00E24B6D">
      <w:pPr>
        <w:spacing w:line="360" w:lineRule="auto"/>
        <w:ind w:firstLine="720"/>
        <w:jc w:val="both"/>
        <w:rPr>
          <w:rFonts w:ascii="Calibri" w:eastAsia="Calibri" w:hAnsi="Calibri" w:cs="Calibri"/>
          <w:sz w:val="24"/>
          <w:szCs w:val="24"/>
        </w:rPr>
      </w:pPr>
      <w:r>
        <w:rPr>
          <w:rFonts w:ascii="Calibri" w:eastAsia="Calibri" w:hAnsi="Calibri" w:cs="Calibri"/>
          <w:sz w:val="24"/>
          <w:szCs w:val="24"/>
        </w:rPr>
        <w:t xml:space="preserve">A nova metodologia de moderação da Meta em suas redes pode afetar diretamente a dinâmica da mediação de conteúdo por meio de seus algoritmos. “É popular afirmar que tudo é um mundo diferente no Facebook e no Twitter” (BAYM e BOYD, 2012, p.320, tradução </w:t>
      </w:r>
      <w:r>
        <w:rPr>
          <w:rFonts w:ascii="Calibri" w:eastAsia="Calibri" w:hAnsi="Calibri" w:cs="Calibri"/>
          <w:sz w:val="24"/>
          <w:szCs w:val="24"/>
        </w:rPr>
        <w:lastRenderedPageBreak/>
        <w:t>nossa)</w:t>
      </w:r>
      <w:r>
        <w:rPr>
          <w:rFonts w:ascii="Calibri" w:eastAsia="Calibri" w:hAnsi="Calibri" w:cs="Calibri"/>
          <w:sz w:val="24"/>
          <w:szCs w:val="24"/>
          <w:vertAlign w:val="superscript"/>
        </w:rPr>
        <w:footnoteReference w:id="10"/>
      </w:r>
      <w:r>
        <w:rPr>
          <w:rFonts w:ascii="Calibri" w:eastAsia="Calibri" w:hAnsi="Calibri" w:cs="Calibri"/>
          <w:sz w:val="24"/>
          <w:szCs w:val="24"/>
        </w:rPr>
        <w:t xml:space="preserve">. Esse trecho deixa claro que num ambiente mediado as mídias sociais fundem as fronteiras entre presença e ausência, tempo e espaço, controle e liberdade, comunicação pessoal e em massa, privado e público, e virtual e real. E, se a moderação do conteúdo for feita por pares e pela comunidade como sugere a Meta, os conteúdos podem ser submetidos a avaliações que eventualmente não levem em conta o arcabouço legal do país ou até mesmo o contexto social e político ampliado. </w:t>
      </w:r>
    </w:p>
    <w:p w14:paraId="7CCFD666" w14:textId="77777777" w:rsidR="0049740C" w:rsidRDefault="00E24B6D">
      <w:pPr>
        <w:spacing w:line="360" w:lineRule="auto"/>
        <w:ind w:firstLine="720"/>
        <w:jc w:val="both"/>
        <w:rPr>
          <w:rFonts w:ascii="Calibri" w:eastAsia="Calibri" w:hAnsi="Calibri" w:cs="Calibri"/>
          <w:sz w:val="24"/>
          <w:szCs w:val="24"/>
        </w:rPr>
      </w:pPr>
      <w:r>
        <w:rPr>
          <w:rFonts w:ascii="Calibri" w:eastAsia="Calibri" w:hAnsi="Calibri" w:cs="Calibri"/>
          <w:sz w:val="24"/>
          <w:szCs w:val="24"/>
        </w:rPr>
        <w:t xml:space="preserve">Vale reforçar que estamos lidando com uma realidade mediada sem o contato face a face, que causa um colapso de contextos. Conforme explicitado por </w:t>
      </w:r>
      <w:proofErr w:type="spellStart"/>
      <w:r>
        <w:rPr>
          <w:rFonts w:ascii="Calibri" w:eastAsia="Calibri" w:hAnsi="Calibri" w:cs="Calibri"/>
          <w:sz w:val="24"/>
          <w:szCs w:val="24"/>
        </w:rPr>
        <w:t>Baym</w:t>
      </w:r>
      <w:proofErr w:type="spellEnd"/>
      <w:r>
        <w:rPr>
          <w:rFonts w:ascii="Calibri" w:eastAsia="Calibri" w:hAnsi="Calibri" w:cs="Calibri"/>
          <w:sz w:val="24"/>
          <w:szCs w:val="24"/>
        </w:rPr>
        <w:t xml:space="preserve"> e </w:t>
      </w:r>
      <w:proofErr w:type="spellStart"/>
      <w:r>
        <w:rPr>
          <w:rFonts w:ascii="Calibri" w:eastAsia="Calibri" w:hAnsi="Calibri" w:cs="Calibri"/>
          <w:sz w:val="24"/>
          <w:szCs w:val="24"/>
        </w:rPr>
        <w:t>Boyd</w:t>
      </w:r>
      <w:proofErr w:type="spellEnd"/>
      <w:r>
        <w:rPr>
          <w:rFonts w:ascii="Calibri" w:eastAsia="Calibri" w:hAnsi="Calibri" w:cs="Calibri"/>
          <w:sz w:val="24"/>
          <w:szCs w:val="24"/>
        </w:rPr>
        <w:t xml:space="preserve"> (2012), as mídias sociais fazem com que diferentes audiências e contextos se sobreponham, criando desafios para a apresentação da identidade e principalmente o que pode ser considerado a “verdade”. É essencial ressaltar o momento em que essa mudança ocorre para entender as preocupações que assolam a sociedade civil e os especialistas.  Ela se dá em um contexto de polarização, desinformação, disseminação de notícias falsas e acirramento de opiniões controversas, que inclusive questionam o que já estava estabelecido, como os valores democráticos, os direitos de crianças e adolescentes e outros temas, de certa forma, já consolidados. Esse movimento também traz à tona opiniões e divergências já superadas, em um movimento de descredibilização do que é a norma, ou pelo menos, do que é o paradigma em vigência.  Esse momento, de inversão dos paradigmas, é conceituado por Letícia Cesarino (2022) como </w:t>
      </w:r>
      <w:proofErr w:type="spellStart"/>
      <w:r>
        <w:rPr>
          <w:rFonts w:ascii="Calibri" w:eastAsia="Calibri" w:hAnsi="Calibri" w:cs="Calibri"/>
          <w:sz w:val="24"/>
          <w:szCs w:val="24"/>
        </w:rPr>
        <w:t>antiestrutura</w:t>
      </w:r>
      <w:proofErr w:type="spellEnd"/>
      <w:r>
        <w:rPr>
          <w:rFonts w:ascii="Calibri" w:eastAsia="Calibri" w:hAnsi="Calibri" w:cs="Calibri"/>
          <w:sz w:val="24"/>
          <w:szCs w:val="24"/>
        </w:rPr>
        <w:t xml:space="preserve">: </w:t>
      </w:r>
    </w:p>
    <w:p w14:paraId="7CCFD667" w14:textId="77777777" w:rsidR="0049740C" w:rsidRDefault="0049740C">
      <w:pPr>
        <w:spacing w:line="360" w:lineRule="auto"/>
        <w:ind w:firstLine="720"/>
        <w:jc w:val="both"/>
        <w:rPr>
          <w:rFonts w:ascii="Calibri" w:eastAsia="Calibri" w:hAnsi="Calibri" w:cs="Calibri"/>
          <w:sz w:val="24"/>
          <w:szCs w:val="24"/>
        </w:rPr>
      </w:pPr>
    </w:p>
    <w:p w14:paraId="7CCFD668" w14:textId="77777777" w:rsidR="0049740C" w:rsidRDefault="00E24B6D">
      <w:pPr>
        <w:spacing w:line="360" w:lineRule="auto"/>
        <w:ind w:left="1700"/>
        <w:jc w:val="both"/>
        <w:rPr>
          <w:rFonts w:ascii="Calibri" w:eastAsia="Calibri" w:hAnsi="Calibri" w:cs="Calibri"/>
          <w:sz w:val="20"/>
          <w:szCs w:val="20"/>
        </w:rPr>
      </w:pPr>
      <w:r>
        <w:rPr>
          <w:rFonts w:ascii="Calibri" w:eastAsia="Calibri" w:hAnsi="Calibri" w:cs="Calibri"/>
          <w:sz w:val="20"/>
          <w:szCs w:val="20"/>
        </w:rPr>
        <w:t xml:space="preserve">Quando o centro organizador dessa configuração entra em crise, a </w:t>
      </w:r>
      <w:proofErr w:type="spellStart"/>
      <w:r>
        <w:rPr>
          <w:rFonts w:ascii="Calibri" w:eastAsia="Calibri" w:hAnsi="Calibri" w:cs="Calibri"/>
          <w:sz w:val="20"/>
          <w:szCs w:val="20"/>
        </w:rPr>
        <w:t>antiestrutura</w:t>
      </w:r>
      <w:proofErr w:type="spellEnd"/>
      <w:r>
        <w:rPr>
          <w:rFonts w:ascii="Calibri" w:eastAsia="Calibri" w:hAnsi="Calibri" w:cs="Calibri"/>
          <w:sz w:val="20"/>
          <w:szCs w:val="20"/>
        </w:rPr>
        <w:t xml:space="preserve"> é o que emerge para a superfície, tensionando o sistema como um todo na direção de seus limites estruturais.  (CESARINO, 2022, p. 8). </w:t>
      </w:r>
    </w:p>
    <w:p w14:paraId="7CCFD669" w14:textId="77777777" w:rsidR="0049740C" w:rsidRDefault="0049740C">
      <w:pPr>
        <w:spacing w:line="360" w:lineRule="auto"/>
        <w:ind w:left="1440"/>
        <w:jc w:val="both"/>
        <w:rPr>
          <w:rFonts w:ascii="Calibri" w:eastAsia="Calibri" w:hAnsi="Calibri" w:cs="Calibri"/>
          <w:sz w:val="20"/>
          <w:szCs w:val="20"/>
        </w:rPr>
      </w:pPr>
    </w:p>
    <w:p w14:paraId="7CCFD66A" w14:textId="77777777" w:rsidR="0049740C" w:rsidRDefault="00E24B6D">
      <w:pPr>
        <w:pBdr>
          <w:top w:val="nil"/>
          <w:left w:val="nil"/>
          <w:bottom w:val="nil"/>
          <w:right w:val="nil"/>
          <w:between w:val="nil"/>
        </w:pBdr>
        <w:spacing w:line="360" w:lineRule="auto"/>
        <w:ind w:firstLine="720"/>
        <w:jc w:val="both"/>
        <w:rPr>
          <w:rFonts w:ascii="Calibri" w:eastAsia="Calibri" w:hAnsi="Calibri" w:cs="Calibri"/>
          <w:sz w:val="20"/>
          <w:szCs w:val="20"/>
        </w:rPr>
      </w:pPr>
      <w:r>
        <w:rPr>
          <w:rFonts w:ascii="Calibri" w:eastAsia="Calibri" w:hAnsi="Calibri" w:cs="Calibri"/>
          <w:sz w:val="24"/>
          <w:szCs w:val="24"/>
        </w:rPr>
        <w:t xml:space="preserve">À medida que as empresas se eximem de suas responsabilidades de controle e moderação e as delegam aos usuários, permitem o risco de se conferir ainda mais poder aos movimentos de boicote à ciência, à democracia, aos direitos constitucionais, bem como o aumento das chances de remoção de conteúdo e perfis legítimos, mas que não se enquadram na perspectiva particular de determinado grupo, o que afetaria fortemente populações </w:t>
      </w:r>
      <w:r>
        <w:rPr>
          <w:rFonts w:ascii="Calibri" w:eastAsia="Calibri" w:hAnsi="Calibri" w:cs="Calibri"/>
          <w:sz w:val="24"/>
          <w:szCs w:val="24"/>
        </w:rPr>
        <w:lastRenderedPageBreak/>
        <w:t xml:space="preserve">historicamente silenciadas, como a comunidade LGBTQIAP+, a população negra ou a indígena. </w:t>
      </w:r>
    </w:p>
    <w:p w14:paraId="7CCFD66B" w14:textId="77777777" w:rsidR="0049740C" w:rsidRDefault="00E24B6D">
      <w:pPr>
        <w:spacing w:line="360" w:lineRule="auto"/>
        <w:ind w:firstLine="720"/>
        <w:jc w:val="both"/>
        <w:rPr>
          <w:rFonts w:ascii="Calibri" w:eastAsia="Calibri" w:hAnsi="Calibri" w:cs="Calibri"/>
          <w:sz w:val="24"/>
          <w:szCs w:val="24"/>
        </w:rPr>
      </w:pPr>
      <w:r>
        <w:rPr>
          <w:rFonts w:ascii="Calibri" w:eastAsia="Calibri" w:hAnsi="Calibri" w:cs="Calibri"/>
          <w:sz w:val="24"/>
          <w:szCs w:val="24"/>
        </w:rPr>
        <w:t>A capacidade de compartilhar conteúdo pessoal em larga escala é uma novidade das mídias sociais e, embora essas mesmas mídias aumentem o potencial de visibilidade de qualquer conteúdo, grande parte do conteúdo online permanece obscuro. Quem decide o que vem à luz de um ou múltiplos usuários são os algoritmos da própria rede, mudando a natureza de visibilidade e obscuridade, eventualmente criando nichos - bolhas, como são chamadas - deixando conteúdos potencialmente danosos longe do alcance da própria comunidade para serem moderados.</w:t>
      </w:r>
    </w:p>
    <w:p w14:paraId="7CCFD66C" w14:textId="77777777" w:rsidR="0049740C" w:rsidRDefault="00E24B6D">
      <w:pPr>
        <w:spacing w:line="360" w:lineRule="auto"/>
        <w:ind w:firstLine="720"/>
        <w:jc w:val="both"/>
        <w:rPr>
          <w:rFonts w:ascii="Calibri" w:eastAsia="Calibri" w:hAnsi="Calibri" w:cs="Calibri"/>
          <w:sz w:val="24"/>
          <w:szCs w:val="24"/>
        </w:rPr>
      </w:pPr>
      <w:r>
        <w:rPr>
          <w:rFonts w:ascii="Calibri" w:eastAsia="Calibri" w:hAnsi="Calibri" w:cs="Calibri"/>
          <w:sz w:val="24"/>
          <w:szCs w:val="24"/>
        </w:rPr>
        <w:t xml:space="preserve">Em seu artigo, </w:t>
      </w:r>
      <w:proofErr w:type="spellStart"/>
      <w:r>
        <w:rPr>
          <w:rFonts w:ascii="Calibri" w:eastAsia="Calibri" w:hAnsi="Calibri" w:cs="Calibri"/>
          <w:sz w:val="24"/>
          <w:szCs w:val="24"/>
        </w:rPr>
        <w:t>Baym</w:t>
      </w:r>
      <w:proofErr w:type="spellEnd"/>
      <w:r>
        <w:rPr>
          <w:rFonts w:ascii="Calibri" w:eastAsia="Calibri" w:hAnsi="Calibri" w:cs="Calibri"/>
          <w:sz w:val="24"/>
          <w:szCs w:val="24"/>
        </w:rPr>
        <w:t xml:space="preserve"> e </w:t>
      </w:r>
      <w:proofErr w:type="spellStart"/>
      <w:r>
        <w:rPr>
          <w:rFonts w:ascii="Calibri" w:eastAsia="Calibri" w:hAnsi="Calibri" w:cs="Calibri"/>
          <w:sz w:val="24"/>
          <w:szCs w:val="24"/>
        </w:rPr>
        <w:t>Boyd</w:t>
      </w:r>
      <w:proofErr w:type="spellEnd"/>
      <w:r>
        <w:rPr>
          <w:rFonts w:ascii="Calibri" w:eastAsia="Calibri" w:hAnsi="Calibri" w:cs="Calibri"/>
          <w:sz w:val="24"/>
          <w:szCs w:val="24"/>
        </w:rPr>
        <w:t xml:space="preserve"> (2012) apontam ainda que o uso das mídias sociais como ferramentas de criação e disseminação de conteúdo alterou as dinâmicas de poder entre os criadores e as audiências, e como a gestão da reputação se torna um desafio nesse cenário. Para tornar-se moderador de um conteúdo em redes como Wikipedia são necessárias credenciais de credibilidade, habilidade no uso da ferramenta ou ainda conhecimento sobre o tema moderado, e não apenas uma influência no meio digital ou algum contexto social construído.</w:t>
      </w:r>
    </w:p>
    <w:p w14:paraId="7CCFD66D" w14:textId="77777777" w:rsidR="0049740C" w:rsidRDefault="00E24B6D">
      <w:pPr>
        <w:spacing w:line="360" w:lineRule="auto"/>
        <w:ind w:firstLine="720"/>
        <w:jc w:val="both"/>
        <w:rPr>
          <w:rFonts w:ascii="Calibri" w:eastAsia="Calibri" w:hAnsi="Calibri" w:cs="Calibri"/>
          <w:sz w:val="24"/>
          <w:szCs w:val="24"/>
        </w:rPr>
      </w:pPr>
      <w:r>
        <w:rPr>
          <w:rFonts w:ascii="Calibri" w:eastAsia="Calibri" w:hAnsi="Calibri" w:cs="Calibri"/>
          <w:sz w:val="24"/>
          <w:szCs w:val="24"/>
        </w:rPr>
        <w:t>As pessoas variam em sua capacidade de administrar suas interações e tomar decisões sensatas online, e dada a natureza tecnológica do ambiente digital, a falta de habilidades reforça desigualdades (</w:t>
      </w:r>
      <w:proofErr w:type="spellStart"/>
      <w:r>
        <w:rPr>
          <w:rFonts w:ascii="Calibri" w:eastAsia="Calibri" w:hAnsi="Calibri" w:cs="Calibri"/>
          <w:sz w:val="24"/>
          <w:szCs w:val="24"/>
        </w:rPr>
        <w:t>Baym</w:t>
      </w:r>
      <w:proofErr w:type="spellEnd"/>
      <w:r>
        <w:rPr>
          <w:rFonts w:ascii="Calibri" w:eastAsia="Calibri" w:hAnsi="Calibri" w:cs="Calibri"/>
          <w:sz w:val="24"/>
          <w:szCs w:val="24"/>
        </w:rPr>
        <w:t xml:space="preserve"> e </w:t>
      </w:r>
      <w:proofErr w:type="spellStart"/>
      <w:r>
        <w:rPr>
          <w:rFonts w:ascii="Calibri" w:eastAsia="Calibri" w:hAnsi="Calibri" w:cs="Calibri"/>
          <w:sz w:val="24"/>
          <w:szCs w:val="24"/>
        </w:rPr>
        <w:t>Boyd</w:t>
      </w:r>
      <w:proofErr w:type="spellEnd"/>
      <w:r>
        <w:rPr>
          <w:rFonts w:ascii="Calibri" w:eastAsia="Calibri" w:hAnsi="Calibri" w:cs="Calibri"/>
          <w:sz w:val="24"/>
          <w:szCs w:val="24"/>
        </w:rPr>
        <w:t xml:space="preserve">, 2012). Essas desigualdades que inicialmente são de uso das plataformas inevitavelmente também serão transpostas para a mediação de conteúdo pela comunidade, afinal, em um momento de inversão de paradigmas, muitas vezes a dinâmica estabelecida é de reconhecimento bifurcado, ou seja, uma percepção de que o que é diferente é o inimigo. </w:t>
      </w:r>
    </w:p>
    <w:p w14:paraId="7CCFD66E" w14:textId="77777777" w:rsidR="0049740C" w:rsidRDefault="0049740C">
      <w:pPr>
        <w:spacing w:line="360" w:lineRule="auto"/>
        <w:ind w:firstLine="720"/>
        <w:jc w:val="both"/>
        <w:rPr>
          <w:rFonts w:ascii="Calibri" w:eastAsia="Calibri" w:hAnsi="Calibri" w:cs="Calibri"/>
          <w:sz w:val="24"/>
          <w:szCs w:val="24"/>
        </w:rPr>
      </w:pPr>
    </w:p>
    <w:p w14:paraId="7CCFD66F" w14:textId="77777777" w:rsidR="0049740C" w:rsidRDefault="00E24B6D">
      <w:pPr>
        <w:spacing w:line="360" w:lineRule="auto"/>
        <w:ind w:left="1700"/>
        <w:jc w:val="both"/>
        <w:rPr>
          <w:rFonts w:ascii="Calibri" w:eastAsia="Calibri" w:hAnsi="Calibri" w:cs="Calibri"/>
          <w:sz w:val="20"/>
          <w:szCs w:val="20"/>
        </w:rPr>
      </w:pPr>
      <w:r>
        <w:rPr>
          <w:rFonts w:ascii="Calibri" w:eastAsia="Calibri" w:hAnsi="Calibri" w:cs="Calibri"/>
          <w:sz w:val="20"/>
          <w:szCs w:val="20"/>
        </w:rPr>
        <w:t>(...) o reconhecimento tem base particularista, sendo conferido apenas aos membros de uma mesma comunidade de destino que se integra, em última instância, pela contraposição a um entorno experimentado como ameaçador e incerto (tipicamente, um inimigo). (CESARINO, 2022, p.13)</w:t>
      </w:r>
    </w:p>
    <w:p w14:paraId="7CCFD670" w14:textId="77777777" w:rsidR="0049740C" w:rsidRDefault="0049740C">
      <w:pPr>
        <w:spacing w:line="360" w:lineRule="auto"/>
        <w:ind w:firstLine="720"/>
        <w:jc w:val="both"/>
        <w:rPr>
          <w:rFonts w:ascii="Calibri" w:eastAsia="Calibri" w:hAnsi="Calibri" w:cs="Calibri"/>
          <w:sz w:val="24"/>
          <w:szCs w:val="24"/>
        </w:rPr>
      </w:pPr>
    </w:p>
    <w:p w14:paraId="7CCFD671" w14:textId="77777777" w:rsidR="0049740C" w:rsidRDefault="00E24B6D">
      <w:pPr>
        <w:spacing w:line="360" w:lineRule="auto"/>
        <w:ind w:firstLine="720"/>
        <w:jc w:val="both"/>
        <w:rPr>
          <w:rFonts w:ascii="Calibri" w:eastAsia="Calibri" w:hAnsi="Calibri" w:cs="Calibri"/>
          <w:sz w:val="24"/>
          <w:szCs w:val="24"/>
        </w:rPr>
      </w:pPr>
      <w:r>
        <w:rPr>
          <w:rFonts w:ascii="Calibri" w:eastAsia="Calibri" w:hAnsi="Calibri" w:cs="Calibri"/>
          <w:sz w:val="24"/>
          <w:szCs w:val="24"/>
        </w:rPr>
        <w:t xml:space="preserve">Em resumo, a comunicação mediada socialmente é um processo dinâmico e complexo que está constantemente em evolução. As pessoas são ativas na construção de suas identidades e públicos online, mas são influenciadas por diversos fatores, incluindo as </w:t>
      </w:r>
      <w:r>
        <w:rPr>
          <w:rFonts w:ascii="Calibri" w:eastAsia="Calibri" w:hAnsi="Calibri" w:cs="Calibri"/>
          <w:sz w:val="24"/>
          <w:szCs w:val="24"/>
        </w:rPr>
        <w:lastRenderedPageBreak/>
        <w:t>tecnologias, o contexto social, e suas próprias habilidades e motivações. Sem uma âncora legal, seja ela das plataformas ou mesmo do Estado, a tendência é a propagação de conteúdo não verificado, falso e até mesmo ilegal.</w:t>
      </w:r>
    </w:p>
    <w:p w14:paraId="7CCFD672" w14:textId="77777777" w:rsidR="0049740C" w:rsidRDefault="0049740C">
      <w:pPr>
        <w:rPr>
          <w:rFonts w:ascii="Calibri" w:eastAsia="Calibri" w:hAnsi="Calibri" w:cs="Calibri"/>
          <w:sz w:val="24"/>
          <w:szCs w:val="24"/>
        </w:rPr>
      </w:pPr>
    </w:p>
    <w:p w14:paraId="7CCFD673" w14:textId="77777777" w:rsidR="0049740C" w:rsidRDefault="00E24B6D">
      <w:pPr>
        <w:spacing w:line="360" w:lineRule="auto"/>
        <w:rPr>
          <w:rFonts w:ascii="Calibri" w:eastAsia="Calibri" w:hAnsi="Calibri" w:cs="Calibri"/>
          <w:b/>
          <w:sz w:val="24"/>
          <w:szCs w:val="24"/>
        </w:rPr>
      </w:pPr>
      <w:r>
        <w:rPr>
          <w:rFonts w:ascii="Calibri" w:eastAsia="Calibri" w:hAnsi="Calibri" w:cs="Calibri"/>
          <w:b/>
          <w:sz w:val="24"/>
          <w:szCs w:val="24"/>
        </w:rPr>
        <w:t>Situação-problema</w:t>
      </w:r>
    </w:p>
    <w:p w14:paraId="7CCFD674" w14:textId="77777777" w:rsidR="0049740C" w:rsidRDefault="00E24B6D">
      <w:pPr>
        <w:spacing w:line="360" w:lineRule="auto"/>
        <w:ind w:firstLine="720"/>
        <w:jc w:val="both"/>
        <w:rPr>
          <w:rFonts w:ascii="Calibri" w:eastAsia="Calibri" w:hAnsi="Calibri" w:cs="Calibri"/>
          <w:sz w:val="24"/>
          <w:szCs w:val="24"/>
        </w:rPr>
      </w:pPr>
      <w:r>
        <w:rPr>
          <w:rFonts w:ascii="Calibri" w:eastAsia="Calibri" w:hAnsi="Calibri" w:cs="Calibri"/>
          <w:sz w:val="24"/>
          <w:szCs w:val="24"/>
        </w:rPr>
        <w:t>No dia 22 de janeiro de 2025, a Advocacia-Geral da União (AGU) promoveu uma audiência pública com o objetivo de debater o enfrentamento à desinformação, a promoção e a proteção de direitos fundamentais nas plataformas digitais. O evento reuniu pesquisadores, acadêmicos, profissionais de agências de checagem de fatos e representantes de organizações sociais, que apresentaram dados, explicaram os riscos da falta de regulação para as plataformas digitais e sugeriram medidas às autoridades brasileiras. Mais de 30 especialistas contribuíram com o debate durante a audiência, que foi realizada em Brasília em formato híbrido, com transmissão disponível à sociedade pelo Youtube</w:t>
      </w:r>
      <w:r>
        <w:rPr>
          <w:rFonts w:ascii="Calibri" w:eastAsia="Calibri" w:hAnsi="Calibri" w:cs="Calibri"/>
          <w:sz w:val="24"/>
          <w:szCs w:val="24"/>
          <w:vertAlign w:val="superscript"/>
        </w:rPr>
        <w:footnoteReference w:id="11"/>
      </w:r>
      <w:r>
        <w:rPr>
          <w:rFonts w:ascii="Calibri" w:eastAsia="Calibri" w:hAnsi="Calibri" w:cs="Calibri"/>
          <w:sz w:val="24"/>
          <w:szCs w:val="24"/>
        </w:rPr>
        <w:t xml:space="preserve">. Além dos argumentos apresentados durante o evento, a AGU ainda abriu uma consulta pública pela </w:t>
      </w:r>
      <w:proofErr w:type="gramStart"/>
      <w:r>
        <w:rPr>
          <w:rFonts w:ascii="Calibri" w:eastAsia="Calibri" w:hAnsi="Calibri" w:cs="Calibri"/>
          <w:sz w:val="24"/>
          <w:szCs w:val="24"/>
        </w:rPr>
        <w:t>plataforma Participa</w:t>
      </w:r>
      <w:proofErr w:type="gramEnd"/>
      <w:r>
        <w:rPr>
          <w:rFonts w:ascii="Calibri" w:eastAsia="Calibri" w:hAnsi="Calibri" w:cs="Calibri"/>
          <w:sz w:val="24"/>
          <w:szCs w:val="24"/>
        </w:rPr>
        <w:t xml:space="preserve"> + Brasil</w:t>
      </w:r>
      <w:r>
        <w:rPr>
          <w:rFonts w:ascii="Calibri" w:eastAsia="Calibri" w:hAnsi="Calibri" w:cs="Calibri"/>
          <w:sz w:val="24"/>
          <w:szCs w:val="24"/>
          <w:vertAlign w:val="superscript"/>
        </w:rPr>
        <w:footnoteReference w:id="12"/>
      </w:r>
      <w:r>
        <w:rPr>
          <w:rFonts w:ascii="Calibri" w:eastAsia="Calibri" w:hAnsi="Calibri" w:cs="Calibri"/>
          <w:sz w:val="24"/>
          <w:szCs w:val="24"/>
        </w:rPr>
        <w:t>, que recebeu 87 contribuições. O órgão se comprometeu a sistematizar as informações a fim de subsidiar o Supremo Tribunal Federal (STF) em julgamentos sobre o tema, bem como enviar o documento ao Congresso Nacional, onde tramitam projetos sobre a regulação do setor.</w:t>
      </w:r>
    </w:p>
    <w:p w14:paraId="7CCFD675" w14:textId="77777777" w:rsidR="0049740C" w:rsidRDefault="00E24B6D">
      <w:pPr>
        <w:spacing w:line="360" w:lineRule="auto"/>
        <w:ind w:firstLine="720"/>
        <w:jc w:val="both"/>
        <w:rPr>
          <w:rFonts w:ascii="Calibri" w:eastAsia="Calibri" w:hAnsi="Calibri" w:cs="Calibri"/>
          <w:sz w:val="24"/>
          <w:szCs w:val="24"/>
        </w:rPr>
      </w:pPr>
      <w:r>
        <w:rPr>
          <w:rFonts w:ascii="Calibri" w:eastAsia="Calibri" w:hAnsi="Calibri" w:cs="Calibri"/>
          <w:sz w:val="24"/>
          <w:szCs w:val="24"/>
        </w:rPr>
        <w:t>Com participação focada no impacto das plataformas digitais na infância e adolescência, o Instituto Alana foi representado na audiência pelo advogado Pedro Hartung</w:t>
      </w:r>
      <w:r>
        <w:rPr>
          <w:rFonts w:ascii="Calibri" w:eastAsia="Calibri" w:hAnsi="Calibri" w:cs="Calibri"/>
          <w:sz w:val="24"/>
          <w:szCs w:val="24"/>
          <w:vertAlign w:val="superscript"/>
        </w:rPr>
        <w:footnoteReference w:id="13"/>
      </w:r>
      <w:r>
        <w:rPr>
          <w:rFonts w:ascii="Calibri" w:eastAsia="Calibri" w:hAnsi="Calibri" w:cs="Calibri"/>
          <w:sz w:val="24"/>
          <w:szCs w:val="24"/>
        </w:rPr>
        <w:t xml:space="preserve">, que ocupa o cargo de Diretor de Políticas e Direitos das Crianças na organização. O Instituto Alana é uma organização não governamental que há 30 anos atua na garantia dos direitos das crianças e adolescentes a partir de diferentes eixos de atuação, como análise e melhoria de políticas públicas, formação de cidadãos e organizações, incentivo à participação cidadã, entre outras. No evento, Hartung apresentou os riscos aos quais as crianças e adolescentes </w:t>
      </w:r>
      <w:r>
        <w:rPr>
          <w:rFonts w:ascii="Calibri" w:eastAsia="Calibri" w:hAnsi="Calibri" w:cs="Calibri"/>
          <w:sz w:val="24"/>
          <w:szCs w:val="24"/>
        </w:rPr>
        <w:lastRenderedPageBreak/>
        <w:t>brasileiros estão vulneráveis por conta das plataformas digitais e que medidas já podem ser tomadas, de acordo com o arcabouço legal vigente no Brasil</w:t>
      </w:r>
      <w:r>
        <w:rPr>
          <w:rFonts w:ascii="Calibri" w:eastAsia="Calibri" w:hAnsi="Calibri" w:cs="Calibri"/>
          <w:sz w:val="24"/>
          <w:szCs w:val="24"/>
          <w:vertAlign w:val="superscript"/>
        </w:rPr>
        <w:footnoteReference w:id="14"/>
      </w:r>
      <w:r>
        <w:rPr>
          <w:rFonts w:ascii="Calibri" w:eastAsia="Calibri" w:hAnsi="Calibri" w:cs="Calibri"/>
          <w:sz w:val="24"/>
          <w:szCs w:val="24"/>
        </w:rPr>
        <w:t xml:space="preserve">. </w:t>
      </w:r>
    </w:p>
    <w:p w14:paraId="7CCFD676" w14:textId="77777777" w:rsidR="0049740C" w:rsidRDefault="00E24B6D">
      <w:pPr>
        <w:spacing w:line="360" w:lineRule="auto"/>
        <w:ind w:firstLine="720"/>
        <w:jc w:val="both"/>
        <w:rPr>
          <w:rFonts w:ascii="Calibri" w:eastAsia="Calibri" w:hAnsi="Calibri" w:cs="Calibri"/>
          <w:sz w:val="24"/>
          <w:szCs w:val="24"/>
        </w:rPr>
      </w:pPr>
      <w:r>
        <w:rPr>
          <w:rFonts w:ascii="Calibri" w:eastAsia="Calibri" w:hAnsi="Calibri" w:cs="Calibri"/>
          <w:sz w:val="24"/>
          <w:szCs w:val="24"/>
        </w:rPr>
        <w:t>O especialista apontou quatro riscos principais: quanto ao conteúdo, pode haver envolvimento ou exposição a conteúdos potencialmente prejudiciais; em relação ao contato, este público pode ser abordado por pessoas desconhecidas e adultos mal intencionados; no que se refere à conduta nas plataformas, crianças e adolescentes podem, entre seus pares, testemunhar, participar ou serem vítimas de condutas danosas; e por fim, Hartung elenca o contrato comercial, já que a faixa etária pode ser explorada por meio de contratos que visam os explorar comercialmente. Violação de privacidade, riscos à saúde física e mental, como sedentarismo, exposição excessiva a tempo de tela, e discriminação impulsionada pelos algoritmos também foram citados pelo advogado como riscos transversais.</w:t>
      </w:r>
    </w:p>
    <w:p w14:paraId="7CCFD677" w14:textId="77777777" w:rsidR="0049740C" w:rsidRDefault="00E24B6D">
      <w:pPr>
        <w:spacing w:line="360" w:lineRule="auto"/>
        <w:ind w:firstLine="720"/>
        <w:jc w:val="both"/>
        <w:rPr>
          <w:rFonts w:ascii="Calibri" w:eastAsia="Calibri" w:hAnsi="Calibri" w:cs="Calibri"/>
          <w:sz w:val="24"/>
          <w:szCs w:val="24"/>
        </w:rPr>
      </w:pPr>
      <w:r>
        <w:rPr>
          <w:rFonts w:ascii="Calibri" w:eastAsia="Calibri" w:hAnsi="Calibri" w:cs="Calibri"/>
          <w:sz w:val="24"/>
          <w:szCs w:val="24"/>
        </w:rPr>
        <w:t xml:space="preserve">Hartung enfatizou o aspecto da exploração comercial como um fator principal para o debate do tema. O especialista afirma que a exploração comercial de crianças é hoje um modelo de negócio para as plataformas digitais, executado a partir da extração massiva de dados, visto que as empresas extraem e analisam dados com o objetivo de identificar padrões de comportamento e consumo das pessoas e, assim, segmentar campanhas publicitárias e </w:t>
      </w:r>
      <w:proofErr w:type="gramStart"/>
      <w:r>
        <w:rPr>
          <w:rFonts w:ascii="Calibri" w:eastAsia="Calibri" w:hAnsi="Calibri" w:cs="Calibri"/>
          <w:sz w:val="24"/>
          <w:szCs w:val="24"/>
        </w:rPr>
        <w:t>criar novas</w:t>
      </w:r>
      <w:proofErr w:type="gramEnd"/>
      <w:r>
        <w:rPr>
          <w:rFonts w:ascii="Calibri" w:eastAsia="Calibri" w:hAnsi="Calibri" w:cs="Calibri"/>
          <w:sz w:val="24"/>
          <w:szCs w:val="24"/>
        </w:rPr>
        <w:t xml:space="preserve"> oportunidades de venda. Este modelo é apoiado também pelo que os especialistas chamam de “economia de atenção”, isto é, a atenção dos usuários é um recurso valioso e disputado por diversas plataformas, como se fosse uma moeda que pode ser trocada por produtos, serviços ou informações. Nesta lógica, a arquitetura de distribuição de conteúdo, a busca por engajamento e o incentivo ao alto tempo de tela são mecanismos que funcionam com o objetivo de convencimento e manipulação para um ato de consumo.</w:t>
      </w:r>
    </w:p>
    <w:p w14:paraId="7CCFD678" w14:textId="77777777" w:rsidR="0049740C" w:rsidRDefault="00E24B6D">
      <w:pPr>
        <w:spacing w:line="360" w:lineRule="auto"/>
        <w:ind w:firstLine="720"/>
        <w:jc w:val="both"/>
        <w:rPr>
          <w:rFonts w:ascii="Calibri" w:eastAsia="Calibri" w:hAnsi="Calibri" w:cs="Calibri"/>
          <w:sz w:val="24"/>
          <w:szCs w:val="24"/>
        </w:rPr>
      </w:pPr>
      <w:r>
        <w:rPr>
          <w:rFonts w:ascii="Calibri" w:eastAsia="Calibri" w:hAnsi="Calibri" w:cs="Calibri"/>
          <w:sz w:val="24"/>
          <w:szCs w:val="24"/>
        </w:rPr>
        <w:t>Nesse cenário, crianças e adolescentes se configuram como um grupo social extremamente vulnerável. A 10ª edição da pesquisa TIC Kids Online Brasil</w:t>
      </w:r>
      <w:r>
        <w:rPr>
          <w:rFonts w:ascii="Calibri" w:eastAsia="Calibri" w:hAnsi="Calibri" w:cs="Calibri"/>
          <w:sz w:val="24"/>
          <w:szCs w:val="24"/>
          <w:vertAlign w:val="superscript"/>
        </w:rPr>
        <w:footnoteReference w:id="15"/>
      </w:r>
      <w:r>
        <w:rPr>
          <w:rFonts w:ascii="Calibri" w:eastAsia="Calibri" w:hAnsi="Calibri" w:cs="Calibri"/>
          <w:sz w:val="24"/>
          <w:szCs w:val="24"/>
        </w:rPr>
        <w:t xml:space="preserve">, citada por Pedro Hartung em sua argumentação, revela que 88% da população brasileira de 9 a 17 anos mantêm perfis em plataformas digitais. A faixa etária entrevistada usa redes sociais </w:t>
      </w:r>
      <w:r>
        <w:rPr>
          <w:rFonts w:ascii="Calibri" w:eastAsia="Calibri" w:hAnsi="Calibri" w:cs="Calibri"/>
          <w:sz w:val="24"/>
          <w:szCs w:val="24"/>
        </w:rPr>
        <w:lastRenderedPageBreak/>
        <w:t xml:space="preserve">diariamente e por várias vezes ao longo do dia, tendo WhatsApp (71%), </w:t>
      </w:r>
      <w:proofErr w:type="gramStart"/>
      <w:r>
        <w:rPr>
          <w:rFonts w:ascii="Calibri" w:eastAsia="Calibri" w:hAnsi="Calibri" w:cs="Calibri"/>
          <w:sz w:val="24"/>
          <w:szCs w:val="24"/>
        </w:rPr>
        <w:t>Youtube(</w:t>
      </w:r>
      <w:proofErr w:type="gramEnd"/>
      <w:r>
        <w:rPr>
          <w:rFonts w:ascii="Calibri" w:eastAsia="Calibri" w:hAnsi="Calibri" w:cs="Calibri"/>
          <w:sz w:val="24"/>
          <w:szCs w:val="24"/>
        </w:rPr>
        <w:t xml:space="preserve">66%), Instagram (60%) e TikTok (50%) entre as plataformas mais utilizadas. Segundo o estudo, 78% dos usuários de 11 a 17 anos concordam que empresas pagam pessoas para usar seus produtos nos vídeos e </w:t>
      </w:r>
      <w:proofErr w:type="spellStart"/>
      <w:r>
        <w:rPr>
          <w:rFonts w:ascii="Calibri" w:eastAsia="Calibri" w:hAnsi="Calibri" w:cs="Calibri"/>
          <w:sz w:val="24"/>
          <w:szCs w:val="24"/>
        </w:rPr>
        <w:t>conteúdos</w:t>
      </w:r>
      <w:proofErr w:type="spellEnd"/>
      <w:r>
        <w:rPr>
          <w:rFonts w:ascii="Calibri" w:eastAsia="Calibri" w:hAnsi="Calibri" w:cs="Calibri"/>
          <w:sz w:val="24"/>
          <w:szCs w:val="24"/>
        </w:rPr>
        <w:t xml:space="preserve"> que publicam na Internet, enquanto 59% disseram que assistiram a vídeos de "pessoas ensinando como usar algum produto" e de "pessoas abrindo a embalagem de algum produto". A pesquisa ainda aponta que 50% dos usuários de 11 a 17 anos pediram aos responsáveis a compra de algum produto, após contato com propaganda ou publicidade, e somente 28% das crianças e adolescentes de 9 a 17 anos têm pais, mães ou responsáveis que afirmam utilizar “filtros” ou configurações que restrinjam o contato com propaganda na rede.</w:t>
      </w:r>
    </w:p>
    <w:p w14:paraId="7CCFD679" w14:textId="77777777" w:rsidR="0049740C" w:rsidRDefault="00E24B6D">
      <w:pPr>
        <w:spacing w:line="360" w:lineRule="auto"/>
        <w:ind w:firstLine="720"/>
        <w:jc w:val="both"/>
        <w:rPr>
          <w:rFonts w:ascii="Calibri" w:eastAsia="Calibri" w:hAnsi="Calibri" w:cs="Calibri"/>
          <w:sz w:val="24"/>
          <w:szCs w:val="24"/>
        </w:rPr>
      </w:pPr>
      <w:r>
        <w:rPr>
          <w:rFonts w:ascii="Calibri" w:eastAsia="Calibri" w:hAnsi="Calibri" w:cs="Calibri"/>
          <w:sz w:val="24"/>
          <w:szCs w:val="24"/>
        </w:rPr>
        <w:t>Hartung contou sobre a denúncia feita pelo Instituto Alana contra a Meta junto ao Ministério Público de São Paulo em junho de 2024, devido às publicidades em prol de plataformas de apostas veiculadas no Instagram por meio dos perfis de influenciadores mirins, direcionadas ao público infantil</w:t>
      </w:r>
      <w:r>
        <w:rPr>
          <w:rFonts w:ascii="Calibri" w:eastAsia="Calibri" w:hAnsi="Calibri" w:cs="Calibri"/>
          <w:sz w:val="24"/>
          <w:szCs w:val="24"/>
          <w:vertAlign w:val="superscript"/>
        </w:rPr>
        <w:footnoteReference w:id="16"/>
      </w:r>
      <w:r>
        <w:rPr>
          <w:rFonts w:ascii="Calibri" w:eastAsia="Calibri" w:hAnsi="Calibri" w:cs="Calibri"/>
          <w:sz w:val="24"/>
          <w:szCs w:val="24"/>
        </w:rPr>
        <w:t xml:space="preserve">. Embora tenha recebido notificação extrajudicial, a Meta não removeu os conteúdos ilegais do ar. Ora, se a moderação de conteúdo já se mostrava insuficiente antes, as novas regras anunciadas pela Meta podem potencializar ainda mais um cenário que já é preocupante.  </w:t>
      </w:r>
    </w:p>
    <w:p w14:paraId="7CCFD67A" w14:textId="77777777" w:rsidR="0049740C" w:rsidRDefault="00E24B6D">
      <w:pPr>
        <w:spacing w:line="360" w:lineRule="auto"/>
        <w:ind w:firstLine="720"/>
        <w:jc w:val="both"/>
        <w:rPr>
          <w:rFonts w:ascii="Calibri" w:eastAsia="Calibri" w:hAnsi="Calibri" w:cs="Calibri"/>
          <w:sz w:val="24"/>
          <w:szCs w:val="24"/>
        </w:rPr>
      </w:pPr>
      <w:r>
        <w:rPr>
          <w:rFonts w:ascii="Calibri" w:eastAsia="Calibri" w:hAnsi="Calibri" w:cs="Calibri"/>
          <w:sz w:val="24"/>
          <w:szCs w:val="24"/>
        </w:rPr>
        <w:t xml:space="preserve">O pesquisador defendeu que a culpa pela exposição de crianças e adolescentes a conteúdos nocivos não deve ser direcionada aos responsáveis - especialmente às mães - tampouco às escolas, mas sim às empresas, que detêm grande poder e, portanto, grande responsabilidade de garantir maior segurança. Embora tenham condições para fazê-lo, as plataformas têm negligenciado tal função, como denunciou ao Senado dos Estados Unidos a ex-funcionária do Facebook, Frances </w:t>
      </w:r>
      <w:proofErr w:type="spellStart"/>
      <w:r>
        <w:rPr>
          <w:rFonts w:ascii="Calibri" w:eastAsia="Calibri" w:hAnsi="Calibri" w:cs="Calibri"/>
          <w:sz w:val="24"/>
          <w:szCs w:val="24"/>
        </w:rPr>
        <w:t>Haugen</w:t>
      </w:r>
      <w:proofErr w:type="spellEnd"/>
      <w:r>
        <w:rPr>
          <w:rFonts w:ascii="Calibri" w:eastAsia="Calibri" w:hAnsi="Calibri" w:cs="Calibri"/>
          <w:sz w:val="24"/>
          <w:szCs w:val="24"/>
        </w:rPr>
        <w:t>. Em visita ao Brasil no contexto das discussões acerca do PL das Fake News (PL 2630/2020), a engenheira de informação explicou que as crianças têm sido expostas a conteúdos sobre distúrbios alimentares, automutilação e suicídio, porém, mesmo cientes disso, as plataformas não intervêm nos sistemas de classificação de engajamento</w:t>
      </w:r>
      <w:r>
        <w:rPr>
          <w:rFonts w:ascii="Calibri" w:eastAsia="Calibri" w:hAnsi="Calibri" w:cs="Calibri"/>
          <w:sz w:val="24"/>
          <w:szCs w:val="24"/>
          <w:vertAlign w:val="superscript"/>
        </w:rPr>
        <w:footnoteReference w:id="17"/>
      </w:r>
      <w:r>
        <w:rPr>
          <w:rFonts w:ascii="Calibri" w:eastAsia="Calibri" w:hAnsi="Calibri" w:cs="Calibri"/>
          <w:sz w:val="24"/>
          <w:szCs w:val="24"/>
        </w:rPr>
        <w:t>.</w:t>
      </w:r>
    </w:p>
    <w:p w14:paraId="7CCFD67B" w14:textId="77777777" w:rsidR="0049740C" w:rsidRDefault="00E24B6D">
      <w:pPr>
        <w:spacing w:line="360" w:lineRule="auto"/>
        <w:ind w:firstLine="720"/>
        <w:jc w:val="both"/>
        <w:rPr>
          <w:rFonts w:ascii="Calibri" w:eastAsia="Calibri" w:hAnsi="Calibri" w:cs="Calibri"/>
          <w:sz w:val="24"/>
          <w:szCs w:val="24"/>
        </w:rPr>
      </w:pPr>
      <w:r>
        <w:rPr>
          <w:rFonts w:ascii="Calibri" w:eastAsia="Calibri" w:hAnsi="Calibri" w:cs="Calibri"/>
          <w:sz w:val="24"/>
          <w:szCs w:val="24"/>
        </w:rPr>
        <w:lastRenderedPageBreak/>
        <w:t xml:space="preserve">A defesa da regulamentação das plataformas digitais no Brasil é disputada atualmente no Congresso Nacional, por meio do projeto de lei 2630/2020, arquivado em abril de 2024 após forte </w:t>
      </w:r>
      <w:r>
        <w:rPr>
          <w:rFonts w:ascii="Calibri" w:eastAsia="Calibri" w:hAnsi="Calibri" w:cs="Calibri"/>
          <w:i/>
          <w:sz w:val="24"/>
          <w:szCs w:val="24"/>
        </w:rPr>
        <w:t>lobby</w:t>
      </w:r>
      <w:r>
        <w:rPr>
          <w:rFonts w:ascii="Calibri" w:eastAsia="Calibri" w:hAnsi="Calibri" w:cs="Calibri"/>
          <w:sz w:val="24"/>
          <w:szCs w:val="24"/>
        </w:rPr>
        <w:t xml:space="preserve"> das </w:t>
      </w:r>
      <w:r>
        <w:rPr>
          <w:rFonts w:ascii="Calibri" w:eastAsia="Calibri" w:hAnsi="Calibri" w:cs="Calibri"/>
          <w:i/>
          <w:sz w:val="24"/>
          <w:szCs w:val="24"/>
        </w:rPr>
        <w:t xml:space="preserve">big </w:t>
      </w:r>
      <w:proofErr w:type="spellStart"/>
      <w:r>
        <w:rPr>
          <w:rFonts w:ascii="Calibri" w:eastAsia="Calibri" w:hAnsi="Calibri" w:cs="Calibri"/>
          <w:i/>
          <w:sz w:val="24"/>
          <w:szCs w:val="24"/>
        </w:rPr>
        <w:t>techs</w:t>
      </w:r>
      <w:proofErr w:type="spellEnd"/>
      <w:r>
        <w:rPr>
          <w:rFonts w:ascii="Calibri" w:eastAsia="Calibri" w:hAnsi="Calibri" w:cs="Calibri"/>
          <w:sz w:val="24"/>
          <w:szCs w:val="24"/>
        </w:rPr>
        <w:t xml:space="preserve"> contra o texto. Todavia, o Instituto Alana argumenta que não há necessidade de esperar a aprovação da proposta para proteger as crianças e adolescentes no ambiente online, visto que já existe legislação vigente que pode ser aplicada. Hartung ressalta que a moderação de conteúdo para proteção de crianças é um dever constitucional e se respalda no que estabelece o Artigo 227:</w:t>
      </w:r>
    </w:p>
    <w:p w14:paraId="7CCFD67C" w14:textId="77777777" w:rsidR="0049740C" w:rsidRDefault="0049740C">
      <w:pPr>
        <w:shd w:val="clear" w:color="auto" w:fill="FFFFFF"/>
        <w:spacing w:line="360" w:lineRule="auto"/>
        <w:ind w:firstLine="720"/>
        <w:jc w:val="both"/>
        <w:rPr>
          <w:rFonts w:ascii="Calibri" w:eastAsia="Calibri" w:hAnsi="Calibri" w:cs="Calibri"/>
          <w:sz w:val="24"/>
          <w:szCs w:val="24"/>
        </w:rPr>
      </w:pPr>
    </w:p>
    <w:p w14:paraId="7CCFD67D" w14:textId="77777777" w:rsidR="0049740C" w:rsidRDefault="00E24B6D">
      <w:pPr>
        <w:shd w:val="clear" w:color="auto" w:fill="FFFFFF"/>
        <w:spacing w:line="360" w:lineRule="auto"/>
        <w:ind w:left="1700"/>
        <w:jc w:val="both"/>
        <w:rPr>
          <w:rFonts w:ascii="Calibri" w:eastAsia="Calibri" w:hAnsi="Calibri" w:cs="Calibri"/>
          <w:sz w:val="20"/>
          <w:szCs w:val="20"/>
        </w:rPr>
      </w:pPr>
      <w:r>
        <w:rPr>
          <w:rFonts w:ascii="Calibri" w:eastAsia="Calibri" w:hAnsi="Calibri" w:cs="Calibri"/>
          <w:sz w:val="20"/>
          <w:szCs w:val="20"/>
        </w:rPr>
        <w:t xml:space="preserve">“É dever da família, da sociedade e do Estado assegurar-lhes,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(EC nº 65/2010)”. (BRASIL. Constituição (1988). Artigo 227. </w:t>
      </w:r>
    </w:p>
    <w:p w14:paraId="7CCFD67E" w14:textId="77777777" w:rsidR="0049740C" w:rsidRDefault="0049740C">
      <w:pPr>
        <w:shd w:val="clear" w:color="auto" w:fill="FFFFFF"/>
        <w:spacing w:line="360" w:lineRule="auto"/>
        <w:jc w:val="both"/>
        <w:rPr>
          <w:rFonts w:ascii="Calibri" w:eastAsia="Calibri" w:hAnsi="Calibri" w:cs="Calibri"/>
          <w:sz w:val="20"/>
          <w:szCs w:val="20"/>
        </w:rPr>
      </w:pPr>
    </w:p>
    <w:p w14:paraId="7CCFD67F" w14:textId="77777777" w:rsidR="0049740C" w:rsidRDefault="00E24B6D">
      <w:pPr>
        <w:spacing w:line="360" w:lineRule="auto"/>
        <w:ind w:firstLine="720"/>
        <w:jc w:val="both"/>
        <w:rPr>
          <w:rFonts w:ascii="Calibri" w:eastAsia="Calibri" w:hAnsi="Calibri" w:cs="Calibri"/>
          <w:sz w:val="24"/>
          <w:szCs w:val="24"/>
        </w:rPr>
      </w:pPr>
      <w:r>
        <w:rPr>
          <w:rFonts w:ascii="Calibri" w:eastAsia="Calibri" w:hAnsi="Calibri" w:cs="Calibri"/>
          <w:sz w:val="24"/>
          <w:szCs w:val="24"/>
        </w:rPr>
        <w:t>O advogado apresentou os subsídios enviados pelo Instituto Alana ao Supremo Tribunal Federal (STF), nos quais constam exemplos de conteúdos ilegais e as legislações vigentes que podem ser usadas para julgá-los, como o Código de Defesa do Consumidor, o Marco Legal da Primeira Infância e a Lei Geral de Proteção de Dados, tendo o Estatuto da Criança e do Adolescente (ECA) como base fundamental. Entre os exemplos listados, constam: publicidade ilegal e abusiva, que pode ser avaliada a partir da Resolução 163</w:t>
      </w:r>
      <w:r>
        <w:rPr>
          <w:rFonts w:ascii="Calibri" w:eastAsia="Calibri" w:hAnsi="Calibri" w:cs="Calibri"/>
          <w:sz w:val="24"/>
          <w:szCs w:val="24"/>
          <w:vertAlign w:val="superscript"/>
        </w:rPr>
        <w:footnoteReference w:id="18"/>
      </w:r>
      <w:r>
        <w:rPr>
          <w:rFonts w:ascii="Calibri" w:eastAsia="Calibri" w:hAnsi="Calibri" w:cs="Calibri"/>
          <w:sz w:val="24"/>
          <w:szCs w:val="24"/>
        </w:rPr>
        <w:t xml:space="preserve"> do Conselho Nacional dos Direitos da Criança e do Adolescente (Conanda), aprovada em 2014; aliciamento de crianças, que pode ser analisado à luz do Artigo 241-D</w:t>
      </w:r>
      <w:r>
        <w:rPr>
          <w:rFonts w:ascii="Calibri" w:eastAsia="Calibri" w:hAnsi="Calibri" w:cs="Calibri"/>
          <w:sz w:val="24"/>
          <w:szCs w:val="24"/>
          <w:vertAlign w:val="superscript"/>
        </w:rPr>
        <w:footnoteReference w:id="19"/>
      </w:r>
      <w:r>
        <w:rPr>
          <w:rFonts w:ascii="Calibri" w:eastAsia="Calibri" w:hAnsi="Calibri" w:cs="Calibri"/>
          <w:sz w:val="24"/>
          <w:szCs w:val="24"/>
        </w:rPr>
        <w:t xml:space="preserve"> do ECA; e conteúdo em que haja exposição não autorizada da imagem ou de informações pessoais de criança ou adolescente, que é proibido pelo Artigo 17</w:t>
      </w:r>
      <w:r>
        <w:rPr>
          <w:rFonts w:ascii="Calibri" w:eastAsia="Calibri" w:hAnsi="Calibri" w:cs="Calibri"/>
          <w:sz w:val="24"/>
          <w:szCs w:val="24"/>
          <w:vertAlign w:val="superscript"/>
        </w:rPr>
        <w:footnoteReference w:id="20"/>
      </w:r>
      <w:r>
        <w:rPr>
          <w:rFonts w:ascii="Calibri" w:eastAsia="Calibri" w:hAnsi="Calibri" w:cs="Calibri"/>
          <w:sz w:val="24"/>
          <w:szCs w:val="24"/>
        </w:rPr>
        <w:t xml:space="preserve"> do ECA.</w:t>
      </w:r>
    </w:p>
    <w:p w14:paraId="7CCFD680" w14:textId="77777777" w:rsidR="0049740C" w:rsidRDefault="00E24B6D">
      <w:pPr>
        <w:spacing w:line="360" w:lineRule="auto"/>
        <w:ind w:firstLine="720"/>
        <w:jc w:val="both"/>
        <w:rPr>
          <w:rFonts w:ascii="Calibri" w:eastAsia="Calibri" w:hAnsi="Calibri" w:cs="Calibri"/>
          <w:sz w:val="24"/>
          <w:szCs w:val="24"/>
        </w:rPr>
      </w:pPr>
      <w:r>
        <w:rPr>
          <w:rFonts w:ascii="Calibri" w:eastAsia="Calibri" w:hAnsi="Calibri" w:cs="Calibri"/>
          <w:sz w:val="24"/>
          <w:szCs w:val="24"/>
        </w:rPr>
        <w:t xml:space="preserve">Hartung concluiu sua fala na audiência com as ações que podem ser implementadas pelo Poder Executivo. Tanto a Resolução 245, que dispõe sobre os direitos das crianças e </w:t>
      </w:r>
      <w:r>
        <w:rPr>
          <w:rFonts w:ascii="Calibri" w:eastAsia="Calibri" w:hAnsi="Calibri" w:cs="Calibri"/>
          <w:sz w:val="24"/>
          <w:szCs w:val="24"/>
        </w:rPr>
        <w:lastRenderedPageBreak/>
        <w:t>adolescentes em ambiente digital, quanto a 257, que instaurou as diretrizes da Política Nacional de Proteção de Crianças e Adolescentes no Ambiente Digital - ambas do Conanda</w:t>
      </w:r>
      <w:r>
        <w:rPr>
          <w:rFonts w:ascii="Calibri" w:eastAsia="Calibri" w:hAnsi="Calibri" w:cs="Calibri"/>
          <w:sz w:val="24"/>
          <w:szCs w:val="24"/>
          <w:vertAlign w:val="superscript"/>
        </w:rPr>
        <w:footnoteReference w:id="21"/>
      </w:r>
      <w:r>
        <w:rPr>
          <w:rFonts w:ascii="Calibri" w:eastAsia="Calibri" w:hAnsi="Calibri" w:cs="Calibri"/>
          <w:sz w:val="24"/>
          <w:szCs w:val="24"/>
        </w:rPr>
        <w:t xml:space="preserve"> </w:t>
      </w:r>
      <w:proofErr w:type="gramStart"/>
      <w:r>
        <w:rPr>
          <w:rFonts w:ascii="Calibri" w:eastAsia="Calibri" w:hAnsi="Calibri" w:cs="Calibri"/>
          <w:sz w:val="24"/>
          <w:szCs w:val="24"/>
        </w:rPr>
        <w:t>-  preveem</w:t>
      </w:r>
      <w:proofErr w:type="gramEnd"/>
      <w:r>
        <w:rPr>
          <w:rFonts w:ascii="Calibri" w:eastAsia="Calibri" w:hAnsi="Calibri" w:cs="Calibri"/>
          <w:sz w:val="24"/>
          <w:szCs w:val="24"/>
        </w:rPr>
        <w:t xml:space="preserve"> a criação de um comitê intersetorial para implementação da política.  </w:t>
      </w:r>
    </w:p>
    <w:p w14:paraId="7CCFD681" w14:textId="77777777" w:rsidR="0049740C" w:rsidRDefault="00E24B6D">
      <w:pPr>
        <w:spacing w:line="360" w:lineRule="auto"/>
        <w:ind w:firstLine="720"/>
        <w:jc w:val="both"/>
        <w:rPr>
          <w:rFonts w:ascii="Calibri" w:eastAsia="Calibri" w:hAnsi="Calibri" w:cs="Calibri"/>
          <w:sz w:val="24"/>
          <w:szCs w:val="24"/>
        </w:rPr>
      </w:pPr>
      <w:r>
        <w:rPr>
          <w:rFonts w:ascii="Calibri" w:eastAsia="Calibri" w:hAnsi="Calibri" w:cs="Calibri"/>
          <w:sz w:val="24"/>
          <w:szCs w:val="24"/>
        </w:rPr>
        <w:t>O Ministério da Justiça, a Secretaria Nacional do Consumidor (</w:t>
      </w:r>
      <w:proofErr w:type="spellStart"/>
      <w:r>
        <w:rPr>
          <w:rFonts w:ascii="Calibri" w:eastAsia="Calibri" w:hAnsi="Calibri" w:cs="Calibri"/>
          <w:sz w:val="24"/>
          <w:szCs w:val="24"/>
        </w:rPr>
        <w:t>Senacom</w:t>
      </w:r>
      <w:proofErr w:type="spellEnd"/>
      <w:r>
        <w:rPr>
          <w:rFonts w:ascii="Calibri" w:eastAsia="Calibri" w:hAnsi="Calibri" w:cs="Calibri"/>
          <w:sz w:val="24"/>
          <w:szCs w:val="24"/>
        </w:rPr>
        <w:t>) e o Sistema Nacional de Defesa do Consumidor (SNDC) podem ampliar os mecanismos de fiscalização nas relações de consumo com as próprias plataformas digitais ou mediadas por elas. A Autoridade Nacional de Proteção de Dados (ANPD) também pode exercer seu papel de fiscalização de práticas ilegais de coleta e tratamento de dados de crianças por plataformas digitais nos casos já em andamento. Por fim, o especialista cita a importância do apoio do governo à aprovação do projeto de lei 2628/2022, que dispõe sobre a proteção de crianças e</w:t>
      </w:r>
    </w:p>
    <w:p w14:paraId="7CCFD682" w14:textId="77777777" w:rsidR="0049740C" w:rsidRDefault="00E24B6D">
      <w:pPr>
        <w:spacing w:line="360" w:lineRule="auto"/>
        <w:jc w:val="both"/>
        <w:rPr>
          <w:rFonts w:ascii="Calibri" w:eastAsia="Calibri" w:hAnsi="Calibri" w:cs="Calibri"/>
          <w:sz w:val="24"/>
          <w:szCs w:val="24"/>
        </w:rPr>
      </w:pPr>
      <w:r>
        <w:rPr>
          <w:rFonts w:ascii="Calibri" w:eastAsia="Calibri" w:hAnsi="Calibri" w:cs="Calibri"/>
          <w:sz w:val="24"/>
          <w:szCs w:val="24"/>
        </w:rPr>
        <w:t xml:space="preserve">adolescentes em ambientes digitais. Apresentado em plenário pelo Senado em dezembro de 2024, o texto aguarda despacho da presidência da Câmara dos Deputados.  </w:t>
      </w:r>
    </w:p>
    <w:p w14:paraId="7CCFD683" w14:textId="77777777" w:rsidR="0049740C" w:rsidRDefault="0049740C"/>
    <w:p w14:paraId="7CCFD684" w14:textId="77777777" w:rsidR="0049740C" w:rsidRDefault="00E24B6D">
      <w:pPr>
        <w:spacing w:line="360" w:lineRule="auto"/>
        <w:rPr>
          <w:rFonts w:ascii="Calibri" w:eastAsia="Calibri" w:hAnsi="Calibri" w:cs="Calibri"/>
          <w:b/>
          <w:sz w:val="24"/>
          <w:szCs w:val="24"/>
        </w:rPr>
      </w:pPr>
      <w:r>
        <w:rPr>
          <w:rFonts w:ascii="Calibri" w:eastAsia="Calibri" w:hAnsi="Calibri" w:cs="Calibri"/>
          <w:b/>
          <w:sz w:val="24"/>
          <w:szCs w:val="24"/>
        </w:rPr>
        <w:t>Bibliografia</w:t>
      </w:r>
    </w:p>
    <w:p w14:paraId="7CCFD685" w14:textId="77777777" w:rsidR="0049740C" w:rsidRDefault="00E24B6D">
      <w:pPr>
        <w:spacing w:line="360" w:lineRule="auto"/>
        <w:rPr>
          <w:rFonts w:ascii="Calibri" w:eastAsia="Calibri" w:hAnsi="Calibri" w:cs="Calibri"/>
          <w:sz w:val="24"/>
          <w:szCs w:val="24"/>
        </w:rPr>
      </w:pPr>
      <w:proofErr w:type="spellStart"/>
      <w:r>
        <w:rPr>
          <w:rFonts w:ascii="Calibri" w:eastAsia="Calibri" w:hAnsi="Calibri" w:cs="Calibri"/>
          <w:sz w:val="24"/>
          <w:szCs w:val="24"/>
        </w:rPr>
        <w:t>Baym</w:t>
      </w:r>
      <w:proofErr w:type="spellEnd"/>
      <w:r>
        <w:rPr>
          <w:rFonts w:ascii="Calibri" w:eastAsia="Calibri" w:hAnsi="Calibri" w:cs="Calibri"/>
          <w:sz w:val="24"/>
          <w:szCs w:val="24"/>
        </w:rPr>
        <w:t xml:space="preserve">, Nancy K. &amp; </w:t>
      </w:r>
      <w:proofErr w:type="spellStart"/>
      <w:r>
        <w:rPr>
          <w:rFonts w:ascii="Calibri" w:eastAsia="Calibri" w:hAnsi="Calibri" w:cs="Calibri"/>
          <w:sz w:val="24"/>
          <w:szCs w:val="24"/>
        </w:rPr>
        <w:t>Boyd</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Danah</w:t>
      </w:r>
      <w:proofErr w:type="spellEnd"/>
      <w:r>
        <w:rPr>
          <w:rFonts w:ascii="Calibri" w:eastAsia="Calibri" w:hAnsi="Calibri" w:cs="Calibri"/>
          <w:sz w:val="24"/>
          <w:szCs w:val="24"/>
        </w:rPr>
        <w:t xml:space="preserve">. </w:t>
      </w:r>
      <w:r w:rsidRPr="004D2518">
        <w:rPr>
          <w:rFonts w:ascii="Calibri" w:eastAsia="Calibri" w:hAnsi="Calibri" w:cs="Calibri"/>
          <w:b/>
          <w:sz w:val="24"/>
          <w:szCs w:val="24"/>
          <w:lang w:val="en-US"/>
        </w:rPr>
        <w:t xml:space="preserve">Socially Mediated Publicness: An Introduction, </w:t>
      </w:r>
      <w:r w:rsidRPr="004D2518">
        <w:rPr>
          <w:rFonts w:ascii="Calibri" w:eastAsia="Calibri" w:hAnsi="Calibri" w:cs="Calibri"/>
          <w:sz w:val="24"/>
          <w:szCs w:val="24"/>
          <w:lang w:val="en-US"/>
        </w:rPr>
        <w:t xml:space="preserve">Journal of Broadcasting &amp; Electronic Media, 56(3), 320–329. </w:t>
      </w:r>
      <w:hyperlink r:id="rId6">
        <w:r>
          <w:rPr>
            <w:rFonts w:ascii="Calibri" w:eastAsia="Calibri" w:hAnsi="Calibri" w:cs="Calibri"/>
            <w:color w:val="1155CC"/>
            <w:sz w:val="24"/>
            <w:szCs w:val="24"/>
            <w:u w:val="single"/>
          </w:rPr>
          <w:t>http://dx.doi.org/10.1080/08838151.2012.705200</w:t>
        </w:r>
      </w:hyperlink>
      <w:r>
        <w:rPr>
          <w:rFonts w:ascii="Calibri" w:eastAsia="Calibri" w:hAnsi="Calibri" w:cs="Calibri"/>
          <w:sz w:val="24"/>
          <w:szCs w:val="24"/>
        </w:rPr>
        <w:t xml:space="preserve"> (Acesso em 12/02/2025)</w:t>
      </w:r>
    </w:p>
    <w:p w14:paraId="7CCFD686" w14:textId="77777777" w:rsidR="0049740C" w:rsidRDefault="0049740C">
      <w:pPr>
        <w:spacing w:line="360" w:lineRule="auto"/>
        <w:rPr>
          <w:rFonts w:ascii="Calibri" w:eastAsia="Calibri" w:hAnsi="Calibri" w:cs="Calibri"/>
          <w:sz w:val="24"/>
          <w:szCs w:val="24"/>
        </w:rPr>
      </w:pPr>
    </w:p>
    <w:p w14:paraId="7CCFD687" w14:textId="77777777" w:rsidR="0049740C" w:rsidRDefault="30EADC7C">
      <w:pPr>
        <w:spacing w:line="360" w:lineRule="auto"/>
        <w:rPr>
          <w:rFonts w:ascii="Calibri" w:eastAsia="Calibri" w:hAnsi="Calibri" w:cs="Calibri"/>
          <w:sz w:val="24"/>
          <w:szCs w:val="24"/>
        </w:rPr>
      </w:pPr>
      <w:r w:rsidRPr="30EADC7C">
        <w:rPr>
          <w:rFonts w:ascii="Calibri" w:eastAsia="Calibri" w:hAnsi="Calibri" w:cs="Calibri"/>
          <w:sz w:val="24"/>
          <w:szCs w:val="24"/>
        </w:rPr>
        <w:t xml:space="preserve">BRASIL. [Constituição (1988)]. </w:t>
      </w:r>
      <w:r w:rsidRPr="30EADC7C">
        <w:rPr>
          <w:rFonts w:ascii="Calibri" w:eastAsia="Calibri" w:hAnsi="Calibri" w:cs="Calibri"/>
          <w:b/>
          <w:bCs/>
          <w:sz w:val="24"/>
          <w:szCs w:val="24"/>
        </w:rPr>
        <w:t>Constituição da República Federativa do Brasil</w:t>
      </w:r>
      <w:r w:rsidRPr="30EADC7C">
        <w:rPr>
          <w:rFonts w:ascii="Calibri" w:eastAsia="Calibri" w:hAnsi="Calibri" w:cs="Calibri"/>
          <w:sz w:val="24"/>
          <w:szCs w:val="24"/>
        </w:rPr>
        <w:t xml:space="preserve">. Brasília, DF: Senado Federal, 2016. 133 p. Disponível em: </w:t>
      </w:r>
      <w:hyperlink r:id="rId7">
        <w:r w:rsidRPr="30EADC7C">
          <w:rPr>
            <w:rFonts w:ascii="Calibri" w:eastAsia="Calibri" w:hAnsi="Calibri" w:cs="Calibri"/>
            <w:color w:val="1155CC"/>
            <w:sz w:val="24"/>
            <w:szCs w:val="24"/>
            <w:u w:val="single"/>
          </w:rPr>
          <w:t>https://www2.senado.leg.br/bdsf/bitstream/handle/id/518231/CF88_Livro_EC91_2016.pdf</w:t>
        </w:r>
      </w:hyperlink>
      <w:r w:rsidRPr="30EADC7C">
        <w:rPr>
          <w:rFonts w:ascii="Calibri" w:eastAsia="Calibri" w:hAnsi="Calibri" w:cs="Calibri"/>
          <w:sz w:val="24"/>
          <w:szCs w:val="24"/>
        </w:rPr>
        <w:t>. Acesso em: 19 de fevereiro de 2025.</w:t>
      </w:r>
    </w:p>
    <w:p w14:paraId="7CCFD688" w14:textId="77777777" w:rsidR="0049740C" w:rsidRDefault="00E24B6D">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CESARINO, Letícia. </w:t>
      </w:r>
      <w:r>
        <w:rPr>
          <w:rFonts w:ascii="Calibri" w:eastAsia="Calibri" w:hAnsi="Calibri" w:cs="Calibri"/>
          <w:b/>
          <w:sz w:val="24"/>
          <w:szCs w:val="24"/>
        </w:rPr>
        <w:t>O mundo do avesso: verdade e política na era digital.</w:t>
      </w:r>
      <w:r>
        <w:rPr>
          <w:rFonts w:ascii="Calibri" w:eastAsia="Calibri" w:hAnsi="Calibri" w:cs="Calibri"/>
          <w:sz w:val="24"/>
          <w:szCs w:val="24"/>
        </w:rPr>
        <w:t xml:space="preserve"> 1. ed. São Paulo: Editora Ubu, 2022.</w:t>
      </w:r>
    </w:p>
    <w:p w14:paraId="7CCFD689" w14:textId="77777777" w:rsidR="0049740C" w:rsidRDefault="00E24B6D">
      <w:pPr>
        <w:spacing w:line="360" w:lineRule="auto"/>
        <w:rPr>
          <w:rFonts w:ascii="Calibri" w:eastAsia="Calibri" w:hAnsi="Calibri" w:cs="Calibri"/>
          <w:sz w:val="24"/>
          <w:szCs w:val="24"/>
        </w:rPr>
      </w:pPr>
      <w:r>
        <w:rPr>
          <w:rFonts w:ascii="Calibri" w:eastAsia="Calibri" w:hAnsi="Calibri" w:cs="Calibri"/>
          <w:sz w:val="24"/>
          <w:szCs w:val="24"/>
        </w:rPr>
        <w:t xml:space="preserve">Escola da AGU. </w:t>
      </w:r>
      <w:r>
        <w:rPr>
          <w:rFonts w:ascii="Calibri" w:eastAsia="Calibri" w:hAnsi="Calibri" w:cs="Calibri"/>
          <w:b/>
          <w:sz w:val="24"/>
          <w:szCs w:val="24"/>
        </w:rPr>
        <w:t>Audiência Pública "Política de moderação de conteúdo nas plataformas digitais"</w:t>
      </w:r>
      <w:r>
        <w:rPr>
          <w:rFonts w:ascii="Calibri" w:eastAsia="Calibri" w:hAnsi="Calibri" w:cs="Calibri"/>
          <w:sz w:val="24"/>
          <w:szCs w:val="24"/>
        </w:rPr>
        <w:t xml:space="preserve">. Youtube, 22 de janeiro de 2025. Disponível em: </w:t>
      </w:r>
      <w:hyperlink r:id="rId8">
        <w:r>
          <w:rPr>
            <w:rFonts w:ascii="Calibri" w:eastAsia="Calibri" w:hAnsi="Calibri" w:cs="Calibri"/>
            <w:color w:val="1155CC"/>
            <w:sz w:val="24"/>
            <w:szCs w:val="24"/>
            <w:u w:val="single"/>
          </w:rPr>
          <w:t>https://www.youtube.com/watch?v=uLYX5Nl2kjY</w:t>
        </w:r>
      </w:hyperlink>
      <w:r>
        <w:rPr>
          <w:rFonts w:ascii="Calibri" w:eastAsia="Calibri" w:hAnsi="Calibri" w:cs="Calibri"/>
          <w:sz w:val="24"/>
          <w:szCs w:val="24"/>
        </w:rPr>
        <w:t xml:space="preserve">. Acesso em: 22 de janeiro de 2025 </w:t>
      </w:r>
    </w:p>
    <w:p w14:paraId="7CCFD68A" w14:textId="77777777" w:rsidR="0049740C" w:rsidRDefault="0049740C">
      <w:pPr>
        <w:spacing w:line="360" w:lineRule="auto"/>
        <w:rPr>
          <w:rFonts w:ascii="Calibri" w:eastAsia="Calibri" w:hAnsi="Calibri" w:cs="Calibri"/>
          <w:sz w:val="24"/>
          <w:szCs w:val="24"/>
        </w:rPr>
      </w:pPr>
    </w:p>
    <w:p w14:paraId="7CCFD68B" w14:textId="77777777" w:rsidR="0049740C" w:rsidRDefault="0049740C"/>
    <w:sectPr w:rsidR="0049740C">
      <w:headerReference w:type="first" r:id="rId9"/>
      <w:footerReference w:type="first" r:id="rId10"/>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7386" w14:textId="77777777" w:rsidR="00CB6005" w:rsidRDefault="00CB6005">
      <w:pPr>
        <w:spacing w:line="240" w:lineRule="auto"/>
      </w:pPr>
      <w:r>
        <w:separator/>
      </w:r>
    </w:p>
  </w:endnote>
  <w:endnote w:type="continuationSeparator" w:id="0">
    <w:p w14:paraId="67FB779E" w14:textId="77777777" w:rsidR="00CB6005" w:rsidRDefault="00CB6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D691" w14:textId="77777777" w:rsidR="0049740C" w:rsidRDefault="004974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9FE1A" w14:textId="77777777" w:rsidR="00CB6005" w:rsidRDefault="00CB6005">
      <w:pPr>
        <w:spacing w:line="240" w:lineRule="auto"/>
      </w:pPr>
      <w:r>
        <w:separator/>
      </w:r>
    </w:p>
  </w:footnote>
  <w:footnote w:type="continuationSeparator" w:id="0">
    <w:p w14:paraId="37DBFF39" w14:textId="77777777" w:rsidR="00CB6005" w:rsidRDefault="00CB6005">
      <w:pPr>
        <w:spacing w:line="240" w:lineRule="auto"/>
      </w:pPr>
      <w:r>
        <w:continuationSeparator/>
      </w:r>
    </w:p>
  </w:footnote>
  <w:footnote w:id="1">
    <w:p w14:paraId="7CCFD692" w14:textId="77777777" w:rsidR="0049740C" w:rsidRDefault="00E24B6D">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Elena Wesley </w:t>
      </w:r>
      <w:proofErr w:type="gramStart"/>
      <w:r>
        <w:rPr>
          <w:rFonts w:ascii="Calibri" w:eastAsia="Calibri" w:hAnsi="Calibri" w:cs="Calibri"/>
          <w:sz w:val="20"/>
          <w:szCs w:val="20"/>
        </w:rPr>
        <w:t>é</w:t>
      </w:r>
      <w:proofErr w:type="gramEnd"/>
      <w:r>
        <w:rPr>
          <w:rFonts w:ascii="Calibri" w:eastAsia="Calibri" w:hAnsi="Calibri" w:cs="Calibri"/>
          <w:sz w:val="20"/>
          <w:szCs w:val="20"/>
        </w:rPr>
        <w:t xml:space="preserve"> </w:t>
      </w:r>
      <w:proofErr w:type="spellStart"/>
      <w:r>
        <w:rPr>
          <w:rFonts w:ascii="Calibri" w:eastAsia="Calibri" w:hAnsi="Calibri" w:cs="Calibri"/>
          <w:sz w:val="20"/>
          <w:szCs w:val="20"/>
        </w:rPr>
        <w:t>é</w:t>
      </w:r>
      <w:proofErr w:type="spellEnd"/>
      <w:r>
        <w:rPr>
          <w:rFonts w:ascii="Calibri" w:eastAsia="Calibri" w:hAnsi="Calibri" w:cs="Calibri"/>
          <w:sz w:val="20"/>
          <w:szCs w:val="20"/>
        </w:rPr>
        <w:t xml:space="preserve"> mestranda em Comunicação Digital e Cultura de Dados na FGV Rio e graduada em Comunicação Social na Universidade Federal Fluminense. Coordena a comunicação </w:t>
      </w:r>
      <w:proofErr w:type="gramStart"/>
      <w:r>
        <w:rPr>
          <w:rFonts w:ascii="Calibri" w:eastAsia="Calibri" w:hAnsi="Calibri" w:cs="Calibri"/>
          <w:sz w:val="20"/>
          <w:szCs w:val="20"/>
        </w:rPr>
        <w:t xml:space="preserve">no </w:t>
      </w:r>
      <w:proofErr w:type="spellStart"/>
      <w:r>
        <w:rPr>
          <w:rFonts w:ascii="Calibri" w:eastAsia="Calibri" w:hAnsi="Calibri" w:cs="Calibri"/>
          <w:sz w:val="20"/>
          <w:szCs w:val="20"/>
        </w:rPr>
        <w:t>data</w:t>
      </w:r>
      <w:proofErr w:type="gramEnd"/>
      <w:r>
        <w:rPr>
          <w:rFonts w:ascii="Calibri" w:eastAsia="Calibri" w:hAnsi="Calibri" w:cs="Calibri"/>
          <w:sz w:val="20"/>
          <w:szCs w:val="20"/>
        </w:rPr>
        <w:t>_labe</w:t>
      </w:r>
      <w:proofErr w:type="spellEnd"/>
      <w:r>
        <w:rPr>
          <w:rFonts w:ascii="Calibri" w:eastAsia="Calibri" w:hAnsi="Calibri" w:cs="Calibri"/>
          <w:sz w:val="20"/>
          <w:szCs w:val="20"/>
        </w:rPr>
        <w:t xml:space="preserve">, uma organização social que trabalha com dados e causas sobre as periferias - </w:t>
      </w:r>
      <w:hyperlink r:id="rId1">
        <w:r>
          <w:rPr>
            <w:rFonts w:ascii="Calibri" w:eastAsia="Calibri" w:hAnsi="Calibri" w:cs="Calibri"/>
            <w:color w:val="1155CC"/>
            <w:sz w:val="20"/>
            <w:szCs w:val="20"/>
            <w:u w:val="single"/>
          </w:rPr>
          <w:t>elenabwesley@gmail.com</w:t>
        </w:r>
      </w:hyperlink>
      <w:r>
        <w:rPr>
          <w:rFonts w:ascii="Calibri" w:eastAsia="Calibri" w:hAnsi="Calibri" w:cs="Calibri"/>
          <w:sz w:val="20"/>
          <w:szCs w:val="20"/>
        </w:rPr>
        <w:t xml:space="preserve"> </w:t>
      </w:r>
    </w:p>
  </w:footnote>
  <w:footnote w:id="2">
    <w:p w14:paraId="7CCFD693" w14:textId="77777777" w:rsidR="0049740C" w:rsidRDefault="00E24B6D">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Jorge Paulo é mestrando em Comunicação Digital e Cultural de Dados na FGV Rio, graduado em Comunicação Social com habilitação em Publicidade e Propaganda pela Universidade de </w:t>
      </w:r>
      <w:proofErr w:type="spellStart"/>
      <w:r>
        <w:rPr>
          <w:rFonts w:ascii="Calibri" w:eastAsia="Calibri" w:hAnsi="Calibri" w:cs="Calibri"/>
          <w:sz w:val="20"/>
          <w:szCs w:val="20"/>
        </w:rPr>
        <w:t>Brasilia</w:t>
      </w:r>
      <w:proofErr w:type="spellEnd"/>
      <w:r>
        <w:rPr>
          <w:rFonts w:ascii="Calibri" w:eastAsia="Calibri" w:hAnsi="Calibri" w:cs="Calibri"/>
          <w:sz w:val="20"/>
          <w:szCs w:val="20"/>
        </w:rPr>
        <w:t xml:space="preserve"> e Diretor de participação popular da Câmara dos Deputados - </w:t>
      </w:r>
      <w:hyperlink r:id="rId2">
        <w:r>
          <w:rPr>
            <w:rFonts w:ascii="Calibri" w:eastAsia="Calibri" w:hAnsi="Calibri" w:cs="Calibri"/>
            <w:color w:val="1155CC"/>
            <w:sz w:val="20"/>
            <w:szCs w:val="20"/>
            <w:u w:val="single"/>
          </w:rPr>
          <w:t>jorgepaulojr@gmail.com</w:t>
        </w:r>
      </w:hyperlink>
    </w:p>
  </w:footnote>
  <w:footnote w:id="3">
    <w:p w14:paraId="7CCFD694" w14:textId="77777777" w:rsidR="0049740C" w:rsidRDefault="00E24B6D">
      <w:pPr>
        <w:spacing w:line="240" w:lineRule="auto"/>
        <w:rPr>
          <w:sz w:val="20"/>
          <w:szCs w:val="20"/>
        </w:rPr>
      </w:pPr>
      <w:r>
        <w:rPr>
          <w:vertAlign w:val="superscript"/>
        </w:rPr>
        <w:footnoteRef/>
      </w:r>
      <w:r>
        <w:rPr>
          <w:rFonts w:ascii="Calibri" w:eastAsia="Calibri" w:hAnsi="Calibri" w:cs="Calibri"/>
          <w:sz w:val="20"/>
          <w:szCs w:val="20"/>
        </w:rPr>
        <w:t xml:space="preserve"> </w:t>
      </w:r>
      <w:proofErr w:type="spellStart"/>
      <w:r>
        <w:rPr>
          <w:rFonts w:ascii="Calibri" w:eastAsia="Calibri" w:hAnsi="Calibri" w:cs="Calibri"/>
          <w:sz w:val="20"/>
          <w:szCs w:val="20"/>
        </w:rPr>
        <w:t>Tayrine</w:t>
      </w:r>
      <w:proofErr w:type="spellEnd"/>
      <w:r>
        <w:rPr>
          <w:rFonts w:ascii="Calibri" w:eastAsia="Calibri" w:hAnsi="Calibri" w:cs="Calibri"/>
          <w:sz w:val="20"/>
          <w:szCs w:val="20"/>
        </w:rPr>
        <w:t xml:space="preserve"> Santana é mestranda em Comunicação Digital e Cultura da Dados na FGV Rio, pós-graduada em Gestão de Comunicação e Marketing pela Universidade de São Paulo e graduada em Publicidade e Propaganda pela Universidade Presbiteriana Mackenzie - </w:t>
      </w:r>
      <w:hyperlink r:id="rId3">
        <w:r>
          <w:rPr>
            <w:rFonts w:ascii="Calibri" w:eastAsia="Calibri" w:hAnsi="Calibri" w:cs="Calibri"/>
            <w:color w:val="1155CC"/>
            <w:sz w:val="20"/>
            <w:szCs w:val="20"/>
            <w:u w:val="single"/>
          </w:rPr>
          <w:t>n.tayrine@gmail.com</w:t>
        </w:r>
      </w:hyperlink>
      <w:r>
        <w:rPr>
          <w:rFonts w:ascii="Calibri" w:eastAsia="Calibri" w:hAnsi="Calibri" w:cs="Calibri"/>
          <w:sz w:val="20"/>
          <w:szCs w:val="20"/>
        </w:rPr>
        <w:t xml:space="preserve"> </w:t>
      </w:r>
    </w:p>
  </w:footnote>
  <w:footnote w:id="4">
    <w:p w14:paraId="7CCFD695" w14:textId="77777777" w:rsidR="0049740C" w:rsidRDefault="00E24B6D">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Notícia publicada no site oficial da AGU em 23 de janeiro, após a realização da audiência. Disponível em: </w:t>
      </w:r>
      <w:hyperlink r:id="rId4">
        <w:r>
          <w:rPr>
            <w:rFonts w:ascii="Calibri" w:eastAsia="Calibri" w:hAnsi="Calibri" w:cs="Calibri"/>
            <w:color w:val="1155CC"/>
            <w:sz w:val="20"/>
            <w:szCs w:val="20"/>
            <w:u w:val="single"/>
          </w:rPr>
          <w:t>https://www.gov.br/agu/pt-br/comunicacao/noticias/pesquisadores-e-sociedade-civil-querem-regras-para-plataformas-digitais</w:t>
        </w:r>
      </w:hyperlink>
      <w:r>
        <w:rPr>
          <w:rFonts w:ascii="Calibri" w:eastAsia="Calibri" w:hAnsi="Calibri" w:cs="Calibri"/>
          <w:sz w:val="20"/>
          <w:szCs w:val="20"/>
        </w:rPr>
        <w:t xml:space="preserve">  (Acesso em 03/02/2025).</w:t>
      </w:r>
    </w:p>
  </w:footnote>
  <w:footnote w:id="5">
    <w:p w14:paraId="7CCFD696" w14:textId="77777777" w:rsidR="0049740C" w:rsidRDefault="00E24B6D">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O Instituto Alana é uma organização não governamental que há 30 anos atua na garantia dos direitos das crianças e adolescentes a partir de diferentes frentes, como análise e melhoria de políticas públicas, formação de cidadãos e organizações, incentivo à participação cidadã, entre outras. </w:t>
      </w:r>
      <w:hyperlink r:id="rId5">
        <w:r>
          <w:rPr>
            <w:rFonts w:ascii="Calibri" w:eastAsia="Calibri" w:hAnsi="Calibri" w:cs="Calibri"/>
            <w:color w:val="1155CC"/>
            <w:sz w:val="20"/>
            <w:szCs w:val="20"/>
            <w:u w:val="single"/>
          </w:rPr>
          <w:t>https://alana.org.br/instituto-alana/</w:t>
        </w:r>
      </w:hyperlink>
      <w:r>
        <w:rPr>
          <w:rFonts w:ascii="Calibri" w:eastAsia="Calibri" w:hAnsi="Calibri" w:cs="Calibri"/>
          <w:sz w:val="20"/>
          <w:szCs w:val="20"/>
        </w:rPr>
        <w:t xml:space="preserve"> </w:t>
      </w:r>
    </w:p>
  </w:footnote>
  <w:footnote w:id="6">
    <w:p w14:paraId="7CCFD697" w14:textId="77777777" w:rsidR="0049740C" w:rsidRDefault="00E24B6D">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Vídeo publicado no perfil pessoal de Zuckerberg. Disponível em: </w:t>
      </w:r>
      <w:hyperlink r:id="rId6">
        <w:r>
          <w:rPr>
            <w:rFonts w:ascii="Calibri" w:eastAsia="Calibri" w:hAnsi="Calibri" w:cs="Calibri"/>
            <w:color w:val="1155CC"/>
            <w:sz w:val="20"/>
            <w:szCs w:val="20"/>
            <w:u w:val="single"/>
          </w:rPr>
          <w:t>https://www.instagram.com/reel/DEhf2uTJUs0/?igsh=MWJhYmFsbjZ3eTNmMw==</w:t>
        </w:r>
      </w:hyperlink>
      <w:r>
        <w:rPr>
          <w:rFonts w:ascii="Calibri" w:eastAsia="Calibri" w:hAnsi="Calibri" w:cs="Calibri"/>
          <w:sz w:val="20"/>
          <w:szCs w:val="20"/>
        </w:rPr>
        <w:t xml:space="preserve"> (Acesso em 17/02/2025).</w:t>
      </w:r>
    </w:p>
  </w:footnote>
  <w:footnote w:id="7">
    <w:p w14:paraId="7CCFD698" w14:textId="77777777" w:rsidR="0049740C" w:rsidRDefault="00E24B6D">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A reportagem do portal Aos Fatos aprofunda a problemática das mudanças da Meta. Disponível em:  </w:t>
      </w:r>
      <w:hyperlink r:id="rId7">
        <w:r>
          <w:rPr>
            <w:rFonts w:ascii="Calibri" w:eastAsia="Calibri" w:hAnsi="Calibri" w:cs="Calibri"/>
            <w:color w:val="1155CC"/>
            <w:sz w:val="20"/>
            <w:szCs w:val="20"/>
            <w:u w:val="single"/>
          </w:rPr>
          <w:t>https://www.aosfatos.org/noticias/meta-encerra-checagem-de-fatos-eua-e-especialistas-veem-retrocesso/</w:t>
        </w:r>
      </w:hyperlink>
      <w:r>
        <w:rPr>
          <w:rFonts w:ascii="Calibri" w:eastAsia="Calibri" w:hAnsi="Calibri" w:cs="Calibri"/>
          <w:sz w:val="20"/>
          <w:szCs w:val="20"/>
        </w:rPr>
        <w:t xml:space="preserve"> (Acesso em 21/01/2025).</w:t>
      </w:r>
    </w:p>
  </w:footnote>
  <w:footnote w:id="8">
    <w:p w14:paraId="7CCFD699" w14:textId="77777777" w:rsidR="0049740C" w:rsidRDefault="00E24B6D">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 Notícia publicada no site oficial da AGU a respeito da realização da audiência em 21 de janeiro. </w:t>
      </w:r>
      <w:hyperlink r:id="rId8">
        <w:r>
          <w:rPr>
            <w:rFonts w:ascii="Calibri" w:eastAsia="Calibri" w:hAnsi="Calibri" w:cs="Calibri"/>
            <w:color w:val="1155CC"/>
            <w:sz w:val="20"/>
            <w:szCs w:val="20"/>
            <w:u w:val="single"/>
          </w:rPr>
          <w:t>https://www.gov.br/agu/pt-br/comunicacao/noticias/pesquisadores-e-sociedade-civil-querem-regras-para-plataformas-digitais</w:t>
        </w:r>
      </w:hyperlink>
      <w:r>
        <w:rPr>
          <w:rFonts w:ascii="Calibri" w:eastAsia="Calibri" w:hAnsi="Calibri" w:cs="Calibri"/>
          <w:sz w:val="20"/>
          <w:szCs w:val="20"/>
        </w:rPr>
        <w:t xml:space="preserve"> (Acesso em 21/01/2025).</w:t>
      </w:r>
    </w:p>
  </w:footnote>
  <w:footnote w:id="9">
    <w:p w14:paraId="7CCFD69A" w14:textId="77777777" w:rsidR="0049740C" w:rsidRPr="004D2518" w:rsidRDefault="00E24B6D">
      <w:pPr>
        <w:spacing w:line="240" w:lineRule="auto"/>
        <w:rPr>
          <w:sz w:val="20"/>
          <w:szCs w:val="20"/>
          <w:lang w:val="en-US"/>
        </w:rPr>
      </w:pPr>
      <w:r>
        <w:rPr>
          <w:vertAlign w:val="superscript"/>
        </w:rPr>
        <w:footnoteRef/>
      </w:r>
      <w:r w:rsidRPr="004D2518">
        <w:rPr>
          <w:sz w:val="20"/>
          <w:szCs w:val="20"/>
          <w:lang w:val="en-US"/>
        </w:rPr>
        <w:t xml:space="preserve"> </w:t>
      </w:r>
      <w:r w:rsidRPr="004D2518">
        <w:rPr>
          <w:rFonts w:ascii="Calibri" w:eastAsia="Calibri" w:hAnsi="Calibri" w:cs="Calibri"/>
          <w:sz w:val="20"/>
          <w:szCs w:val="20"/>
          <w:lang w:val="en-US"/>
        </w:rPr>
        <w:t xml:space="preserve">The nature of publicness online is shaped by the architecture and affordances of social media, but also by people’s social contexts, identities, and practices. </w:t>
      </w:r>
    </w:p>
  </w:footnote>
  <w:footnote w:id="10">
    <w:p w14:paraId="7CCFD69B" w14:textId="77777777" w:rsidR="0049740C" w:rsidRPr="004D2518" w:rsidRDefault="00E24B6D">
      <w:pPr>
        <w:spacing w:line="240" w:lineRule="auto"/>
        <w:rPr>
          <w:rFonts w:ascii="Calibri" w:eastAsia="Calibri" w:hAnsi="Calibri" w:cs="Calibri"/>
          <w:sz w:val="20"/>
          <w:szCs w:val="20"/>
          <w:lang w:val="en-US"/>
        </w:rPr>
      </w:pPr>
      <w:r>
        <w:rPr>
          <w:vertAlign w:val="superscript"/>
        </w:rPr>
        <w:footnoteRef/>
      </w:r>
      <w:r w:rsidRPr="004D2518">
        <w:rPr>
          <w:sz w:val="20"/>
          <w:szCs w:val="20"/>
          <w:lang w:val="en-US"/>
        </w:rPr>
        <w:t xml:space="preserve"> </w:t>
      </w:r>
      <w:r w:rsidRPr="004D2518">
        <w:rPr>
          <w:rFonts w:ascii="Calibri" w:eastAsia="Calibri" w:hAnsi="Calibri" w:cs="Calibri"/>
          <w:sz w:val="20"/>
          <w:szCs w:val="20"/>
          <w:lang w:val="en-US"/>
        </w:rPr>
        <w:t>It is popular, yet too easy, to claim that everything is different in a world of Facebook and Twitter.</w:t>
      </w:r>
    </w:p>
    <w:p w14:paraId="7CCFD69C" w14:textId="77777777" w:rsidR="0049740C" w:rsidRPr="004D2518" w:rsidRDefault="0049740C">
      <w:pPr>
        <w:spacing w:line="240" w:lineRule="auto"/>
        <w:rPr>
          <w:sz w:val="20"/>
          <w:szCs w:val="20"/>
          <w:lang w:val="en-US"/>
        </w:rPr>
      </w:pPr>
    </w:p>
  </w:footnote>
  <w:footnote w:id="11">
    <w:p w14:paraId="7CCFD69D" w14:textId="77777777" w:rsidR="0049740C" w:rsidRDefault="00E24B6D">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Transmissão do evento disponível em: https://www.youtube.com/watch?v=uLYX5Nl2kjY</w:t>
      </w:r>
    </w:p>
  </w:footnote>
  <w:footnote w:id="12">
    <w:p w14:paraId="7CCFD69E" w14:textId="77777777" w:rsidR="0049740C" w:rsidRDefault="00E24B6D">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A Participa + Brasil é uma plataforma digital criada com o propósito de promover e qualificar o processo de participação social, a partir da disponibilização de módulos para divulgação de consultas e audiências públicas, pesquisas e na promoção de boas práticas. É administrada pela Secretaria Nacional de Participação Social da </w:t>
      </w:r>
      <w:proofErr w:type="spellStart"/>
      <w:r>
        <w:rPr>
          <w:rFonts w:ascii="Calibri" w:eastAsia="Calibri" w:hAnsi="Calibri" w:cs="Calibri"/>
          <w:sz w:val="20"/>
          <w:szCs w:val="20"/>
        </w:rPr>
        <w:t>Secretaria-Geral</w:t>
      </w:r>
      <w:proofErr w:type="spellEnd"/>
      <w:r>
        <w:rPr>
          <w:rFonts w:ascii="Calibri" w:eastAsia="Calibri" w:hAnsi="Calibri" w:cs="Calibri"/>
          <w:sz w:val="20"/>
          <w:szCs w:val="20"/>
        </w:rPr>
        <w:t xml:space="preserve"> da Presidência da República.  </w:t>
      </w:r>
      <w:hyperlink r:id="rId9">
        <w:r>
          <w:rPr>
            <w:rFonts w:ascii="Calibri" w:eastAsia="Calibri" w:hAnsi="Calibri" w:cs="Calibri"/>
            <w:color w:val="1155CC"/>
            <w:sz w:val="20"/>
            <w:szCs w:val="20"/>
            <w:u w:val="single"/>
          </w:rPr>
          <w:t>https://www.gov.br/participamaisbrasil/sobre</w:t>
        </w:r>
      </w:hyperlink>
      <w:r>
        <w:rPr>
          <w:rFonts w:ascii="Calibri" w:eastAsia="Calibri" w:hAnsi="Calibri" w:cs="Calibri"/>
          <w:sz w:val="20"/>
          <w:szCs w:val="20"/>
        </w:rPr>
        <w:t xml:space="preserve"> </w:t>
      </w:r>
    </w:p>
  </w:footnote>
  <w:footnote w:id="13">
    <w:p w14:paraId="7CCFD69F" w14:textId="77777777" w:rsidR="0049740C" w:rsidRDefault="00E24B6D">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Pedro Hartung é Doutor pela USP e pesquisador visitante da Harvard Law </w:t>
      </w:r>
      <w:proofErr w:type="spellStart"/>
      <w:r>
        <w:rPr>
          <w:rFonts w:ascii="Calibri" w:eastAsia="Calibri" w:hAnsi="Calibri" w:cs="Calibri"/>
          <w:sz w:val="20"/>
          <w:szCs w:val="20"/>
        </w:rPr>
        <w:t>School</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Child</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Advocacy</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Program</w:t>
      </w:r>
      <w:proofErr w:type="spellEnd"/>
      <w:r>
        <w:rPr>
          <w:rFonts w:ascii="Calibri" w:eastAsia="Calibri" w:hAnsi="Calibri" w:cs="Calibri"/>
          <w:sz w:val="20"/>
          <w:szCs w:val="20"/>
        </w:rPr>
        <w:t xml:space="preserve"> e do Max-Planck-</w:t>
      </w:r>
      <w:proofErr w:type="spellStart"/>
      <w:r>
        <w:rPr>
          <w:rFonts w:ascii="Calibri" w:eastAsia="Calibri" w:hAnsi="Calibri" w:cs="Calibri"/>
          <w:sz w:val="20"/>
          <w:szCs w:val="20"/>
        </w:rPr>
        <w:t>Institute</w:t>
      </w:r>
      <w:proofErr w:type="spellEnd"/>
      <w:r>
        <w:rPr>
          <w:rFonts w:ascii="Calibri" w:eastAsia="Calibri" w:hAnsi="Calibri" w:cs="Calibri"/>
          <w:sz w:val="20"/>
          <w:szCs w:val="20"/>
        </w:rPr>
        <w:t xml:space="preserve"> Heidelberg. É diretor de Políticas e Direitos das Crianças do Instituto Alana.</w:t>
      </w:r>
    </w:p>
  </w:footnote>
  <w:footnote w:id="14">
    <w:p w14:paraId="7CCFD6A0" w14:textId="77777777" w:rsidR="0049740C" w:rsidRDefault="00E24B6D">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A participação de Pedro Hartung pode ser assistida no Youtube a partir de 1:40:00 </w:t>
      </w:r>
      <w:hyperlink r:id="rId10">
        <w:r>
          <w:rPr>
            <w:rFonts w:ascii="Calibri" w:eastAsia="Calibri" w:hAnsi="Calibri" w:cs="Calibri"/>
            <w:color w:val="1155CC"/>
            <w:sz w:val="20"/>
            <w:szCs w:val="20"/>
            <w:u w:val="single"/>
          </w:rPr>
          <w:t>https://www.youtube.com/watch?v=uLYX5Nl2kjY</w:t>
        </w:r>
      </w:hyperlink>
      <w:r>
        <w:rPr>
          <w:rFonts w:ascii="Calibri" w:eastAsia="Calibri" w:hAnsi="Calibri" w:cs="Calibri"/>
          <w:sz w:val="20"/>
          <w:szCs w:val="20"/>
        </w:rPr>
        <w:t xml:space="preserve"> </w:t>
      </w:r>
    </w:p>
  </w:footnote>
  <w:footnote w:id="15">
    <w:p w14:paraId="7CCFD6A1" w14:textId="77777777" w:rsidR="0049740C" w:rsidRDefault="00E24B6D">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A TIC Kids é uma pesquisa realizada desde 2012 junto a pessoas de 9 a 17 anos. O estudo é coordenado pelo Centro Regional de Estudos para o Desenvolvimento da Sociedade da Informação (Cetic.br), do NIC.br. O Cetic.br é responsável pela produção de indicadores e estatísticas sobre o acesso e o uso da Internet no Brasil, divulgando análises e informações periódicas sobre o desenvolvimento da rede no país. A décima edição foi publicada em outubro de 2024. Disponível em: </w:t>
      </w:r>
      <w:hyperlink r:id="rId11">
        <w:r>
          <w:rPr>
            <w:rFonts w:ascii="Calibri" w:eastAsia="Calibri" w:hAnsi="Calibri" w:cs="Calibri"/>
            <w:color w:val="1155CC"/>
            <w:sz w:val="20"/>
            <w:szCs w:val="20"/>
            <w:u w:val="single"/>
          </w:rPr>
          <w:t>https://cetic.br/media/docs/publicacoes/2/20241104103339/tic_kids_online_2023_livro_eletronico.pdf</w:t>
        </w:r>
      </w:hyperlink>
      <w:r>
        <w:rPr>
          <w:rFonts w:ascii="Calibri" w:eastAsia="Calibri" w:hAnsi="Calibri" w:cs="Calibri"/>
          <w:sz w:val="20"/>
          <w:szCs w:val="20"/>
        </w:rPr>
        <w:t xml:space="preserve"> </w:t>
      </w:r>
    </w:p>
  </w:footnote>
  <w:footnote w:id="16">
    <w:p w14:paraId="7CCFD6A2" w14:textId="77777777" w:rsidR="0049740C" w:rsidRDefault="00E24B6D">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hyperlink r:id="rId12">
        <w:r>
          <w:rPr>
            <w:rFonts w:ascii="Calibri" w:eastAsia="Calibri" w:hAnsi="Calibri" w:cs="Calibri"/>
            <w:color w:val="1155CC"/>
            <w:sz w:val="20"/>
            <w:szCs w:val="20"/>
            <w:u w:val="single"/>
          </w:rPr>
          <w:t>https://criancaeconsumo.org.br/noticias/alana-denuncia-meta-jogos-de-aposta/</w:t>
        </w:r>
      </w:hyperlink>
      <w:r>
        <w:rPr>
          <w:rFonts w:ascii="Calibri" w:eastAsia="Calibri" w:hAnsi="Calibri" w:cs="Calibri"/>
          <w:sz w:val="20"/>
          <w:szCs w:val="20"/>
        </w:rPr>
        <w:t xml:space="preserve"> </w:t>
      </w:r>
    </w:p>
  </w:footnote>
  <w:footnote w:id="17">
    <w:p w14:paraId="7CCFD6A3" w14:textId="77777777" w:rsidR="0049740C" w:rsidRDefault="00E24B6D">
      <w:pPr>
        <w:spacing w:line="240" w:lineRule="auto"/>
        <w:rPr>
          <w:sz w:val="20"/>
          <w:szCs w:val="20"/>
        </w:rPr>
      </w:pPr>
      <w:r>
        <w:rPr>
          <w:vertAlign w:val="superscript"/>
        </w:rPr>
        <w:footnoteRef/>
      </w:r>
      <w:r>
        <w:rPr>
          <w:rFonts w:ascii="Calibri" w:eastAsia="Calibri" w:hAnsi="Calibri" w:cs="Calibri"/>
          <w:sz w:val="20"/>
          <w:szCs w:val="20"/>
        </w:rPr>
        <w:t xml:space="preserve"> Em sua apresentação, Pedro Hartung compartilhou links de consulta sobre as denúncias de Frances </w:t>
      </w:r>
      <w:proofErr w:type="spellStart"/>
      <w:r>
        <w:rPr>
          <w:rFonts w:ascii="Calibri" w:eastAsia="Calibri" w:hAnsi="Calibri" w:cs="Calibri"/>
          <w:sz w:val="20"/>
          <w:szCs w:val="20"/>
        </w:rPr>
        <w:t>Haugen</w:t>
      </w:r>
      <w:proofErr w:type="spellEnd"/>
      <w:r>
        <w:rPr>
          <w:rFonts w:ascii="Calibri" w:eastAsia="Calibri" w:hAnsi="Calibri" w:cs="Calibri"/>
          <w:sz w:val="20"/>
          <w:szCs w:val="20"/>
        </w:rPr>
        <w:t xml:space="preserve">. A entrevista concedida pela engenheira ao Portal Lunetas está disponível em: </w:t>
      </w:r>
      <w:hyperlink r:id="rId13" w:anchor=":~:text=%E2%80%9CAs%20plataformas%20digitais%20e%20os,e%20ex%2Dfuncion%C3%A1ria%20do%20Facebook">
        <w:r>
          <w:rPr>
            <w:rFonts w:ascii="Calibri" w:eastAsia="Calibri" w:hAnsi="Calibri" w:cs="Calibri"/>
            <w:color w:val="1155CC"/>
            <w:sz w:val="20"/>
            <w:szCs w:val="20"/>
            <w:u w:val="single"/>
          </w:rPr>
          <w:t>https://lunetas.com.br/frances-haugen-as-plataformas-digitais-nao-sao-desenhadas-para-as-criancas/#:~:text=%E2%80%9CAs%20plataformas%20digitais%20e%20os,e%20ex%2Dfuncion%C3%A1ria%20do%20Facebook</w:t>
        </w:r>
      </w:hyperlink>
      <w:r>
        <w:rPr>
          <w:rFonts w:ascii="Calibri" w:eastAsia="Calibri" w:hAnsi="Calibri" w:cs="Calibri"/>
          <w:sz w:val="20"/>
          <w:szCs w:val="20"/>
        </w:rPr>
        <w:t xml:space="preserve"> (Acesso em 21/02/2025). A entrevista à Agência Pública está disponível em: </w:t>
      </w:r>
      <w:hyperlink r:id="rId14">
        <w:r>
          <w:rPr>
            <w:rFonts w:ascii="Calibri" w:eastAsia="Calibri" w:hAnsi="Calibri" w:cs="Calibri"/>
            <w:color w:val="1155CC"/>
            <w:sz w:val="20"/>
            <w:szCs w:val="20"/>
            <w:u w:val="single"/>
          </w:rPr>
          <w:t>https://apublica.org/2022/07/frances-haugen-redes-nao-estao-com-medo-suficiente-do-brasil-para-priorizar-seguranca/</w:t>
        </w:r>
      </w:hyperlink>
      <w:r>
        <w:rPr>
          <w:rFonts w:ascii="Calibri" w:eastAsia="Calibri" w:hAnsi="Calibri" w:cs="Calibri"/>
          <w:sz w:val="20"/>
          <w:szCs w:val="20"/>
        </w:rPr>
        <w:t xml:space="preserve"> (Acesso em 21/02/2025</w:t>
      </w:r>
      <w:r>
        <w:rPr>
          <w:sz w:val="20"/>
          <w:szCs w:val="20"/>
        </w:rPr>
        <w:t>)</w:t>
      </w:r>
    </w:p>
  </w:footnote>
  <w:footnote w:id="18">
    <w:p w14:paraId="7CCFD6A4" w14:textId="77777777" w:rsidR="0049740C" w:rsidRDefault="00E24B6D">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A Resolução 163 do Conanda define a publicidade abusiva para crianças e adolescentes. Disponível em: </w:t>
      </w:r>
      <w:hyperlink r:id="rId15">
        <w:r>
          <w:rPr>
            <w:rFonts w:ascii="Calibri" w:eastAsia="Calibri" w:hAnsi="Calibri" w:cs="Calibri"/>
            <w:color w:val="1155CC"/>
            <w:sz w:val="20"/>
            <w:szCs w:val="20"/>
            <w:u w:val="single"/>
          </w:rPr>
          <w:t>https://site.mppr.mp.br/sites/hotsites/arquivos_restritos/files/migrados/File/legis/conanda/conanda_resolucao_163_publicada.pdf</w:t>
        </w:r>
      </w:hyperlink>
      <w:r>
        <w:rPr>
          <w:rFonts w:ascii="Calibri" w:eastAsia="Calibri" w:hAnsi="Calibri" w:cs="Calibri"/>
          <w:sz w:val="20"/>
          <w:szCs w:val="20"/>
        </w:rPr>
        <w:t xml:space="preserve"> (Acesso em 20/02/2025) </w:t>
      </w:r>
    </w:p>
  </w:footnote>
  <w:footnote w:id="19">
    <w:p w14:paraId="7CCFD6A5" w14:textId="77777777" w:rsidR="0049740C" w:rsidRDefault="00E24B6D">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O artigo 241-D do ECA dispõe sobre aliciamento e assédio por meios de comunicação. Disponível em: </w:t>
      </w:r>
      <w:hyperlink r:id="rId16" w:anchor="art241d">
        <w:r>
          <w:rPr>
            <w:rFonts w:ascii="Calibri" w:eastAsia="Calibri" w:hAnsi="Calibri" w:cs="Calibri"/>
            <w:color w:val="1155CC"/>
            <w:sz w:val="20"/>
            <w:szCs w:val="20"/>
            <w:u w:val="single"/>
          </w:rPr>
          <w:t>https://www.planalto.gov.br/ccivil_03/leis/l8069.htm#art241d</w:t>
        </w:r>
      </w:hyperlink>
      <w:r>
        <w:rPr>
          <w:rFonts w:ascii="Calibri" w:eastAsia="Calibri" w:hAnsi="Calibri" w:cs="Calibri"/>
          <w:sz w:val="20"/>
          <w:szCs w:val="20"/>
        </w:rPr>
        <w:t xml:space="preserve"> (Acesso em 20/02/2025)</w:t>
      </w:r>
    </w:p>
  </w:footnote>
  <w:footnote w:id="20">
    <w:p w14:paraId="7CCFD6A6" w14:textId="77777777" w:rsidR="0049740C" w:rsidRDefault="00E24B6D">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O Artigo 17 do ECA aborda a </w:t>
      </w:r>
      <w:r>
        <w:rPr>
          <w:rFonts w:ascii="Calibri" w:eastAsia="Calibri" w:hAnsi="Calibri" w:cs="Calibri"/>
          <w:sz w:val="20"/>
          <w:szCs w:val="20"/>
          <w:highlight w:val="white"/>
        </w:rPr>
        <w:t xml:space="preserve">inviolabilidade da integridade física, psíquica e moral da criança e do adolescente, abrangendo a preservação da imagem. </w:t>
      </w:r>
      <w:r>
        <w:rPr>
          <w:rFonts w:ascii="Calibri" w:eastAsia="Calibri" w:hAnsi="Calibri" w:cs="Calibri"/>
          <w:sz w:val="20"/>
          <w:szCs w:val="20"/>
        </w:rPr>
        <w:t xml:space="preserve">Disponível em: </w:t>
      </w:r>
      <w:hyperlink r:id="rId17" w:anchor="art241d">
        <w:r>
          <w:rPr>
            <w:rFonts w:ascii="Calibri" w:eastAsia="Calibri" w:hAnsi="Calibri" w:cs="Calibri"/>
            <w:color w:val="1155CC"/>
            <w:sz w:val="20"/>
            <w:szCs w:val="20"/>
            <w:u w:val="single"/>
          </w:rPr>
          <w:t>https://www.planalto.gov.br/ccivil_03/leis/l8069.htm#art241d</w:t>
        </w:r>
      </w:hyperlink>
      <w:r>
        <w:rPr>
          <w:rFonts w:ascii="Calibri" w:eastAsia="Calibri" w:hAnsi="Calibri" w:cs="Calibri"/>
          <w:sz w:val="20"/>
          <w:szCs w:val="20"/>
        </w:rPr>
        <w:t xml:space="preserve"> (Acesso em 20/02/2025)</w:t>
      </w:r>
    </w:p>
  </w:footnote>
  <w:footnote w:id="21">
    <w:p w14:paraId="7CCFD6A7" w14:textId="77777777" w:rsidR="0049740C" w:rsidRDefault="00E24B6D">
      <w:pPr>
        <w:spacing w:line="240" w:lineRule="auto"/>
        <w:rPr>
          <w:sz w:val="20"/>
          <w:szCs w:val="20"/>
        </w:rPr>
      </w:pPr>
      <w:r>
        <w:rPr>
          <w:vertAlign w:val="superscript"/>
        </w:rPr>
        <w:footnoteRef/>
      </w:r>
      <w:r>
        <w:rPr>
          <w:rFonts w:ascii="Calibri" w:eastAsia="Calibri" w:hAnsi="Calibri" w:cs="Calibri"/>
          <w:sz w:val="20"/>
          <w:szCs w:val="20"/>
        </w:rPr>
        <w:t xml:space="preserve"> As Resoluções 245 e 257 foram publicadas no Diário Oficial da União em abril e dezembro de 2024, respectivamente, e estão disponíveis em: </w:t>
      </w:r>
      <w:hyperlink r:id="rId18">
        <w:r>
          <w:rPr>
            <w:rFonts w:ascii="Calibri" w:eastAsia="Calibri" w:hAnsi="Calibri" w:cs="Calibri"/>
            <w:color w:val="1155CC"/>
            <w:sz w:val="20"/>
            <w:szCs w:val="20"/>
            <w:u w:val="single"/>
          </w:rPr>
          <w:t>https://www.gov.br/participamaisbrasil/https-wwwgovbr-participamaisbrasil-blob-baixar-7359</w:t>
        </w:r>
      </w:hyperlink>
      <w:r>
        <w:rPr>
          <w:rFonts w:ascii="Calibri" w:eastAsia="Calibri" w:hAnsi="Calibri" w:cs="Calibri"/>
          <w:sz w:val="20"/>
          <w:szCs w:val="20"/>
        </w:rPr>
        <w:t xml:space="preserve"> (Acesso em 20/02/2025).</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D690" w14:textId="77777777" w:rsidR="0049740C" w:rsidRDefault="0049740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40C"/>
    <w:rsid w:val="0015AEFD"/>
    <w:rsid w:val="001C2F34"/>
    <w:rsid w:val="0040505F"/>
    <w:rsid w:val="0049740C"/>
    <w:rsid w:val="004D2518"/>
    <w:rsid w:val="008943E7"/>
    <w:rsid w:val="00A12758"/>
    <w:rsid w:val="00CB6005"/>
    <w:rsid w:val="00E24B6D"/>
    <w:rsid w:val="00F32052"/>
    <w:rsid w:val="08CDC419"/>
    <w:rsid w:val="2A644F60"/>
    <w:rsid w:val="30EADC7C"/>
    <w:rsid w:val="4EB2E3F6"/>
    <w:rsid w:val="5BB03E74"/>
    <w:rsid w:val="64D320CB"/>
    <w:rsid w:val="702EA51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D657"/>
  <w15:docId w15:val="{243FD7CB-0E05-4497-9DCE-BF0E7A84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LYX5Nl2kjY" TargetMode="External"/><Relationship Id="rId3" Type="http://schemas.openxmlformats.org/officeDocument/2006/relationships/webSettings" Target="webSettings.xml"/><Relationship Id="rId7" Type="http://schemas.openxmlformats.org/officeDocument/2006/relationships/hyperlink" Target="https://www2.senado.leg.br/bdsf/bitstream/handle/id/518231/CF88_Livro_EC91_2016.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80/08838151.2012.70520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gov.br/agu/pt-br/comunicacao/noticias/pesquisadores-e-sociedade-civil-querem-regras-para-plataformas-digitais" TargetMode="External"/><Relationship Id="rId13" Type="http://schemas.openxmlformats.org/officeDocument/2006/relationships/hyperlink" Target="https://lunetas.com.br/frances-haugen-as-plataformas-digitais-nao-sao-desenhadas-para-as-criancas/" TargetMode="External"/><Relationship Id="rId18" Type="http://schemas.openxmlformats.org/officeDocument/2006/relationships/hyperlink" Target="https://www.gov.br/participamaisbrasil/https-wwwgovbr-participamaisbrasil-blob-baixar-7359" TargetMode="External"/><Relationship Id="rId3" Type="http://schemas.openxmlformats.org/officeDocument/2006/relationships/hyperlink" Target="mailto:n.tayrine@gmail.com" TargetMode="External"/><Relationship Id="rId7" Type="http://schemas.openxmlformats.org/officeDocument/2006/relationships/hyperlink" Target="https://www.aosfatos.org/noticias/meta-encerra-checagem-de-fatos-eua-e-especialistas-veem-retrocesso/" TargetMode="External"/><Relationship Id="rId12" Type="http://schemas.openxmlformats.org/officeDocument/2006/relationships/hyperlink" Target="https://criancaeconsumo.org.br/noticias/alana-denuncia-meta-jogos-de-aposta/" TargetMode="External"/><Relationship Id="rId17" Type="http://schemas.openxmlformats.org/officeDocument/2006/relationships/hyperlink" Target="https://www.planalto.gov.br/ccivil_03/leis/l8069.htm" TargetMode="External"/><Relationship Id="rId2" Type="http://schemas.openxmlformats.org/officeDocument/2006/relationships/hyperlink" Target="mailto:jorgepaulojr@gmail.com" TargetMode="External"/><Relationship Id="rId16" Type="http://schemas.openxmlformats.org/officeDocument/2006/relationships/hyperlink" Target="https://www.planalto.gov.br/ccivil_03/leis/l8069.htm" TargetMode="External"/><Relationship Id="rId1" Type="http://schemas.openxmlformats.org/officeDocument/2006/relationships/hyperlink" Target="mailto:elenabwesley@gmail.com" TargetMode="External"/><Relationship Id="rId6" Type="http://schemas.openxmlformats.org/officeDocument/2006/relationships/hyperlink" Target="https://www.instagram.com/reel/DEhf2uTJUs0/?igsh=MWJhYmFsbjZ3eTNmMw==" TargetMode="External"/><Relationship Id="rId11" Type="http://schemas.openxmlformats.org/officeDocument/2006/relationships/hyperlink" Target="https://cetic.br/media/docs/publicacoes/2/20241104103339/tic_kids_online_2023_livro_eletronico.pdf" TargetMode="External"/><Relationship Id="rId5" Type="http://schemas.openxmlformats.org/officeDocument/2006/relationships/hyperlink" Target="https://alana.org.br/instituto-alana/" TargetMode="External"/><Relationship Id="rId15" Type="http://schemas.openxmlformats.org/officeDocument/2006/relationships/hyperlink" Target="https://site.mppr.mp.br/sites/hotsites/arquivos_restritos/files/migrados/File/legis/conanda/conanda_resolucao_163_publicada.pdf" TargetMode="External"/><Relationship Id="rId10" Type="http://schemas.openxmlformats.org/officeDocument/2006/relationships/hyperlink" Target="https://www.youtube.com/watch?v=uLYX5Nl2kjY" TargetMode="External"/><Relationship Id="rId4" Type="http://schemas.openxmlformats.org/officeDocument/2006/relationships/hyperlink" Target="https://www.gov.br/agu/pt-br/comunicacao/noticias/pesquisadores-e-sociedade-civil-querem-regras-para-plataformas-digitais" TargetMode="External"/><Relationship Id="rId9" Type="http://schemas.openxmlformats.org/officeDocument/2006/relationships/hyperlink" Target="https://www.gov.br/participamaisbrasil/sobre" TargetMode="External"/><Relationship Id="rId14" Type="http://schemas.openxmlformats.org/officeDocument/2006/relationships/hyperlink" Target="https://apublica.org/2022/07/frances-haugen-redes-nao-estao-com-medo-suficiente-do-brasil-para-priorizar-segura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1100</TotalTime>
  <Pages>1</Pages>
  <Words>2842</Words>
  <Characters>15551</Characters>
  <Application>Microsoft Office Word</Application>
  <DocSecurity>0</DocSecurity>
  <Lines>246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Paulo de França Jr</dc:creator>
  <cp:lastModifiedBy>Jorge Paulo de França Jr</cp:lastModifiedBy>
  <cp:revision>4</cp:revision>
  <dcterms:created xsi:type="dcterms:W3CDTF">2025-10-05T14:52:00Z</dcterms:created>
  <dcterms:modified xsi:type="dcterms:W3CDTF">2025-11-22T13:32:00Z</dcterms:modified>
</cp:coreProperties>
</file>