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spacing w:after="240" w:line="240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MANIFESTAÇÕES CLÍNICAS DA HIPERTERMIA MALIGNA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4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Emily Mikely Silva de Melo¹, Ricardo Eugenio Varela Ayres de Melo².</w:t>
      </w:r>
    </w:p>
    <w:p w:rsidR="00000000" w:rsidDel="00000000" w:rsidP="00000000" w:rsidRDefault="00000000" w:rsidRPr="00000000" w14:paraId="00000004">
      <w:pPr>
        <w:spacing w:after="24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 Acadêmica da Universidade Federal de Pernambuco (UFPE), 2 Professor titular- Universidade Federal de Pernambuco (UFPE); Coordenador do curso de especialização em Cirurgia e Traumatologia Bucomaxilofacial da Universidade Federal de Pernambuco (UFPE) e da Faculdade do Centro Oeste Paulista (FACOP-PE); Chefe do serviço de Cirurgia e Traumatologia  Bucomaxilofacial  - Unidade Mista Francisco de Assis Chateaudbriand. </w:t>
      </w:r>
    </w:p>
    <w:p w:rsidR="00000000" w:rsidDel="00000000" w:rsidP="00000000" w:rsidRDefault="00000000" w:rsidRPr="00000000" w14:paraId="00000005">
      <w:pPr>
        <w:spacing w:after="24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240" w:line="240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(Emily.mikely@ufpe.br)</w:t>
      </w:r>
    </w:p>
    <w:p w:rsidR="00000000" w:rsidDel="00000000" w:rsidP="00000000" w:rsidRDefault="00000000" w:rsidRPr="00000000" w14:paraId="00000007">
      <w:pPr>
        <w:spacing w:after="24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360" w:lineRule="auto"/>
        <w:ind w:left="205" w:right="469" w:firstLine="0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Introdução: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A hipertermia maligna é uma condição genética autossômica dominante na qual promove um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déficit na regulação de cálcio alterando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 a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fisiologia muscular normal. Em pacientes com suscetibilidade, os episódios podem acontecer diante da administração de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 substâncias utilizadas durante a anestesia geral para realização de procedimentos cirúrgicos orais ou no pós-operatóri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o imediato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. A suscetibilidade do indivíduo influ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ê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ncia na quantidade de exposições necessárias das substâncias para desenvolvimento da doença. Trata-se de um distúrbio com alta taxa de mortalidade, devido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à capacidade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 de causar lesão em diversos órgãos.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Objetivo: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Analisar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acerca das manifestações clínicas da hipertermia maligna durante cirurgias bucomaxilofaciais.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Metodologia: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Trata-se de uma revisão integrativa da literatura. Foi realizada uma pesquisa nas bases de dados MEDLINE/PubMed e EMBASE, utilizando os descritores indexados no DeCS/MeSH: ‘Malignant Hyperthermia’, ‘Oral Surgical Procedures’, combinados pelo operador booleano AND. Os critérios de inclusão do presente estudo foram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textos publicados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 entre os anos 2019 e 2024, em inglês, português ou espanhol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 Os critérios de exclusão foram: revisões de literatura, meta-análises, estudos pilotos, artigos de opinião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e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resenhas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Resultados: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Foram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incluídos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10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 estudos para a presente revisão, sendo todos no idioma inglês.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 hipertermia maligna surge após a administração de relaxantes musculares, como a succinilcolina e anestésicos voláteis, como halotano, enflurano, isoflurano, desflurano e sevoflurano. Possui prevalência pelo sexo masculino e as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manifestações clínicas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são causadas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devido a uma hiperatividade dos miócitos, que produzem calor sustentado por contrações musculares. Os sinais e sintomas são a base do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diagnóstico, isso porque são utilizados indicadores clínicos por meio da Escala de Graduação Clínica (ECG) com a finalidade de auxiliar no diagnóstico da crise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. Dentre as diversas manifestações, a condição aguda gera a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umento do metabolismo basal,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taquicardia,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taquipnéia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, febre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que podem atingir 4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1⁰C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, rigidez muscular (principalmente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do músculo masseter)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, cianose e acidose respiratória e metabólica. A taxa de mortalidade pode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chegar a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 80%, desencadead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 por um colapso no sistema cardiovascular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. Em alguns pacientes podem ocorrer episódios de náuseas ou vômitos, e a urina terá aspecto castanho ou sanguinolento.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Considerações Finais: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Dada a gravidade da condição e a altíssima taxa de mortalidade, o conhecimento do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irurgião e Traumatologista Bucomaxilofacial acerca das manifestações clínicas agudas é imprescindível para o diagnóstico precoce e o início rápido das medidas terapêuticas que revertem o quadro.</w:t>
      </w:r>
    </w:p>
    <w:p w:rsidR="00000000" w:rsidDel="00000000" w:rsidP="00000000" w:rsidRDefault="00000000" w:rsidRPr="00000000" w14:paraId="00000009">
      <w:pPr>
        <w:spacing w:after="0" w:before="51" w:line="240" w:lineRule="auto"/>
        <w:ind w:firstLine="205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before="51" w:line="240" w:lineRule="auto"/>
        <w:ind w:firstLine="205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Palavras-chave: Odontologia. Hipertermia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aligna. Procedimentos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irúrgicos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O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rais.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before="69" w:line="240" w:lineRule="auto"/>
        <w:ind w:left="205" w:firstLine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Área Temática: Emergências Cirúrgicas.</w:t>
      </w:r>
      <w:r w:rsidDel="00000000" w:rsidR="00000000" w:rsidRPr="00000000">
        <w:rPr>
          <w:rtl w:val="0"/>
        </w:rPr>
      </w:r>
    </w:p>
    <w:sectPr>
      <w:pgSz w:h="16838" w:w="11906" w:orient="portrait"/>
      <w:pgMar w:bottom="720" w:top="720" w:left="720" w:right="720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Times New Roman"/>
  <w:font w:name="Aptos"/>
  <w:font w:name="Play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ptos" w:cs="Aptos" w:eastAsia="Aptos" w:hAnsi="Aptos"/>
        <w:sz w:val="24"/>
        <w:szCs w:val="24"/>
        <w:lang w:val="pt-BR"/>
      </w:rPr>
    </w:rPrDefault>
    <w:pPrDefault>
      <w:pPr>
        <w:spacing w:after="160" w:line="278.0000000000000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p4V8iBRNNkiN8A30+z3JdAcohBQ==">CgMxLjA4AHIhMTJhdlQ2S2d6MENHWjhjMWhYanp5UjRhOFdKeGFwV0FJ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