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D6" w:rsidRPr="00940EC1" w:rsidRDefault="00C84C15" w:rsidP="00940EC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TERAP</w:t>
      </w:r>
      <w:r w:rsidR="0098764A">
        <w:rPr>
          <w:rFonts w:ascii="Times New Roman" w:hAnsi="Times New Roman" w:cs="Times New Roman"/>
          <w:b/>
          <w:bCs/>
          <w:sz w:val="24"/>
          <w:szCs w:val="24"/>
        </w:rPr>
        <w:t>Ê</w:t>
      </w:r>
      <w:r>
        <w:rPr>
          <w:rFonts w:ascii="Times New Roman" w:hAnsi="Times New Roman" w:cs="Times New Roman"/>
          <w:b/>
          <w:bCs/>
          <w:sz w:val="24"/>
          <w:szCs w:val="24"/>
        </w:rPr>
        <w:t>UTICA ANTICO</w:t>
      </w:r>
      <w:r w:rsidR="00DF78F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GULAN</w:t>
      </w:r>
      <w:r w:rsidR="00DF78FE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E NO TROMBEMBOLISMO CEREBRAL</w:t>
      </w:r>
      <w:r w:rsidR="00DF78F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15A7E">
        <w:rPr>
          <w:rFonts w:ascii="Times New Roman" w:hAnsi="Times New Roman" w:cs="Times New Roman"/>
          <w:b/>
          <w:bCs/>
          <w:sz w:val="24"/>
          <w:szCs w:val="24"/>
        </w:rPr>
        <w:t xml:space="preserve"> À LUZ DAS EVIDÊNCIAS.</w:t>
      </w:r>
      <w:r w:rsidR="0098764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965D6" w:rsidRPr="00CF4DEA" w:rsidRDefault="000C08C5" w:rsidP="00CF4D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8C5">
        <w:rPr>
          <w:rFonts w:ascii="Times New Roman" w:hAnsi="Times New Roman" w:cs="Times New Roman"/>
          <w:sz w:val="24"/>
          <w:szCs w:val="24"/>
        </w:rPr>
        <w:t>Israel Nunes Bezerra</w:t>
      </w:r>
      <w:r w:rsidR="00C965D6" w:rsidRPr="00CF4D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65D6" w:rsidRPr="00CF4DEA">
        <w:rPr>
          <w:rFonts w:ascii="Times New Roman" w:hAnsi="Times New Roman" w:cs="Times New Roman"/>
          <w:sz w:val="24"/>
          <w:szCs w:val="24"/>
        </w:rPr>
        <w:t xml:space="preserve">; </w:t>
      </w:r>
      <w:r w:rsidR="004E6D4E" w:rsidRPr="004E6D4E">
        <w:rPr>
          <w:rFonts w:ascii="Times New Roman" w:hAnsi="Times New Roman" w:cs="Times New Roman"/>
          <w:sz w:val="24"/>
          <w:szCs w:val="24"/>
        </w:rPr>
        <w:t>Amanda Sampaio Carrias</w:t>
      </w:r>
      <w:r w:rsidR="00C965D6" w:rsidRPr="00CF4D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65D6" w:rsidRPr="00CF4DEA">
        <w:rPr>
          <w:rFonts w:ascii="Times New Roman" w:hAnsi="Times New Roman" w:cs="Times New Roman"/>
          <w:sz w:val="24"/>
          <w:szCs w:val="24"/>
        </w:rPr>
        <w:t xml:space="preserve">; </w:t>
      </w:r>
      <w:r w:rsidR="008E2658" w:rsidRPr="008E2658">
        <w:rPr>
          <w:rFonts w:ascii="Times New Roman" w:hAnsi="Times New Roman" w:cs="Times New Roman"/>
          <w:sz w:val="24"/>
          <w:szCs w:val="24"/>
        </w:rPr>
        <w:t>Emiliano Miguel Esteves dos Santos</w:t>
      </w:r>
      <w:r w:rsidR="008E2658" w:rsidRPr="008E26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E2658">
        <w:rPr>
          <w:rFonts w:ascii="Times New Roman" w:hAnsi="Times New Roman" w:cs="Times New Roman"/>
          <w:sz w:val="24"/>
          <w:szCs w:val="24"/>
        </w:rPr>
        <w:t xml:space="preserve">; </w:t>
      </w:r>
      <w:r w:rsidR="001659A3" w:rsidRPr="001659A3">
        <w:rPr>
          <w:rFonts w:ascii="Times New Roman" w:hAnsi="Times New Roman" w:cs="Times New Roman"/>
          <w:sz w:val="24"/>
          <w:szCs w:val="24"/>
        </w:rPr>
        <w:t>Nathália de Macêdo Assunção</w:t>
      </w:r>
      <w:r w:rsidR="00C965D6" w:rsidRPr="00CF4D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65D6" w:rsidRPr="00CF4D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C08C5">
        <w:rPr>
          <w:rFonts w:ascii="Times New Roman" w:hAnsi="Times New Roman" w:cs="Times New Roman"/>
          <w:sz w:val="24"/>
          <w:szCs w:val="24"/>
        </w:rPr>
        <w:t>Rayanne</w:t>
      </w:r>
      <w:proofErr w:type="spellEnd"/>
      <w:r w:rsidRPr="000C08C5">
        <w:rPr>
          <w:rFonts w:ascii="Times New Roman" w:hAnsi="Times New Roman" w:cs="Times New Roman"/>
          <w:sz w:val="24"/>
          <w:szCs w:val="24"/>
        </w:rPr>
        <w:t xml:space="preserve"> Rodrigues Pereira</w:t>
      </w:r>
      <w:r w:rsidRPr="000C08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40669" w:rsidRPr="00940669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="00940669" w:rsidRPr="00940669">
        <w:rPr>
          <w:rFonts w:ascii="Times New Roman" w:hAnsi="Times New Roman" w:cs="Times New Roman"/>
          <w:sz w:val="24"/>
          <w:szCs w:val="24"/>
        </w:rPr>
        <w:t>Goreth</w:t>
      </w:r>
      <w:proofErr w:type="spellEnd"/>
      <w:r w:rsidR="00940669" w:rsidRPr="00940669">
        <w:rPr>
          <w:rFonts w:ascii="Times New Roman" w:hAnsi="Times New Roman" w:cs="Times New Roman"/>
          <w:sz w:val="24"/>
          <w:szCs w:val="24"/>
        </w:rPr>
        <w:t xml:space="preserve"> Pearce de Sousa Silva</w:t>
      </w:r>
      <w:r w:rsidR="00C965D6" w:rsidRPr="00CF4D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65D6" w:rsidRPr="00CF4DEA">
        <w:rPr>
          <w:rFonts w:ascii="Times New Roman" w:hAnsi="Times New Roman" w:cs="Times New Roman"/>
          <w:sz w:val="24"/>
          <w:szCs w:val="24"/>
        </w:rPr>
        <w:t>.</w:t>
      </w:r>
    </w:p>
    <w:p w:rsidR="00C965D6" w:rsidRPr="00CF4DEA" w:rsidRDefault="001D6037" w:rsidP="001B0C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 xml:space="preserve">1- Discente </w:t>
      </w:r>
      <w:r>
        <w:rPr>
          <w:rFonts w:ascii="Times New Roman" w:hAnsi="Times New Roman" w:cs="Times New Roman"/>
          <w:sz w:val="24"/>
          <w:szCs w:val="24"/>
        </w:rPr>
        <w:t xml:space="preserve">membro da </w:t>
      </w:r>
      <w:r w:rsidRPr="00D705AA">
        <w:rPr>
          <w:rFonts w:ascii="Times New Roman" w:hAnsi="Times New Roman" w:cs="Times New Roman"/>
          <w:sz w:val="24"/>
          <w:szCs w:val="24"/>
        </w:rPr>
        <w:t>Liga Acadêmica De Neurointensivismo</w:t>
      </w:r>
      <w:r w:rsidRPr="00CF4DEA">
        <w:rPr>
          <w:rFonts w:ascii="Times New Roman" w:hAnsi="Times New Roman" w:cs="Times New Roman"/>
          <w:sz w:val="24"/>
          <w:szCs w:val="24"/>
        </w:rPr>
        <w:t xml:space="preserve">; 2- </w:t>
      </w:r>
      <w:r>
        <w:rPr>
          <w:rFonts w:ascii="Times New Roman" w:hAnsi="Times New Roman" w:cs="Times New Roman"/>
          <w:sz w:val="24"/>
          <w:szCs w:val="24"/>
        </w:rPr>
        <w:t xml:space="preserve">Docente Coordenadora da </w:t>
      </w:r>
      <w:r w:rsidRPr="00D705AA">
        <w:rPr>
          <w:rFonts w:ascii="Times New Roman" w:hAnsi="Times New Roman" w:cs="Times New Roman"/>
          <w:sz w:val="24"/>
          <w:szCs w:val="24"/>
        </w:rPr>
        <w:t>Liga Acadêmica De Neurointensivismo</w:t>
      </w:r>
      <w:r w:rsidR="00C965D6" w:rsidRPr="00CF4DEA">
        <w:rPr>
          <w:rFonts w:ascii="Times New Roman" w:hAnsi="Times New Roman" w:cs="Times New Roman"/>
          <w:sz w:val="24"/>
          <w:szCs w:val="24"/>
        </w:rPr>
        <w:t>.</w:t>
      </w:r>
    </w:p>
    <w:p w:rsidR="00940EC1" w:rsidRDefault="00CF4DEA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>Área temática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34B1" w:rsidRPr="00850343">
        <w:rPr>
          <w:rFonts w:ascii="Arial" w:hAnsi="Arial" w:cs="Arial"/>
          <w:sz w:val="24"/>
          <w:szCs w:val="24"/>
        </w:rPr>
        <w:t>atenção às necessidades individuais de saúde</w:t>
      </w:r>
      <w:r w:rsidR="001934B1">
        <w:rPr>
          <w:rFonts w:ascii="Arial" w:hAnsi="Arial" w:cs="Arial"/>
          <w:sz w:val="24"/>
          <w:szCs w:val="24"/>
        </w:rPr>
        <w:t>.</w:t>
      </w:r>
    </w:p>
    <w:p w:rsidR="00C965D6" w:rsidRPr="00CF4DEA" w:rsidRDefault="00C965D6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>E-mail:</w:t>
      </w:r>
      <w:r w:rsidR="009E2EE4">
        <w:rPr>
          <w:rFonts w:ascii="Times New Roman" w:hAnsi="Times New Roman" w:cs="Times New Roman"/>
          <w:sz w:val="24"/>
          <w:szCs w:val="24"/>
        </w:rPr>
        <w:t xml:space="preserve"> </w:t>
      </w:r>
      <w:r w:rsidR="00401A1C">
        <w:rPr>
          <w:rFonts w:ascii="Times New Roman" w:hAnsi="Times New Roman" w:cs="Times New Roman"/>
          <w:sz w:val="24"/>
          <w:szCs w:val="24"/>
        </w:rPr>
        <w:t>israelnunes.13@gmail.com</w:t>
      </w:r>
    </w:p>
    <w:p w:rsidR="00AE4B44" w:rsidRDefault="00C965D6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DE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084418" w:rsidRPr="00542F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84418">
        <w:rPr>
          <w:rFonts w:ascii="Times New Roman" w:hAnsi="Times New Roman" w:cs="Times New Roman"/>
          <w:sz w:val="24"/>
          <w:szCs w:val="24"/>
        </w:rPr>
        <w:t xml:space="preserve"> </w:t>
      </w:r>
      <w:r w:rsidR="00084418" w:rsidRPr="00840DB6">
        <w:rPr>
          <w:rFonts w:ascii="Times New Roman" w:hAnsi="Times New Roman" w:cs="Times New Roman"/>
          <w:sz w:val="24"/>
          <w:szCs w:val="24"/>
        </w:rPr>
        <w:t>O tromboembolismo veno</w:t>
      </w:r>
      <w:r w:rsidR="00084418">
        <w:rPr>
          <w:rFonts w:ascii="Times New Roman" w:hAnsi="Times New Roman" w:cs="Times New Roman"/>
          <w:sz w:val="24"/>
          <w:szCs w:val="24"/>
        </w:rPr>
        <w:t xml:space="preserve">so (TEV) afeta </w:t>
      </w:r>
      <w:r w:rsidR="00084418" w:rsidRPr="00840DB6">
        <w:rPr>
          <w:rFonts w:ascii="Times New Roman" w:hAnsi="Times New Roman" w:cs="Times New Roman"/>
          <w:sz w:val="24"/>
          <w:szCs w:val="24"/>
        </w:rPr>
        <w:t xml:space="preserve">aproximadamente 1–2% da população em geral. Entre os principais fatores de risco associados ao tromboembolismo venoso cerebral (TVC) estão tumores cerebrais, infecção, trauma, malformação arteriovenosa, uso de contraceptivos orais, gravidez, puerpério e </w:t>
      </w:r>
      <w:proofErr w:type="spellStart"/>
      <w:r w:rsidR="00084418" w:rsidRPr="00840DB6">
        <w:rPr>
          <w:rFonts w:ascii="Times New Roman" w:hAnsi="Times New Roman" w:cs="Times New Roman"/>
          <w:sz w:val="24"/>
          <w:szCs w:val="24"/>
        </w:rPr>
        <w:t>trombofilia</w:t>
      </w:r>
      <w:proofErr w:type="spellEnd"/>
      <w:r w:rsidR="00084418" w:rsidRPr="00840DB6">
        <w:rPr>
          <w:rFonts w:ascii="Times New Roman" w:hAnsi="Times New Roman" w:cs="Times New Roman"/>
          <w:sz w:val="24"/>
          <w:szCs w:val="24"/>
        </w:rPr>
        <w:t xml:space="preserve"> herdada. Apesar das taxas mais altas de desenvolvimento de TEV, os neurocirurgiões hesitam em prescrever anticoagulantes pós-operatórios por medo de hemorragia. As medidas profiláticas padrão para TEV incluem </w:t>
      </w:r>
      <w:proofErr w:type="spellStart"/>
      <w:r w:rsidR="00084418" w:rsidRPr="00840DB6">
        <w:rPr>
          <w:rFonts w:ascii="Times New Roman" w:hAnsi="Times New Roman" w:cs="Times New Roman"/>
          <w:sz w:val="24"/>
          <w:szCs w:val="24"/>
        </w:rPr>
        <w:t>anticoagulação</w:t>
      </w:r>
      <w:proofErr w:type="spellEnd"/>
      <w:r w:rsidR="00084418" w:rsidRPr="00840DB6">
        <w:rPr>
          <w:rFonts w:ascii="Times New Roman" w:hAnsi="Times New Roman" w:cs="Times New Roman"/>
          <w:sz w:val="24"/>
          <w:szCs w:val="24"/>
        </w:rPr>
        <w:t xml:space="preserve"> química, profilaxia mecânica e deambulação aumentada durante o período pós-operatório.</w:t>
      </w:r>
      <w:r w:rsidR="00940EC1">
        <w:rPr>
          <w:rFonts w:ascii="Times New Roman" w:hAnsi="Times New Roman" w:cs="Times New Roman"/>
          <w:sz w:val="24"/>
          <w:szCs w:val="24"/>
        </w:rPr>
        <w:t xml:space="preserve"> </w:t>
      </w:r>
      <w:r w:rsidRPr="00542FDE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CF4DEA">
        <w:rPr>
          <w:rFonts w:ascii="Times New Roman" w:hAnsi="Times New Roman" w:cs="Times New Roman"/>
          <w:sz w:val="24"/>
          <w:szCs w:val="24"/>
        </w:rPr>
        <w:t xml:space="preserve"> </w:t>
      </w:r>
      <w:r w:rsidR="00125C5A">
        <w:rPr>
          <w:rFonts w:ascii="Times New Roman" w:hAnsi="Times New Roman" w:cs="Times New Roman"/>
          <w:sz w:val="24"/>
          <w:szCs w:val="24"/>
        </w:rPr>
        <w:t xml:space="preserve">Encontrar </w:t>
      </w:r>
      <w:r w:rsidR="00084418">
        <w:rPr>
          <w:rFonts w:ascii="Times New Roman" w:hAnsi="Times New Roman" w:cs="Times New Roman"/>
          <w:sz w:val="24"/>
          <w:szCs w:val="24"/>
        </w:rPr>
        <w:t xml:space="preserve">evidências cientifica </w:t>
      </w:r>
      <w:r w:rsidRPr="00CF4DEA">
        <w:rPr>
          <w:rFonts w:ascii="Times New Roman" w:hAnsi="Times New Roman" w:cs="Times New Roman"/>
          <w:sz w:val="24"/>
          <w:szCs w:val="24"/>
        </w:rPr>
        <w:t xml:space="preserve">que possibilitem </w:t>
      </w:r>
      <w:r w:rsidR="00084418">
        <w:rPr>
          <w:rFonts w:ascii="Times New Roman" w:hAnsi="Times New Roman" w:cs="Times New Roman"/>
          <w:sz w:val="24"/>
          <w:szCs w:val="24"/>
        </w:rPr>
        <w:t>a</w:t>
      </w:r>
      <w:r w:rsidRPr="00CF4DEA">
        <w:rPr>
          <w:rFonts w:ascii="Times New Roman" w:hAnsi="Times New Roman" w:cs="Times New Roman"/>
          <w:sz w:val="24"/>
          <w:szCs w:val="24"/>
        </w:rPr>
        <w:t>o</w:t>
      </w:r>
      <w:r w:rsidR="00125C5A">
        <w:rPr>
          <w:rFonts w:ascii="Times New Roman" w:hAnsi="Times New Roman" w:cs="Times New Roman"/>
          <w:sz w:val="24"/>
          <w:szCs w:val="24"/>
        </w:rPr>
        <w:t xml:space="preserve"> profissional</w:t>
      </w:r>
      <w:r w:rsidRPr="00CF4DEA">
        <w:rPr>
          <w:rFonts w:ascii="Times New Roman" w:hAnsi="Times New Roman" w:cs="Times New Roman"/>
          <w:sz w:val="24"/>
          <w:szCs w:val="24"/>
        </w:rPr>
        <w:t xml:space="preserve"> médico </w:t>
      </w:r>
      <w:r w:rsidR="00A00E7F">
        <w:rPr>
          <w:rFonts w:ascii="Times New Roman" w:hAnsi="Times New Roman" w:cs="Times New Roman"/>
          <w:sz w:val="24"/>
          <w:szCs w:val="24"/>
        </w:rPr>
        <w:t xml:space="preserve">discernir sobre </w:t>
      </w:r>
      <w:r w:rsidR="00125C5A">
        <w:rPr>
          <w:rFonts w:ascii="Times New Roman" w:hAnsi="Times New Roman" w:cs="Times New Roman"/>
          <w:sz w:val="24"/>
          <w:szCs w:val="24"/>
        </w:rPr>
        <w:t>os aspectos relevantes na relação entre</w:t>
      </w:r>
      <w:r w:rsidR="00084418">
        <w:rPr>
          <w:rFonts w:ascii="Times New Roman" w:hAnsi="Times New Roman" w:cs="Times New Roman"/>
          <w:sz w:val="24"/>
          <w:szCs w:val="24"/>
        </w:rPr>
        <w:t xml:space="preserve"> o manejo do </w:t>
      </w:r>
      <w:r w:rsidR="00F8355F" w:rsidRPr="00125C5A">
        <w:rPr>
          <w:rFonts w:ascii="Times New Roman" w:hAnsi="Times New Roman" w:cs="Times New Roman"/>
          <w:sz w:val="24"/>
          <w:szCs w:val="24"/>
        </w:rPr>
        <w:t>t</w:t>
      </w:r>
      <w:r w:rsidR="00F8355F">
        <w:rPr>
          <w:rFonts w:ascii="Times New Roman" w:hAnsi="Times New Roman" w:cs="Times New Roman"/>
          <w:sz w:val="24"/>
          <w:szCs w:val="24"/>
        </w:rPr>
        <w:t>r</w:t>
      </w:r>
      <w:r w:rsidR="00F8355F" w:rsidRPr="00125C5A">
        <w:rPr>
          <w:rFonts w:ascii="Times New Roman" w:hAnsi="Times New Roman" w:cs="Times New Roman"/>
          <w:sz w:val="24"/>
          <w:szCs w:val="24"/>
        </w:rPr>
        <w:t>omboembolismo</w:t>
      </w:r>
      <w:r w:rsidR="00145C4D" w:rsidRPr="00125C5A">
        <w:rPr>
          <w:rFonts w:ascii="Times New Roman" w:hAnsi="Times New Roman" w:cs="Times New Roman"/>
          <w:sz w:val="24"/>
          <w:szCs w:val="24"/>
        </w:rPr>
        <w:t xml:space="preserve"> e</w:t>
      </w:r>
      <w:r w:rsidR="00084418">
        <w:rPr>
          <w:rFonts w:ascii="Times New Roman" w:hAnsi="Times New Roman" w:cs="Times New Roman"/>
          <w:sz w:val="24"/>
          <w:szCs w:val="24"/>
        </w:rPr>
        <w:t xml:space="preserve"> suas</w:t>
      </w:r>
      <w:r w:rsidR="00145C4D" w:rsidRPr="00125C5A">
        <w:rPr>
          <w:rFonts w:ascii="Times New Roman" w:hAnsi="Times New Roman" w:cs="Times New Roman"/>
          <w:sz w:val="24"/>
          <w:szCs w:val="24"/>
        </w:rPr>
        <w:t xml:space="preserve"> consequências </w:t>
      </w:r>
      <w:r w:rsidR="00F8355F">
        <w:rPr>
          <w:rFonts w:ascii="Times New Roman" w:hAnsi="Times New Roman" w:cs="Times New Roman"/>
          <w:sz w:val="24"/>
          <w:szCs w:val="24"/>
        </w:rPr>
        <w:t>para o encéfalo.</w:t>
      </w:r>
      <w:r w:rsidR="00940EC1">
        <w:rPr>
          <w:rFonts w:ascii="Times New Roman" w:hAnsi="Times New Roman" w:cs="Times New Roman"/>
          <w:sz w:val="24"/>
          <w:szCs w:val="24"/>
        </w:rPr>
        <w:t xml:space="preserve"> </w:t>
      </w:r>
      <w:r w:rsidRPr="00542FDE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545782" w:rsidRPr="00542F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45782">
        <w:rPr>
          <w:rFonts w:ascii="Times New Roman" w:hAnsi="Times New Roman" w:cs="Times New Roman"/>
          <w:sz w:val="24"/>
          <w:szCs w:val="24"/>
        </w:rPr>
        <w:t xml:space="preserve"> </w:t>
      </w:r>
      <w:r w:rsidR="00545782" w:rsidRPr="00A55486">
        <w:rPr>
          <w:rFonts w:ascii="Times New Roman" w:hAnsi="Times New Roman" w:cs="Times New Roman"/>
          <w:sz w:val="24"/>
          <w:szCs w:val="24"/>
        </w:rPr>
        <w:t>Trata-se de uma revisão de literatura com abordagem qualitativa e quantitativa, na qual utilizou</w:t>
      </w:r>
      <w:r w:rsidR="00552C24">
        <w:rPr>
          <w:rFonts w:ascii="Times New Roman" w:hAnsi="Times New Roman" w:cs="Times New Roman"/>
          <w:sz w:val="24"/>
          <w:szCs w:val="24"/>
        </w:rPr>
        <w:t>-se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 a</w:t>
      </w:r>
      <w:r w:rsidR="00552C24">
        <w:rPr>
          <w:rFonts w:ascii="Times New Roman" w:hAnsi="Times New Roman" w:cs="Times New Roman"/>
          <w:sz w:val="24"/>
          <w:szCs w:val="24"/>
        </w:rPr>
        <w:t>s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 base</w:t>
      </w:r>
      <w:r w:rsidR="00552C24">
        <w:rPr>
          <w:rFonts w:ascii="Times New Roman" w:hAnsi="Times New Roman" w:cs="Times New Roman"/>
          <w:sz w:val="24"/>
          <w:szCs w:val="24"/>
        </w:rPr>
        <w:t>s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 de dado</w:t>
      </w:r>
      <w:r w:rsidR="00552C24">
        <w:rPr>
          <w:rFonts w:ascii="Times New Roman" w:hAnsi="Times New Roman" w:cs="Times New Roman"/>
          <w:sz w:val="24"/>
          <w:szCs w:val="24"/>
        </w:rPr>
        <w:t>s</w:t>
      </w:r>
      <w:r w:rsidR="0008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782" w:rsidRPr="00AE0F72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552C24">
        <w:rPr>
          <w:rFonts w:ascii="Times New Roman" w:hAnsi="Times New Roman" w:cs="Times New Roman"/>
          <w:sz w:val="24"/>
          <w:szCs w:val="24"/>
        </w:rPr>
        <w:t xml:space="preserve"> e</w:t>
      </w:r>
      <w:r w:rsidR="0008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C24" w:rsidRPr="00552C24">
        <w:rPr>
          <w:rFonts w:ascii="Times New Roman" w:hAnsi="Times New Roman" w:cs="Times New Roman"/>
          <w:sz w:val="24"/>
          <w:szCs w:val="24"/>
        </w:rPr>
        <w:t>ScienceDirect</w:t>
      </w:r>
      <w:proofErr w:type="spellEnd"/>
      <w:r w:rsidR="00545782">
        <w:rPr>
          <w:rFonts w:ascii="Times New Roman" w:hAnsi="Times New Roman" w:cs="Times New Roman"/>
          <w:sz w:val="24"/>
          <w:szCs w:val="24"/>
        </w:rPr>
        <w:t xml:space="preserve"> para compilação dos artigos</w:t>
      </w:r>
      <w:r w:rsidR="00545782" w:rsidRPr="00A55486">
        <w:rPr>
          <w:rFonts w:ascii="Times New Roman" w:hAnsi="Times New Roman" w:cs="Times New Roman"/>
          <w:sz w:val="24"/>
          <w:szCs w:val="24"/>
        </w:rPr>
        <w:t>. A estratégia de buscas aplicáveis para</w:t>
      </w:r>
      <w:r w:rsidR="00084418">
        <w:rPr>
          <w:rFonts w:ascii="Times New Roman" w:hAnsi="Times New Roman" w:cs="Times New Roman"/>
          <w:sz w:val="24"/>
          <w:szCs w:val="24"/>
        </w:rPr>
        <w:t xml:space="preserve"> seleção dos artigos empregou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 as palavras chaves, no idioma inglês: </w:t>
      </w:r>
      <w:proofErr w:type="spellStart"/>
      <w:r w:rsidR="00952AB2" w:rsidRPr="00952AB2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="00952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DE2" w:rsidRPr="00551DE2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952AB2">
        <w:rPr>
          <w:rFonts w:ascii="Times New Roman" w:hAnsi="Times New Roman" w:cs="Times New Roman"/>
          <w:sz w:val="24"/>
          <w:szCs w:val="24"/>
        </w:rPr>
        <w:t>,</w:t>
      </w:r>
      <w:r w:rsidR="0008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418">
        <w:rPr>
          <w:rFonts w:ascii="Times New Roman" w:hAnsi="Times New Roman" w:cs="Times New Roman"/>
          <w:sz w:val="24"/>
          <w:szCs w:val="24"/>
        </w:rPr>
        <w:t>thromboembolism</w:t>
      </w:r>
      <w:proofErr w:type="spellEnd"/>
      <w:r w:rsidR="00084418">
        <w:rPr>
          <w:rFonts w:ascii="Times New Roman" w:hAnsi="Times New Roman" w:cs="Times New Roman"/>
          <w:sz w:val="24"/>
          <w:szCs w:val="24"/>
        </w:rPr>
        <w:t xml:space="preserve"> e aplicou-se o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 Operador Booleano “</w:t>
      </w:r>
      <w:proofErr w:type="spellStart"/>
      <w:r w:rsidR="00545782" w:rsidRPr="00A554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45782" w:rsidRPr="00A55486">
        <w:rPr>
          <w:rFonts w:ascii="Times New Roman" w:hAnsi="Times New Roman" w:cs="Times New Roman"/>
          <w:sz w:val="24"/>
          <w:szCs w:val="24"/>
        </w:rPr>
        <w:t xml:space="preserve">”. </w:t>
      </w:r>
      <w:r w:rsidR="00545782">
        <w:rPr>
          <w:rFonts w:ascii="Times New Roman" w:hAnsi="Times New Roman" w:cs="Times New Roman"/>
          <w:sz w:val="24"/>
          <w:szCs w:val="24"/>
        </w:rPr>
        <w:t>Dessa maneira, f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oram selecionados </w:t>
      </w:r>
      <w:r w:rsidR="00545782">
        <w:rPr>
          <w:rFonts w:ascii="Times New Roman" w:hAnsi="Times New Roman" w:cs="Times New Roman"/>
          <w:sz w:val="24"/>
          <w:szCs w:val="24"/>
        </w:rPr>
        <w:t>1</w:t>
      </w:r>
      <w:r w:rsidR="00EA1F61">
        <w:rPr>
          <w:rFonts w:ascii="Times New Roman" w:hAnsi="Times New Roman" w:cs="Times New Roman"/>
          <w:sz w:val="24"/>
          <w:szCs w:val="24"/>
        </w:rPr>
        <w:t>0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 artigos</w:t>
      </w:r>
      <w:r w:rsidR="00545782">
        <w:rPr>
          <w:rFonts w:ascii="Times New Roman" w:hAnsi="Times New Roman" w:cs="Times New Roman"/>
          <w:sz w:val="24"/>
          <w:szCs w:val="24"/>
        </w:rPr>
        <w:t xml:space="preserve"> com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 publica</w:t>
      </w:r>
      <w:r w:rsidR="00545782">
        <w:rPr>
          <w:rFonts w:ascii="Times New Roman" w:hAnsi="Times New Roman" w:cs="Times New Roman"/>
          <w:sz w:val="24"/>
          <w:szCs w:val="24"/>
        </w:rPr>
        <w:t>çõe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s </w:t>
      </w:r>
      <w:r w:rsidR="00545782">
        <w:rPr>
          <w:rFonts w:ascii="Times New Roman" w:hAnsi="Times New Roman" w:cs="Times New Roman"/>
          <w:sz w:val="24"/>
          <w:szCs w:val="24"/>
        </w:rPr>
        <w:t xml:space="preserve">nos anos de </w:t>
      </w:r>
      <w:r w:rsidR="00545782" w:rsidRPr="00A55486">
        <w:rPr>
          <w:rFonts w:ascii="Times New Roman" w:hAnsi="Times New Roman" w:cs="Times New Roman"/>
          <w:sz w:val="24"/>
          <w:szCs w:val="24"/>
        </w:rPr>
        <w:t>20</w:t>
      </w:r>
      <w:r w:rsidR="00545782">
        <w:rPr>
          <w:rFonts w:ascii="Times New Roman" w:hAnsi="Times New Roman" w:cs="Times New Roman"/>
          <w:sz w:val="24"/>
          <w:szCs w:val="24"/>
        </w:rPr>
        <w:t>0</w:t>
      </w:r>
      <w:r w:rsidR="00C81288">
        <w:rPr>
          <w:rFonts w:ascii="Times New Roman" w:hAnsi="Times New Roman" w:cs="Times New Roman"/>
          <w:sz w:val="24"/>
          <w:szCs w:val="24"/>
        </w:rPr>
        <w:t>7</w:t>
      </w:r>
      <w:r w:rsidR="00084418">
        <w:rPr>
          <w:rFonts w:ascii="Times New Roman" w:hAnsi="Times New Roman" w:cs="Times New Roman"/>
          <w:sz w:val="24"/>
          <w:szCs w:val="24"/>
        </w:rPr>
        <w:t xml:space="preserve"> </w:t>
      </w:r>
      <w:r w:rsidR="00545782">
        <w:rPr>
          <w:rFonts w:ascii="Times New Roman" w:hAnsi="Times New Roman" w:cs="Times New Roman"/>
          <w:sz w:val="24"/>
          <w:szCs w:val="24"/>
        </w:rPr>
        <w:t xml:space="preserve">a </w:t>
      </w:r>
      <w:r w:rsidR="00545782" w:rsidRPr="00A55486">
        <w:rPr>
          <w:rFonts w:ascii="Times New Roman" w:hAnsi="Times New Roman" w:cs="Times New Roman"/>
          <w:sz w:val="24"/>
          <w:szCs w:val="24"/>
        </w:rPr>
        <w:t>2019.</w:t>
      </w:r>
      <w:r w:rsidR="00940EC1">
        <w:rPr>
          <w:rFonts w:ascii="Times New Roman" w:hAnsi="Times New Roman" w:cs="Times New Roman"/>
          <w:sz w:val="24"/>
          <w:szCs w:val="24"/>
        </w:rPr>
        <w:t xml:space="preserve"> </w:t>
      </w:r>
      <w:r w:rsidRPr="00542FDE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AF580E" w:rsidRPr="00542F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603E3">
        <w:rPr>
          <w:rFonts w:ascii="Times New Roman" w:hAnsi="Times New Roman" w:cs="Times New Roman"/>
          <w:sz w:val="24"/>
          <w:szCs w:val="24"/>
        </w:rPr>
        <w:t xml:space="preserve"> O total de 10 artigos foram revisados, dentre esses 2 demonstraram evidencias relacionadas ao uso de </w:t>
      </w:r>
      <w:proofErr w:type="spellStart"/>
      <w:r w:rsidR="000603E3">
        <w:rPr>
          <w:rFonts w:ascii="Times New Roman" w:hAnsi="Times New Roman" w:cs="Times New Roman"/>
          <w:sz w:val="24"/>
          <w:szCs w:val="24"/>
        </w:rPr>
        <w:t>tromboprofilaxia</w:t>
      </w:r>
      <w:proofErr w:type="spellEnd"/>
      <w:r w:rsidR="000603E3">
        <w:rPr>
          <w:rFonts w:ascii="Times New Roman" w:hAnsi="Times New Roman" w:cs="Times New Roman"/>
          <w:sz w:val="24"/>
          <w:szCs w:val="24"/>
        </w:rPr>
        <w:t xml:space="preserve"> anticoagulante em pacientes com tumores cerebrais, sendo considerado redução na incidência de TEV nesses pacientes. Além </w:t>
      </w:r>
      <w:r w:rsidR="00AE6A39">
        <w:rPr>
          <w:rFonts w:ascii="Times New Roman" w:hAnsi="Times New Roman" w:cs="Times New Roman"/>
          <w:sz w:val="24"/>
          <w:szCs w:val="24"/>
        </w:rPr>
        <w:t>disso, outros dois</w:t>
      </w:r>
      <w:r w:rsidR="000603E3">
        <w:rPr>
          <w:rFonts w:ascii="Times New Roman" w:hAnsi="Times New Roman" w:cs="Times New Roman"/>
          <w:sz w:val="24"/>
          <w:szCs w:val="24"/>
        </w:rPr>
        <w:t xml:space="preserve"> artigos </w:t>
      </w:r>
      <w:r w:rsidR="00AE6A39">
        <w:rPr>
          <w:rFonts w:ascii="Times New Roman" w:hAnsi="Times New Roman" w:cs="Times New Roman"/>
          <w:sz w:val="24"/>
          <w:szCs w:val="24"/>
        </w:rPr>
        <w:t xml:space="preserve">avaliados </w:t>
      </w:r>
      <w:r w:rsidR="000603E3">
        <w:rPr>
          <w:rFonts w:ascii="Times New Roman" w:hAnsi="Times New Roman" w:cs="Times New Roman"/>
          <w:sz w:val="24"/>
          <w:szCs w:val="24"/>
        </w:rPr>
        <w:t xml:space="preserve">não </w:t>
      </w:r>
      <w:r w:rsidR="00AE6A39">
        <w:rPr>
          <w:rFonts w:ascii="Times New Roman" w:hAnsi="Times New Roman" w:cs="Times New Roman"/>
          <w:sz w:val="24"/>
          <w:szCs w:val="24"/>
        </w:rPr>
        <w:t>obtiveram di</w:t>
      </w:r>
      <w:r w:rsidR="000603E3">
        <w:rPr>
          <w:rFonts w:ascii="Times New Roman" w:hAnsi="Times New Roman" w:cs="Times New Roman"/>
          <w:sz w:val="24"/>
          <w:szCs w:val="24"/>
        </w:rPr>
        <w:t xml:space="preserve">ferenças significativas comprovadas entre o uso precoce ou tardio de </w:t>
      </w:r>
      <w:proofErr w:type="spellStart"/>
      <w:r w:rsidR="000603E3">
        <w:rPr>
          <w:rFonts w:ascii="Times New Roman" w:hAnsi="Times New Roman" w:cs="Times New Roman"/>
          <w:sz w:val="24"/>
          <w:szCs w:val="24"/>
        </w:rPr>
        <w:t>tromboprofilaxia</w:t>
      </w:r>
      <w:proofErr w:type="spellEnd"/>
      <w:r w:rsidR="000603E3">
        <w:rPr>
          <w:rFonts w:ascii="Times New Roman" w:hAnsi="Times New Roman" w:cs="Times New Roman"/>
          <w:sz w:val="24"/>
          <w:szCs w:val="24"/>
        </w:rPr>
        <w:t xml:space="preserve"> em pacientes com trauma crânio encefálico, sendo necessário mais estudos quanto ao tempo de introdução desse, entretanto, sua indicação como profilaxia de TEV </w:t>
      </w:r>
      <w:r w:rsidR="00AE6A39">
        <w:rPr>
          <w:rFonts w:ascii="Times New Roman" w:hAnsi="Times New Roman" w:cs="Times New Roman"/>
          <w:sz w:val="24"/>
          <w:szCs w:val="24"/>
        </w:rPr>
        <w:t>está</w:t>
      </w:r>
      <w:r w:rsidR="000603E3">
        <w:rPr>
          <w:rFonts w:ascii="Times New Roman" w:hAnsi="Times New Roman" w:cs="Times New Roman"/>
          <w:sz w:val="24"/>
          <w:szCs w:val="24"/>
        </w:rPr>
        <w:t xml:space="preserve"> bem justificada devido a incidência de TEV nesses pacientes. Há um estudo realizado em ratos que sugerem função </w:t>
      </w:r>
      <w:proofErr w:type="spellStart"/>
      <w:r w:rsidR="000603E3">
        <w:rPr>
          <w:rFonts w:ascii="Times New Roman" w:hAnsi="Times New Roman" w:cs="Times New Roman"/>
          <w:sz w:val="24"/>
          <w:szCs w:val="24"/>
        </w:rPr>
        <w:t>neuroprotetora</w:t>
      </w:r>
      <w:proofErr w:type="spellEnd"/>
      <w:r w:rsidR="000603E3">
        <w:rPr>
          <w:rFonts w:ascii="Times New Roman" w:hAnsi="Times New Roman" w:cs="Times New Roman"/>
          <w:sz w:val="24"/>
          <w:szCs w:val="24"/>
        </w:rPr>
        <w:t xml:space="preserve"> do uso de </w:t>
      </w:r>
      <w:proofErr w:type="spellStart"/>
      <w:r w:rsidR="000603E3">
        <w:rPr>
          <w:rFonts w:ascii="Times New Roman" w:hAnsi="Times New Roman" w:cs="Times New Roman"/>
          <w:sz w:val="24"/>
          <w:szCs w:val="24"/>
        </w:rPr>
        <w:t>glicirrizina</w:t>
      </w:r>
      <w:proofErr w:type="spellEnd"/>
      <w:r w:rsidR="000603E3">
        <w:rPr>
          <w:rFonts w:ascii="Times New Roman" w:hAnsi="Times New Roman" w:cs="Times New Roman"/>
          <w:sz w:val="24"/>
          <w:szCs w:val="24"/>
        </w:rPr>
        <w:t>, que se mostrou relativamente confiável na lesão cerebral, contudo, estudos em hu</w:t>
      </w:r>
      <w:r w:rsidR="00AE6A39">
        <w:rPr>
          <w:rFonts w:ascii="Times New Roman" w:hAnsi="Times New Roman" w:cs="Times New Roman"/>
          <w:sz w:val="24"/>
          <w:szCs w:val="24"/>
        </w:rPr>
        <w:t>manos são necessários</w:t>
      </w:r>
      <w:r w:rsidR="000603E3">
        <w:rPr>
          <w:rFonts w:ascii="Times New Roman" w:hAnsi="Times New Roman" w:cs="Times New Roman"/>
          <w:sz w:val="24"/>
          <w:szCs w:val="24"/>
        </w:rPr>
        <w:t xml:space="preserve">. </w:t>
      </w:r>
      <w:r w:rsidR="00AE6A39">
        <w:rPr>
          <w:rFonts w:ascii="Times New Roman" w:hAnsi="Times New Roman" w:cs="Times New Roman"/>
          <w:sz w:val="24"/>
          <w:szCs w:val="24"/>
        </w:rPr>
        <w:t xml:space="preserve">Outrossim, foi avaliado em um dos artigos pacientes com deficiência de </w:t>
      </w:r>
      <w:bookmarkStart w:id="0" w:name="_GoBack"/>
      <w:proofErr w:type="spellStart"/>
      <w:r w:rsidR="00AE6A39">
        <w:rPr>
          <w:rFonts w:ascii="Times New Roman" w:hAnsi="Times New Roman" w:cs="Times New Roman"/>
          <w:sz w:val="24"/>
          <w:szCs w:val="24"/>
        </w:rPr>
        <w:t>metilenotetrahidrofolato-redutase</w:t>
      </w:r>
      <w:proofErr w:type="spellEnd"/>
      <w:r w:rsidR="00AE6A39">
        <w:rPr>
          <w:rFonts w:ascii="Times New Roman" w:hAnsi="Times New Roman" w:cs="Times New Roman"/>
          <w:sz w:val="24"/>
          <w:szCs w:val="24"/>
        </w:rPr>
        <w:t xml:space="preserve"> onde foi obtido resposta parcial e melhora clinica ao </w:t>
      </w:r>
      <w:bookmarkEnd w:id="0"/>
      <w:r w:rsidR="00AE6A39">
        <w:rPr>
          <w:rFonts w:ascii="Times New Roman" w:hAnsi="Times New Roman" w:cs="Times New Roman"/>
          <w:sz w:val="24"/>
          <w:szCs w:val="24"/>
        </w:rPr>
        <w:t xml:space="preserve">TEV com terapia por </w:t>
      </w:r>
      <w:proofErr w:type="spellStart"/>
      <w:r w:rsidR="00AE6A39">
        <w:rPr>
          <w:rFonts w:ascii="Times New Roman" w:hAnsi="Times New Roman" w:cs="Times New Roman"/>
          <w:sz w:val="24"/>
          <w:szCs w:val="24"/>
        </w:rPr>
        <w:t>betaína</w:t>
      </w:r>
      <w:proofErr w:type="spellEnd"/>
      <w:r w:rsidR="00AE6A39">
        <w:rPr>
          <w:rFonts w:ascii="Times New Roman" w:hAnsi="Times New Roman" w:cs="Times New Roman"/>
          <w:sz w:val="24"/>
          <w:szCs w:val="24"/>
        </w:rPr>
        <w:t xml:space="preserve"> e multivitaminas (B12, B6 e metionina). Duas técnicas de </w:t>
      </w:r>
      <w:proofErr w:type="spellStart"/>
      <w:r w:rsidR="00AE6A39">
        <w:rPr>
          <w:rFonts w:ascii="Times New Roman" w:hAnsi="Times New Roman" w:cs="Times New Roman"/>
          <w:sz w:val="24"/>
          <w:szCs w:val="24"/>
        </w:rPr>
        <w:t>trombectomia</w:t>
      </w:r>
      <w:proofErr w:type="spellEnd"/>
      <w:r w:rsidR="00AE6A39">
        <w:rPr>
          <w:rFonts w:ascii="Times New Roman" w:hAnsi="Times New Roman" w:cs="Times New Roman"/>
          <w:sz w:val="24"/>
          <w:szCs w:val="24"/>
        </w:rPr>
        <w:t xml:space="preserve"> também foram avaliadas por um estudo multicêntrico, randomizado, aberto, em 15 locais, onde a técnica de </w:t>
      </w:r>
      <w:proofErr w:type="spellStart"/>
      <w:r w:rsidR="00AE6A39">
        <w:rPr>
          <w:rFonts w:ascii="Times New Roman" w:hAnsi="Times New Roman" w:cs="Times New Roman"/>
          <w:sz w:val="24"/>
          <w:szCs w:val="24"/>
        </w:rPr>
        <w:t>trombectomia</w:t>
      </w:r>
      <w:proofErr w:type="spellEnd"/>
      <w:r w:rsidR="00AE6A39">
        <w:rPr>
          <w:rFonts w:ascii="Times New Roman" w:hAnsi="Times New Roman" w:cs="Times New Roman"/>
          <w:sz w:val="24"/>
          <w:szCs w:val="24"/>
        </w:rPr>
        <w:t xml:space="preserve"> por aspiração foi indicada como alternativa à </w:t>
      </w:r>
      <w:proofErr w:type="spellStart"/>
      <w:r w:rsidR="00AE6A39">
        <w:rPr>
          <w:rFonts w:ascii="Times New Roman" w:hAnsi="Times New Roman" w:cs="Times New Roman"/>
          <w:sz w:val="24"/>
          <w:szCs w:val="24"/>
        </w:rPr>
        <w:t>trombectomia</w:t>
      </w:r>
      <w:proofErr w:type="spellEnd"/>
      <w:r w:rsidR="00AE6A39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AE6A39">
        <w:rPr>
          <w:rFonts w:ascii="Times New Roman" w:hAnsi="Times New Roman" w:cs="Times New Roman"/>
          <w:sz w:val="24"/>
          <w:szCs w:val="24"/>
        </w:rPr>
        <w:t>stent</w:t>
      </w:r>
      <w:proofErr w:type="spellEnd"/>
      <w:r w:rsidR="00AE6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39">
        <w:rPr>
          <w:rFonts w:ascii="Times New Roman" w:hAnsi="Times New Roman" w:cs="Times New Roman"/>
          <w:sz w:val="24"/>
          <w:szCs w:val="24"/>
        </w:rPr>
        <w:t>retriever</w:t>
      </w:r>
      <w:proofErr w:type="spellEnd"/>
      <w:r w:rsidR="00AE6A39">
        <w:rPr>
          <w:rFonts w:ascii="Times New Roman" w:hAnsi="Times New Roman" w:cs="Times New Roman"/>
          <w:sz w:val="24"/>
          <w:szCs w:val="24"/>
        </w:rPr>
        <w:t xml:space="preserve"> como terapia de primeira linha em acidente vascular cerebral. O total de três artigos nãos levantaram eviden</w:t>
      </w:r>
      <w:r w:rsidR="006A2514">
        <w:rPr>
          <w:rFonts w:ascii="Times New Roman" w:hAnsi="Times New Roman" w:cs="Times New Roman"/>
          <w:sz w:val="24"/>
          <w:szCs w:val="24"/>
        </w:rPr>
        <w:t>cias sobre o tratamento de TEV.</w:t>
      </w:r>
      <w:r w:rsidR="00940EC1">
        <w:rPr>
          <w:rFonts w:ascii="Times New Roman" w:hAnsi="Times New Roman" w:cs="Times New Roman"/>
          <w:sz w:val="24"/>
          <w:szCs w:val="24"/>
        </w:rPr>
        <w:t xml:space="preserve"> </w:t>
      </w:r>
      <w:r w:rsidR="008A7606" w:rsidRPr="00542FDE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940EC1">
        <w:rPr>
          <w:rFonts w:ascii="Times New Roman" w:hAnsi="Times New Roman" w:cs="Times New Roman"/>
          <w:sz w:val="24"/>
          <w:szCs w:val="24"/>
        </w:rPr>
        <w:t xml:space="preserve"> </w:t>
      </w:r>
      <w:r w:rsidR="0038401B">
        <w:rPr>
          <w:rFonts w:ascii="Times New Roman" w:hAnsi="Times New Roman" w:cs="Times New Roman"/>
          <w:sz w:val="24"/>
          <w:szCs w:val="24"/>
        </w:rPr>
        <w:t>Considerando as consequências</w:t>
      </w:r>
      <w:r w:rsidR="006A2514">
        <w:rPr>
          <w:rFonts w:ascii="Times New Roman" w:hAnsi="Times New Roman" w:cs="Times New Roman"/>
          <w:sz w:val="24"/>
          <w:szCs w:val="24"/>
        </w:rPr>
        <w:t xml:space="preserve"> encefálicas</w:t>
      </w:r>
      <w:r w:rsidR="0038401B">
        <w:rPr>
          <w:rFonts w:ascii="Times New Roman" w:hAnsi="Times New Roman" w:cs="Times New Roman"/>
          <w:sz w:val="24"/>
          <w:szCs w:val="24"/>
        </w:rPr>
        <w:t xml:space="preserve"> causadas pelo tromboembolismo e diante dos resultados, foi possível perceber que a profi</w:t>
      </w:r>
      <w:r w:rsidR="006A2514">
        <w:rPr>
          <w:rFonts w:ascii="Times New Roman" w:hAnsi="Times New Roman" w:cs="Times New Roman"/>
          <w:sz w:val="24"/>
          <w:szCs w:val="24"/>
        </w:rPr>
        <w:t xml:space="preserve">laxia anticoagulante teve resultados satisfatórios, </w:t>
      </w:r>
      <w:r w:rsidR="0038401B">
        <w:rPr>
          <w:rFonts w:ascii="Times New Roman" w:hAnsi="Times New Roman" w:cs="Times New Roman"/>
          <w:sz w:val="24"/>
          <w:szCs w:val="24"/>
        </w:rPr>
        <w:t xml:space="preserve">em alguns casos, diminuindo </w:t>
      </w:r>
      <w:r w:rsidR="00C84C15">
        <w:rPr>
          <w:rFonts w:ascii="Times New Roman" w:hAnsi="Times New Roman" w:cs="Times New Roman"/>
          <w:sz w:val="24"/>
          <w:szCs w:val="24"/>
        </w:rPr>
        <w:t>dos riscos</w:t>
      </w:r>
      <w:r w:rsidR="0038401B">
        <w:rPr>
          <w:rFonts w:ascii="Times New Roman" w:hAnsi="Times New Roman" w:cs="Times New Roman"/>
          <w:sz w:val="24"/>
          <w:szCs w:val="24"/>
        </w:rPr>
        <w:t xml:space="preserve"> de TEV em pacientes com tumor cerebral. Entretanto os estudos são recentes </w:t>
      </w:r>
      <w:r w:rsidR="006A2514">
        <w:rPr>
          <w:rFonts w:ascii="Times New Roman" w:hAnsi="Times New Roman" w:cs="Times New Roman"/>
          <w:sz w:val="24"/>
          <w:szCs w:val="24"/>
        </w:rPr>
        <w:t>e ainda não mostraram total eficácia no tratamento.</w:t>
      </w:r>
    </w:p>
    <w:p w:rsidR="001C3FF0" w:rsidRPr="00CF4DEA" w:rsidRDefault="001C3FF0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F0">
        <w:rPr>
          <w:rFonts w:ascii="Times New Roman" w:hAnsi="Times New Roman" w:cs="Times New Roman"/>
          <w:sz w:val="24"/>
          <w:szCs w:val="24"/>
        </w:rPr>
        <w:t>palavras-chave: Cérebro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3FF0">
        <w:rPr>
          <w:rFonts w:ascii="Times New Roman" w:hAnsi="Times New Roman" w:cs="Times New Roman"/>
          <w:sz w:val="24"/>
          <w:szCs w:val="24"/>
        </w:rPr>
        <w:t xml:space="preserve"> </w:t>
      </w:r>
      <w:r w:rsidR="00F022E8" w:rsidRPr="001C3FF0">
        <w:rPr>
          <w:rFonts w:ascii="Times New Roman" w:hAnsi="Times New Roman" w:cs="Times New Roman"/>
          <w:sz w:val="24"/>
          <w:szCs w:val="24"/>
        </w:rPr>
        <w:t>T</w:t>
      </w:r>
      <w:r w:rsidRPr="001C3FF0">
        <w:rPr>
          <w:rFonts w:ascii="Times New Roman" w:hAnsi="Times New Roman" w:cs="Times New Roman"/>
          <w:sz w:val="24"/>
          <w:szCs w:val="24"/>
        </w:rPr>
        <w:t>ratamento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3FF0">
        <w:rPr>
          <w:rFonts w:ascii="Times New Roman" w:hAnsi="Times New Roman" w:cs="Times New Roman"/>
          <w:sz w:val="24"/>
          <w:szCs w:val="24"/>
        </w:rPr>
        <w:t xml:space="preserve"> </w:t>
      </w:r>
      <w:r w:rsidR="00F022E8" w:rsidRPr="001C3FF0">
        <w:rPr>
          <w:rFonts w:ascii="Times New Roman" w:hAnsi="Times New Roman" w:cs="Times New Roman"/>
          <w:sz w:val="24"/>
          <w:szCs w:val="24"/>
        </w:rPr>
        <w:t>T</w:t>
      </w:r>
      <w:r w:rsidRPr="001C3FF0">
        <w:rPr>
          <w:rFonts w:ascii="Times New Roman" w:hAnsi="Times New Roman" w:cs="Times New Roman"/>
          <w:sz w:val="24"/>
          <w:szCs w:val="24"/>
        </w:rPr>
        <w:t>romboembolismo.</w:t>
      </w:r>
    </w:p>
    <w:sectPr w:rsidR="001C3FF0" w:rsidRPr="00CF4DEA" w:rsidSect="00B34EF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A4" w:rsidRDefault="00EF6FA4" w:rsidP="00AA70A9">
      <w:pPr>
        <w:spacing w:after="0" w:line="240" w:lineRule="auto"/>
      </w:pPr>
      <w:r>
        <w:separator/>
      </w:r>
    </w:p>
  </w:endnote>
  <w:endnote w:type="continuationSeparator" w:id="0">
    <w:p w:rsidR="00EF6FA4" w:rsidRDefault="00EF6FA4" w:rsidP="00AA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0A9" w:rsidRPr="00971CB6" w:rsidRDefault="00971CB6" w:rsidP="00971CB6">
    <w:pPr>
      <w:pStyle w:val="Rodap"/>
      <w:jc w:val="right"/>
      <w:rPr>
        <w:rFonts w:ascii="Arial" w:hAnsi="Arial" w:cs="Arial"/>
      </w:rPr>
    </w:pPr>
    <w:r w:rsidRPr="00971CB6">
      <w:rPr>
        <w:rFonts w:ascii="Arial" w:hAnsi="Arial" w:cs="Arial"/>
        <w:sz w:val="20"/>
        <w:szCs w:val="20"/>
      </w:rPr>
      <w:t>Emiliano Miguel Esteves dos Santos</w:t>
    </w:r>
    <w:r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A4" w:rsidRDefault="00EF6FA4" w:rsidP="00AA70A9">
      <w:pPr>
        <w:spacing w:after="0" w:line="240" w:lineRule="auto"/>
      </w:pPr>
      <w:r>
        <w:separator/>
      </w:r>
    </w:p>
  </w:footnote>
  <w:footnote w:type="continuationSeparator" w:id="0">
    <w:p w:rsidR="00EF6FA4" w:rsidRDefault="00EF6FA4" w:rsidP="00AA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D33"/>
    <w:multiLevelType w:val="hybridMultilevel"/>
    <w:tmpl w:val="1BF28A14"/>
    <w:lvl w:ilvl="0" w:tplc="9BF6D4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C42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616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429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CFE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8C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8DB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61F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2E2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04BA"/>
    <w:multiLevelType w:val="hybridMultilevel"/>
    <w:tmpl w:val="20141184"/>
    <w:lvl w:ilvl="0" w:tplc="6DC805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6DE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A31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885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6DA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68B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219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85A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0E01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E798D"/>
    <w:multiLevelType w:val="hybridMultilevel"/>
    <w:tmpl w:val="F7702680"/>
    <w:lvl w:ilvl="0" w:tplc="8ABCC9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C88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AC2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CEB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697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4DD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29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E1D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A2F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F11C5"/>
    <w:multiLevelType w:val="hybridMultilevel"/>
    <w:tmpl w:val="E48C4EAE"/>
    <w:lvl w:ilvl="0" w:tplc="E94A7E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CB2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66D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E46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4F2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E2E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649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642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C87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44"/>
    <w:rsid w:val="00005C9C"/>
    <w:rsid w:val="00034294"/>
    <w:rsid w:val="00037056"/>
    <w:rsid w:val="000603E3"/>
    <w:rsid w:val="00073345"/>
    <w:rsid w:val="00084418"/>
    <w:rsid w:val="0009111F"/>
    <w:rsid w:val="000C08C5"/>
    <w:rsid w:val="000D66DB"/>
    <w:rsid w:val="00125C5A"/>
    <w:rsid w:val="00145C4D"/>
    <w:rsid w:val="00151578"/>
    <w:rsid w:val="001605E0"/>
    <w:rsid w:val="001659A3"/>
    <w:rsid w:val="00191790"/>
    <w:rsid w:val="001934B1"/>
    <w:rsid w:val="001A7346"/>
    <w:rsid w:val="001B0C0C"/>
    <w:rsid w:val="001C3FF0"/>
    <w:rsid w:val="001D6037"/>
    <w:rsid w:val="001E16AC"/>
    <w:rsid w:val="001E7012"/>
    <w:rsid w:val="001F79C9"/>
    <w:rsid w:val="002120BF"/>
    <w:rsid w:val="002123DA"/>
    <w:rsid w:val="002265EA"/>
    <w:rsid w:val="00233A5A"/>
    <w:rsid w:val="00242D9A"/>
    <w:rsid w:val="002456DF"/>
    <w:rsid w:val="00266161"/>
    <w:rsid w:val="002D7A50"/>
    <w:rsid w:val="002E1322"/>
    <w:rsid w:val="002E43C4"/>
    <w:rsid w:val="002F183A"/>
    <w:rsid w:val="00302C92"/>
    <w:rsid w:val="00360281"/>
    <w:rsid w:val="003735DB"/>
    <w:rsid w:val="0038401B"/>
    <w:rsid w:val="00387D26"/>
    <w:rsid w:val="003E2FCC"/>
    <w:rsid w:val="003F4242"/>
    <w:rsid w:val="00401A1C"/>
    <w:rsid w:val="00417723"/>
    <w:rsid w:val="00422938"/>
    <w:rsid w:val="00427496"/>
    <w:rsid w:val="00431C74"/>
    <w:rsid w:val="004430DE"/>
    <w:rsid w:val="00451804"/>
    <w:rsid w:val="00453AF2"/>
    <w:rsid w:val="00463620"/>
    <w:rsid w:val="004C252F"/>
    <w:rsid w:val="004D08EE"/>
    <w:rsid w:val="004E6D4E"/>
    <w:rsid w:val="0051063C"/>
    <w:rsid w:val="0053592E"/>
    <w:rsid w:val="00541A7E"/>
    <w:rsid w:val="00542FDE"/>
    <w:rsid w:val="00545782"/>
    <w:rsid w:val="00551DE2"/>
    <w:rsid w:val="00552C24"/>
    <w:rsid w:val="00563C9D"/>
    <w:rsid w:val="00565240"/>
    <w:rsid w:val="00583208"/>
    <w:rsid w:val="005B1386"/>
    <w:rsid w:val="005B44E7"/>
    <w:rsid w:val="005D0224"/>
    <w:rsid w:val="006008BE"/>
    <w:rsid w:val="006031F9"/>
    <w:rsid w:val="0060744B"/>
    <w:rsid w:val="00661AFC"/>
    <w:rsid w:val="00664094"/>
    <w:rsid w:val="006A2514"/>
    <w:rsid w:val="006A3792"/>
    <w:rsid w:val="006A7A41"/>
    <w:rsid w:val="006D2362"/>
    <w:rsid w:val="006D33D6"/>
    <w:rsid w:val="0077777A"/>
    <w:rsid w:val="0079423E"/>
    <w:rsid w:val="00796690"/>
    <w:rsid w:val="007977F0"/>
    <w:rsid w:val="007A1E2B"/>
    <w:rsid w:val="007D5964"/>
    <w:rsid w:val="007E34A4"/>
    <w:rsid w:val="007E53CF"/>
    <w:rsid w:val="007E7A99"/>
    <w:rsid w:val="007F439A"/>
    <w:rsid w:val="007F785D"/>
    <w:rsid w:val="00815A7E"/>
    <w:rsid w:val="00882C87"/>
    <w:rsid w:val="008A7606"/>
    <w:rsid w:val="008B3EFB"/>
    <w:rsid w:val="008E2658"/>
    <w:rsid w:val="008F4A1A"/>
    <w:rsid w:val="0091579C"/>
    <w:rsid w:val="009238D4"/>
    <w:rsid w:val="00940669"/>
    <w:rsid w:val="00940EC1"/>
    <w:rsid w:val="00952AB2"/>
    <w:rsid w:val="009543CA"/>
    <w:rsid w:val="009621A8"/>
    <w:rsid w:val="00967749"/>
    <w:rsid w:val="00971CB6"/>
    <w:rsid w:val="0098764A"/>
    <w:rsid w:val="009B13CE"/>
    <w:rsid w:val="009B6CE8"/>
    <w:rsid w:val="009D60E6"/>
    <w:rsid w:val="009E2EE4"/>
    <w:rsid w:val="009F153E"/>
    <w:rsid w:val="00A00E7F"/>
    <w:rsid w:val="00A207A7"/>
    <w:rsid w:val="00A3314B"/>
    <w:rsid w:val="00A60E68"/>
    <w:rsid w:val="00A64F69"/>
    <w:rsid w:val="00A65798"/>
    <w:rsid w:val="00A72E1C"/>
    <w:rsid w:val="00A744E6"/>
    <w:rsid w:val="00A748CD"/>
    <w:rsid w:val="00AA70A9"/>
    <w:rsid w:val="00AB7FA3"/>
    <w:rsid w:val="00AE42FE"/>
    <w:rsid w:val="00AE4B44"/>
    <w:rsid w:val="00AE6A39"/>
    <w:rsid w:val="00AF580E"/>
    <w:rsid w:val="00B15DC3"/>
    <w:rsid w:val="00B34EFD"/>
    <w:rsid w:val="00B900E4"/>
    <w:rsid w:val="00BA5790"/>
    <w:rsid w:val="00BB231A"/>
    <w:rsid w:val="00BB3509"/>
    <w:rsid w:val="00BC0D22"/>
    <w:rsid w:val="00C0478B"/>
    <w:rsid w:val="00C35933"/>
    <w:rsid w:val="00C63641"/>
    <w:rsid w:val="00C81288"/>
    <w:rsid w:val="00C84C15"/>
    <w:rsid w:val="00C965D6"/>
    <w:rsid w:val="00CB6B6B"/>
    <w:rsid w:val="00CF4DEA"/>
    <w:rsid w:val="00D065DE"/>
    <w:rsid w:val="00D13F04"/>
    <w:rsid w:val="00D15880"/>
    <w:rsid w:val="00D57164"/>
    <w:rsid w:val="00D70AD5"/>
    <w:rsid w:val="00DC67F5"/>
    <w:rsid w:val="00DC7893"/>
    <w:rsid w:val="00DD033D"/>
    <w:rsid w:val="00DF5273"/>
    <w:rsid w:val="00DF62CB"/>
    <w:rsid w:val="00DF78FE"/>
    <w:rsid w:val="00E05320"/>
    <w:rsid w:val="00E5667B"/>
    <w:rsid w:val="00E77E61"/>
    <w:rsid w:val="00EA1F61"/>
    <w:rsid w:val="00EB2BFE"/>
    <w:rsid w:val="00EB684B"/>
    <w:rsid w:val="00EB75F8"/>
    <w:rsid w:val="00EE7AF4"/>
    <w:rsid w:val="00EF6FA4"/>
    <w:rsid w:val="00F022E8"/>
    <w:rsid w:val="00F05472"/>
    <w:rsid w:val="00F5514B"/>
    <w:rsid w:val="00F8355F"/>
    <w:rsid w:val="00F912F0"/>
    <w:rsid w:val="00FA21C9"/>
    <w:rsid w:val="00FB01A9"/>
    <w:rsid w:val="00FC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4851"/>
  <w15:docId w15:val="{3F3F730F-37AE-4378-8315-1EAF37BF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0A9"/>
  </w:style>
  <w:style w:type="paragraph" w:styleId="Rodap">
    <w:name w:val="footer"/>
    <w:basedOn w:val="Normal"/>
    <w:link w:val="RodapChar"/>
    <w:uiPriority w:val="99"/>
    <w:unhideWhenUsed/>
    <w:rsid w:val="00AA7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0A9"/>
  </w:style>
  <w:style w:type="character" w:styleId="Hyperlink">
    <w:name w:val="Hyperlink"/>
    <w:basedOn w:val="Fontepargpadro"/>
    <w:uiPriority w:val="99"/>
    <w:unhideWhenUsed/>
    <w:rsid w:val="0042293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2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41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7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5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7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1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3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4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6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0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84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4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81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6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1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0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2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95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1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2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7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01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1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4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9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64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5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9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2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9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0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20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4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7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5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8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8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72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Aluno IESVAP</cp:lastModifiedBy>
  <cp:revision>2</cp:revision>
  <dcterms:created xsi:type="dcterms:W3CDTF">2019-10-29T15:24:00Z</dcterms:created>
  <dcterms:modified xsi:type="dcterms:W3CDTF">2019-10-29T15:24:00Z</dcterms:modified>
</cp:coreProperties>
</file>