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C1DC" w14:textId="77777777" w:rsidR="005753F9" w:rsidRDefault="005753F9" w:rsidP="00C72A84">
      <w:pPr>
        <w:jc w:val="center"/>
        <w:rPr>
          <w:rFonts w:cs="Arial"/>
          <w:b/>
          <w:bCs/>
          <w:szCs w:val="24"/>
        </w:rPr>
      </w:pPr>
    </w:p>
    <w:p w14:paraId="4BC6D138" w14:textId="54F8E6E1" w:rsidR="00572D56" w:rsidRPr="00247E43" w:rsidRDefault="006949C4" w:rsidP="00C72A84">
      <w:pPr>
        <w:jc w:val="both"/>
        <w:rPr>
          <w:rFonts w:cs="Arial"/>
          <w:szCs w:val="24"/>
          <w:lang w:val="pt-BR"/>
        </w:rPr>
      </w:pPr>
      <w:r w:rsidRPr="00247E43">
        <w:rPr>
          <w:rFonts w:cs="Arial"/>
          <w:b/>
          <w:bCs/>
          <w:szCs w:val="24"/>
          <w:lang w:val="pt-BR"/>
        </w:rPr>
        <w:t>ÁREA TEMÁTICA:</w:t>
      </w:r>
      <w:r w:rsidRPr="00247E43">
        <w:rPr>
          <w:rFonts w:cs="Arial"/>
          <w:szCs w:val="24"/>
          <w:lang w:val="pt-BR"/>
        </w:rPr>
        <w:t xml:space="preserve"> </w:t>
      </w:r>
      <w:r w:rsidR="00014CBD" w:rsidRPr="00014CBD">
        <w:rPr>
          <w:rFonts w:cs="Arial"/>
          <w:szCs w:val="24"/>
          <w:lang w:val="pt-BR"/>
        </w:rPr>
        <w:t>Formação, Pesquisa e Prática Docente em Administração</w:t>
      </w:r>
    </w:p>
    <w:p w14:paraId="68344FCA" w14:textId="41A1BC2A" w:rsidR="00014CBD" w:rsidRDefault="00014CBD" w:rsidP="00014CBD">
      <w:pPr>
        <w:pStyle w:val="Ttulo1"/>
        <w:jc w:val="center"/>
        <w:rPr>
          <w:rFonts w:ascii="Arial" w:eastAsiaTheme="minorEastAsia" w:hAnsi="Arial" w:cs="Arial"/>
          <w:color w:val="auto"/>
          <w:sz w:val="24"/>
          <w:szCs w:val="24"/>
          <w:lang w:val="pt-BR"/>
        </w:rPr>
      </w:pPr>
      <w:r w:rsidRPr="00014CBD">
        <w:rPr>
          <w:rFonts w:ascii="Arial" w:eastAsiaTheme="minorEastAsia" w:hAnsi="Arial" w:cs="Arial"/>
          <w:color w:val="auto"/>
          <w:sz w:val="24"/>
          <w:szCs w:val="24"/>
          <w:lang w:val="pt-BR"/>
        </w:rPr>
        <w:t>MONITORIA ACADÊMICA E DESEMPENHO NO ENADE: EVIDÊNCIAS DOS CURSOS DE ADMINISTRAÇÃO NO BRASIL</w:t>
      </w:r>
    </w:p>
    <w:p w14:paraId="07FAC285" w14:textId="2DF6980F" w:rsidR="00572D56" w:rsidRPr="00247E43" w:rsidRDefault="006949C4" w:rsidP="00C72A84">
      <w:pPr>
        <w:pStyle w:val="Ttulo1"/>
        <w:jc w:val="both"/>
        <w:rPr>
          <w:rFonts w:ascii="Arial" w:hAnsi="Arial" w:cs="Arial"/>
          <w:color w:val="auto"/>
          <w:sz w:val="24"/>
          <w:szCs w:val="24"/>
          <w:lang w:val="pt-BR"/>
        </w:rPr>
      </w:pPr>
      <w:r w:rsidRPr="00247E43">
        <w:rPr>
          <w:rFonts w:ascii="Arial" w:hAnsi="Arial" w:cs="Arial"/>
          <w:color w:val="auto"/>
          <w:sz w:val="24"/>
          <w:szCs w:val="24"/>
          <w:lang w:val="pt-BR"/>
        </w:rPr>
        <w:t>Resumo</w:t>
      </w:r>
    </w:p>
    <w:p w14:paraId="144CED78" w14:textId="022B6701" w:rsidR="005753F9" w:rsidRPr="00247E43" w:rsidRDefault="00014CBD" w:rsidP="00014CBD">
      <w:pPr>
        <w:jc w:val="both"/>
        <w:rPr>
          <w:rFonts w:cs="Arial"/>
          <w:szCs w:val="24"/>
          <w:lang w:val="pt-BR"/>
        </w:rPr>
      </w:pPr>
      <w:r w:rsidRPr="00014CBD">
        <w:rPr>
          <w:rFonts w:cs="Arial"/>
          <w:szCs w:val="24"/>
          <w:lang w:val="pt-BR"/>
        </w:rPr>
        <w:t>Este estudo analisa a relação entre a valorização da monitoria acadêmica e o desempenho dos cursos de Administração no Exame Nacional de Desempenho dos Estudantes (ENADE) de 2022. O trabalho parte do reconhecimento da monitoria como prática pedagógica de apoio à aprendizagem, historicamente associada à iniciação à docência e à promoção do engajamento discente. O objetivo central foi verificar se a importância atribuída pelos estudantes à monitoria está associada a melhores resultados institucionais mensurados em larga escala. A pesquisa adotou abordagem quantitativa, utilizando dados de 1.596 cursos de Administração com pelo menos cinco participantes no ENADE 2022. As análises compreenderam estatísticas descritivas, ANOVA, correlação de Pearson e regressões lineares múltiplas, com controle de variáveis institucionais, acadêmicas e contextuais. Os resultados indicaram que a monitoria é valorizada pelos estudantes, com médias elevadas em todos os segmentos analisados, sendo mais acentuada em cursos de ensino a distância e em instituições privadas e não universitárias. A análise de variância confirmou diferenças significativas entre as faixas do ENADE, e as regressões mostraram efeito positivo e estatisticamente significativo da valorização da monitoria sobre todas as notas do exame, mesmo após o controle de variáveis. Conclui-se que a monitoria desempenha papel relevante tanto em contextos de excelência acadêmica quanto em cursos com maiores fragilidades, configurando-se como política de baixo custo e alto impacto. O estudo contribui ao consolidar evidências empíricas sobre a importância da monitoria para a qualidade institucional, oferecendo subsídios teóricos, práticos e sociais para gestores e formuladores de políticas no ensino superior.</w:t>
      </w:r>
    </w:p>
    <w:p w14:paraId="5DB7A43B" w14:textId="77777777" w:rsidR="00014CBD" w:rsidRDefault="006949C4" w:rsidP="00C72A84">
      <w:pPr>
        <w:jc w:val="both"/>
        <w:rPr>
          <w:rFonts w:cs="Arial"/>
          <w:szCs w:val="24"/>
          <w:lang w:val="pt-BR"/>
        </w:rPr>
      </w:pPr>
      <w:r w:rsidRPr="00247E43">
        <w:rPr>
          <w:rFonts w:cs="Arial"/>
          <w:b/>
          <w:bCs/>
          <w:szCs w:val="24"/>
          <w:lang w:val="pt-BR"/>
        </w:rPr>
        <w:t>Palavras-chave:</w:t>
      </w:r>
      <w:r w:rsidRPr="00247E43">
        <w:rPr>
          <w:rFonts w:cs="Arial"/>
          <w:szCs w:val="24"/>
          <w:lang w:val="pt-BR"/>
        </w:rPr>
        <w:t xml:space="preserve"> </w:t>
      </w:r>
      <w:r w:rsidR="00014CBD" w:rsidRPr="00014CBD">
        <w:rPr>
          <w:rFonts w:cs="Arial"/>
          <w:szCs w:val="24"/>
          <w:lang w:val="pt-BR"/>
        </w:rPr>
        <w:t>Monitoria acadêmica; ENADE; Administração</w:t>
      </w:r>
      <w:r w:rsidR="00014CBD">
        <w:rPr>
          <w:rFonts w:cs="Arial"/>
          <w:szCs w:val="24"/>
          <w:lang w:val="pt-BR"/>
        </w:rPr>
        <w:t>.</w:t>
      </w:r>
    </w:p>
    <w:p w14:paraId="62DB786A" w14:textId="1CC52076" w:rsidR="00014CBD" w:rsidRDefault="00014CBD" w:rsidP="00C72A84">
      <w:pPr>
        <w:jc w:val="both"/>
        <w:rPr>
          <w:rFonts w:cs="Arial"/>
          <w:b/>
          <w:bCs/>
          <w:szCs w:val="24"/>
          <w:lang w:val="pt-BR"/>
        </w:rPr>
      </w:pPr>
      <w:r w:rsidRPr="00014CBD">
        <w:rPr>
          <w:rFonts w:cs="Arial"/>
          <w:b/>
          <w:bCs/>
          <w:szCs w:val="24"/>
          <w:lang w:val="pt-BR"/>
        </w:rPr>
        <w:t>Abstract</w:t>
      </w:r>
    </w:p>
    <w:p w14:paraId="0F953A2E" w14:textId="30BB131F" w:rsidR="00014CBD" w:rsidRDefault="00014CBD" w:rsidP="00C72A84">
      <w:pPr>
        <w:jc w:val="both"/>
        <w:rPr>
          <w:rFonts w:cs="Arial"/>
          <w:szCs w:val="24"/>
        </w:rPr>
      </w:pPr>
      <w:r w:rsidRPr="00014CBD">
        <w:rPr>
          <w:rFonts w:cs="Arial"/>
          <w:szCs w:val="24"/>
        </w:rPr>
        <w:t xml:space="preserve">This study analyzes the relationship between the perceived importance of academic peer tutoring programs and the performance of Business Administration programs in the 2022 edition of the National Student Performance Exam (ENADE). Peer tutoring has been historically recognized as a pedagogical practice that supports learning, promotes student engagement, and fosters teaching skills. The main objective of this research was to examine </w:t>
      </w:r>
      <w:r w:rsidRPr="00014CBD">
        <w:rPr>
          <w:rFonts w:cs="Arial"/>
          <w:szCs w:val="24"/>
        </w:rPr>
        <w:lastRenderedPageBreak/>
        <w:t>whether students’ valuation of tutoring is associated with better institutional outcomes measured on a large scale. A quantitative approach was adopted, using data from 1,596 Business Administration programs with at least five participants in ENADE 2022. The analyses included descriptive statistics, ANOVA, Pearson’s correlation, and multiple linear regressions, controlling for institutional, academic, and contextual variables. The results show that tutoring is widely valued by students, with consistently high means across all groups, and even more strongly among distance learning programs and private and non-university institutions. The analysis of variance confirmed significant differences between ENADE performance bands, while regressions demonstrated a positive and statistically significant effect of tutoring valuation on all ENADE scores, even after controls. The findings suggest that tutoring plays an important role both in high-performing programs, as part of a consolidated academic culture, and in programs facing greater challenges, as a compensatory mechanism. The study contributes by providing empirical evidence on the importance of tutoring for institutional quality, offering theoretical, practical, and social insights for higher education managers and policymakers.</w:t>
      </w:r>
    </w:p>
    <w:p w14:paraId="142F1C24" w14:textId="58F4F7E7" w:rsidR="00014CBD" w:rsidRPr="00014CBD" w:rsidRDefault="00014CBD" w:rsidP="00C72A84">
      <w:pPr>
        <w:jc w:val="both"/>
        <w:rPr>
          <w:rFonts w:cs="Arial"/>
          <w:szCs w:val="24"/>
        </w:rPr>
      </w:pPr>
      <w:r w:rsidRPr="00014CBD">
        <w:rPr>
          <w:rFonts w:cs="Arial"/>
          <w:b/>
          <w:bCs/>
          <w:szCs w:val="24"/>
        </w:rPr>
        <w:t>Keywords:</w:t>
      </w:r>
      <w:r>
        <w:rPr>
          <w:rFonts w:cs="Arial"/>
          <w:szCs w:val="24"/>
        </w:rPr>
        <w:t xml:space="preserve"> A</w:t>
      </w:r>
      <w:r w:rsidRPr="00014CBD">
        <w:rPr>
          <w:rFonts w:cs="Arial"/>
          <w:szCs w:val="24"/>
        </w:rPr>
        <w:t>cademic tutoring; ENADE; Business Administration</w:t>
      </w:r>
      <w:r>
        <w:rPr>
          <w:rFonts w:cs="Arial"/>
          <w:szCs w:val="24"/>
        </w:rPr>
        <w:t>.</w:t>
      </w:r>
    </w:p>
    <w:p w14:paraId="3508740D" w14:textId="18891357" w:rsidR="00572D56" w:rsidRPr="00014CBD" w:rsidRDefault="006949C4" w:rsidP="00C72A84">
      <w:pPr>
        <w:jc w:val="both"/>
        <w:rPr>
          <w:rFonts w:cs="Arial"/>
          <w:szCs w:val="24"/>
        </w:rPr>
      </w:pPr>
      <w:r w:rsidRPr="00014CBD">
        <w:rPr>
          <w:rFonts w:cs="Arial"/>
          <w:szCs w:val="24"/>
        </w:rPr>
        <w:br w:type="page"/>
      </w:r>
    </w:p>
    <w:p w14:paraId="2058E7CC" w14:textId="2B290D17" w:rsidR="00572D56" w:rsidRPr="00977C30" w:rsidRDefault="006949C4" w:rsidP="00C72A84">
      <w:pPr>
        <w:pStyle w:val="Ttulo1"/>
        <w:jc w:val="both"/>
        <w:rPr>
          <w:rFonts w:ascii="Arial" w:hAnsi="Arial" w:cs="Arial"/>
          <w:color w:val="auto"/>
          <w:sz w:val="24"/>
          <w:szCs w:val="24"/>
          <w:lang w:val="pt-BR"/>
        </w:rPr>
      </w:pPr>
      <w:r w:rsidRPr="00977C30">
        <w:rPr>
          <w:rFonts w:ascii="Arial" w:hAnsi="Arial" w:cs="Arial"/>
          <w:color w:val="auto"/>
          <w:sz w:val="24"/>
          <w:szCs w:val="24"/>
          <w:lang w:val="pt-BR"/>
        </w:rPr>
        <w:lastRenderedPageBreak/>
        <w:t>1. Introdução</w:t>
      </w:r>
    </w:p>
    <w:p w14:paraId="64C1D233" w14:textId="77777777" w:rsidR="00E648E8" w:rsidRPr="00E648E8" w:rsidRDefault="00E648E8" w:rsidP="00E648E8">
      <w:pPr>
        <w:spacing w:after="0" w:line="240" w:lineRule="auto"/>
        <w:ind w:firstLine="720"/>
        <w:jc w:val="both"/>
        <w:rPr>
          <w:rFonts w:cs="Arial"/>
          <w:szCs w:val="24"/>
          <w:lang w:val="pt-BR"/>
        </w:rPr>
      </w:pPr>
      <w:r w:rsidRPr="00E648E8">
        <w:rPr>
          <w:rFonts w:cs="Arial"/>
          <w:szCs w:val="24"/>
          <w:lang w:val="pt-BR"/>
        </w:rPr>
        <w:t xml:space="preserve">A educação superior no Brasil tem passado por transformações significativas nas últimas décadas, com um aumento expressivo no número de matrículas e cursos oferecidos. Segundo dados do Instituto Nacional de Estudos e Pesquisas Educacionais Anísio Teixeira (Inep, 2024), o número de matrículas em cursos de graduação saltou de 4.163.733 em 2004 para 9.976.782 em 2023. Esse crescimento, no entanto, não foi acompanhado por um aumento proporcional no número de docentes, que passou de 293.242 para 368.290 no mesmo período. Assim, enquanto em 2004 havia uma relação de 1 professor para 14,2 alunos, em 2023 essa proporção passou a ser de 1 docente para cada 27,09 estudantes, revelando um cenário desafiador para a qualidade do ensino superior no país. Nesse contexto, a monitoria acadêmica surge como estratégia pedagógica de apoio ao processo de ensino-aprendizagem, com potencial para contribuir tanto para a formação dos alunos monitores quanto para o desempenho acadêmico dos estudantes que recebem esse suporte (Oliveira; </w:t>
      </w:r>
      <w:proofErr w:type="spellStart"/>
      <w:r w:rsidRPr="00E648E8">
        <w:rPr>
          <w:rFonts w:cs="Arial"/>
          <w:szCs w:val="24"/>
          <w:lang w:val="pt-BR"/>
        </w:rPr>
        <w:t>Caneguim</w:t>
      </w:r>
      <w:proofErr w:type="spellEnd"/>
      <w:r w:rsidRPr="00E648E8">
        <w:rPr>
          <w:rFonts w:cs="Arial"/>
          <w:szCs w:val="24"/>
          <w:lang w:val="pt-BR"/>
        </w:rPr>
        <w:t>, 2025).</w:t>
      </w:r>
    </w:p>
    <w:p w14:paraId="6366770B" w14:textId="68C47A17" w:rsidR="00E648E8" w:rsidRPr="00E648E8" w:rsidRDefault="00E648E8" w:rsidP="00E648E8">
      <w:pPr>
        <w:spacing w:after="0" w:line="240" w:lineRule="auto"/>
        <w:ind w:firstLine="720"/>
        <w:jc w:val="both"/>
        <w:rPr>
          <w:rFonts w:cs="Arial"/>
          <w:szCs w:val="24"/>
          <w:lang w:val="pt-BR"/>
        </w:rPr>
      </w:pPr>
      <w:r w:rsidRPr="00E648E8">
        <w:rPr>
          <w:rFonts w:cs="Arial"/>
          <w:szCs w:val="24"/>
          <w:lang w:val="pt-BR"/>
        </w:rPr>
        <w:t>A monitoria, regulamentada pela Lei nº 5.540/68, tem sido reconhecida como espaço privilegiado de aprendizagem colaborativa e de iniciação à docência. Estudos brasileiros destacam que a atividade favorece a integração entre discentes e docentes, promove a aprendizagem ativa e fortalece a formação pedagógica de futuros professores (Nunes, 2007). Além disso, pesquisas apontam impactos positivos sobre a permanência e o engajamento discente, configurando a monitoria como prática formativa complementar de baixo custo e alto impacto (Assis et al., 2006; Gonçalves et al., 2021).</w:t>
      </w:r>
    </w:p>
    <w:p w14:paraId="1561FE53" w14:textId="69BBB6D6" w:rsidR="00E648E8" w:rsidRPr="00E648E8" w:rsidRDefault="00E648E8" w:rsidP="00E648E8">
      <w:pPr>
        <w:spacing w:after="0" w:line="240" w:lineRule="auto"/>
        <w:ind w:firstLine="720"/>
        <w:jc w:val="both"/>
        <w:rPr>
          <w:rFonts w:cs="Arial"/>
          <w:szCs w:val="24"/>
          <w:lang w:val="pt-BR"/>
        </w:rPr>
      </w:pPr>
      <w:r w:rsidRPr="00E648E8">
        <w:rPr>
          <w:rFonts w:cs="Arial"/>
          <w:szCs w:val="24"/>
          <w:lang w:val="pt-BR"/>
        </w:rPr>
        <w:t xml:space="preserve">No cenário internacional, práticas equivalentes como </w:t>
      </w:r>
      <w:proofErr w:type="spellStart"/>
      <w:r w:rsidRPr="00E648E8">
        <w:rPr>
          <w:rFonts w:cs="Arial"/>
          <w:i/>
          <w:iCs/>
          <w:szCs w:val="24"/>
          <w:lang w:val="pt-BR"/>
        </w:rPr>
        <w:t>peer</w:t>
      </w:r>
      <w:proofErr w:type="spellEnd"/>
      <w:r w:rsidRPr="00E648E8">
        <w:rPr>
          <w:rFonts w:cs="Arial"/>
          <w:i/>
          <w:iCs/>
          <w:szCs w:val="24"/>
          <w:lang w:val="pt-BR"/>
        </w:rPr>
        <w:t xml:space="preserve"> </w:t>
      </w:r>
      <w:proofErr w:type="spellStart"/>
      <w:r w:rsidRPr="00E648E8">
        <w:rPr>
          <w:rFonts w:cs="Arial"/>
          <w:i/>
          <w:iCs/>
          <w:szCs w:val="24"/>
          <w:lang w:val="pt-BR"/>
        </w:rPr>
        <w:t>tutoring</w:t>
      </w:r>
      <w:proofErr w:type="spellEnd"/>
      <w:r w:rsidRPr="00E648E8">
        <w:rPr>
          <w:rFonts w:cs="Arial"/>
          <w:szCs w:val="24"/>
          <w:lang w:val="pt-BR"/>
        </w:rPr>
        <w:t xml:space="preserve"> e programas de </w:t>
      </w:r>
      <w:proofErr w:type="spellStart"/>
      <w:r w:rsidRPr="00E648E8">
        <w:rPr>
          <w:rFonts w:cs="Arial"/>
          <w:i/>
          <w:iCs/>
          <w:szCs w:val="24"/>
          <w:lang w:val="pt-BR"/>
        </w:rPr>
        <w:t>Undergraduate</w:t>
      </w:r>
      <w:proofErr w:type="spellEnd"/>
      <w:r w:rsidRPr="00E648E8">
        <w:rPr>
          <w:rFonts w:cs="Arial"/>
          <w:i/>
          <w:iCs/>
          <w:szCs w:val="24"/>
          <w:lang w:val="pt-BR"/>
        </w:rPr>
        <w:t xml:space="preserve"> </w:t>
      </w:r>
      <w:proofErr w:type="spellStart"/>
      <w:r w:rsidRPr="00E648E8">
        <w:rPr>
          <w:rFonts w:cs="Arial"/>
          <w:i/>
          <w:iCs/>
          <w:szCs w:val="24"/>
          <w:lang w:val="pt-BR"/>
        </w:rPr>
        <w:t>Teaching</w:t>
      </w:r>
      <w:proofErr w:type="spellEnd"/>
      <w:r w:rsidRPr="00E648E8">
        <w:rPr>
          <w:rFonts w:cs="Arial"/>
          <w:i/>
          <w:iCs/>
          <w:szCs w:val="24"/>
          <w:lang w:val="pt-BR"/>
        </w:rPr>
        <w:t xml:space="preserve"> </w:t>
      </w:r>
      <w:proofErr w:type="spellStart"/>
      <w:r w:rsidRPr="00E648E8">
        <w:rPr>
          <w:rFonts w:cs="Arial"/>
          <w:i/>
          <w:iCs/>
          <w:szCs w:val="24"/>
          <w:lang w:val="pt-BR"/>
        </w:rPr>
        <w:t>Assistants</w:t>
      </w:r>
      <w:proofErr w:type="spellEnd"/>
      <w:r w:rsidRPr="00E648E8">
        <w:rPr>
          <w:rFonts w:cs="Arial"/>
          <w:szCs w:val="24"/>
          <w:lang w:val="pt-BR"/>
        </w:rPr>
        <w:t xml:space="preserve"> (</w:t>
      </w:r>
      <w:proofErr w:type="spellStart"/>
      <w:r w:rsidRPr="00E648E8">
        <w:rPr>
          <w:rFonts w:cs="Arial"/>
          <w:szCs w:val="24"/>
          <w:lang w:val="pt-BR"/>
        </w:rPr>
        <w:t>UTAs</w:t>
      </w:r>
      <w:proofErr w:type="spellEnd"/>
      <w:r w:rsidRPr="00E648E8">
        <w:rPr>
          <w:rFonts w:cs="Arial"/>
          <w:szCs w:val="24"/>
          <w:lang w:val="pt-BR"/>
        </w:rPr>
        <w:t>) têm sido investigadas. Revisões sistemáticas e meta-análises apontam que essas iniciativas produzem benefícios acadêmicos consistentes tanto para tutores quanto para tutorados, ampliando competências cognitivas, metacognitivas e socioemocionais (Bowman-</w:t>
      </w:r>
      <w:proofErr w:type="spellStart"/>
      <w:r w:rsidRPr="00E648E8">
        <w:rPr>
          <w:rFonts w:cs="Arial"/>
          <w:szCs w:val="24"/>
          <w:lang w:val="pt-BR"/>
        </w:rPr>
        <w:t>Perrott</w:t>
      </w:r>
      <w:proofErr w:type="spellEnd"/>
      <w:r w:rsidRPr="00E648E8">
        <w:rPr>
          <w:rFonts w:cs="Arial"/>
          <w:szCs w:val="24"/>
          <w:lang w:val="pt-BR"/>
        </w:rPr>
        <w:t xml:space="preserve"> et al., 2013; </w:t>
      </w:r>
      <w:proofErr w:type="spellStart"/>
      <w:r w:rsidRPr="00E648E8">
        <w:rPr>
          <w:rFonts w:cs="Arial"/>
          <w:szCs w:val="24"/>
          <w:lang w:val="pt-BR"/>
        </w:rPr>
        <w:t>Topping</w:t>
      </w:r>
      <w:proofErr w:type="spellEnd"/>
      <w:r w:rsidRPr="00E648E8">
        <w:rPr>
          <w:rFonts w:cs="Arial"/>
          <w:szCs w:val="24"/>
          <w:lang w:val="pt-BR"/>
        </w:rPr>
        <w:t xml:space="preserve">, 1996). Pesquisas qualitativas reforçam que a presença </w:t>
      </w:r>
      <w:proofErr w:type="gramStart"/>
      <w:r w:rsidRPr="00E648E8">
        <w:rPr>
          <w:rFonts w:cs="Arial"/>
          <w:szCs w:val="24"/>
          <w:lang w:val="pt-BR"/>
        </w:rPr>
        <w:t xml:space="preserve">de </w:t>
      </w:r>
      <w:proofErr w:type="spellStart"/>
      <w:r w:rsidRPr="00E648E8">
        <w:rPr>
          <w:rFonts w:cs="Arial"/>
          <w:szCs w:val="24"/>
          <w:lang w:val="pt-BR"/>
        </w:rPr>
        <w:t>UTAs</w:t>
      </w:r>
      <w:proofErr w:type="spellEnd"/>
      <w:proofErr w:type="gramEnd"/>
      <w:r w:rsidRPr="00E648E8">
        <w:rPr>
          <w:rFonts w:cs="Arial"/>
          <w:szCs w:val="24"/>
          <w:lang w:val="pt-BR"/>
        </w:rPr>
        <w:t xml:space="preserve"> pode apoiar docentes na gestão de sala de aula e estimular o engajamento discente (</w:t>
      </w:r>
      <w:proofErr w:type="spellStart"/>
      <w:r w:rsidRPr="00E648E8">
        <w:rPr>
          <w:rFonts w:cs="Arial"/>
          <w:szCs w:val="24"/>
          <w:lang w:val="pt-BR"/>
        </w:rPr>
        <w:t>Weidert</w:t>
      </w:r>
      <w:proofErr w:type="spellEnd"/>
      <w:r w:rsidRPr="00E648E8">
        <w:rPr>
          <w:rFonts w:cs="Arial"/>
          <w:szCs w:val="24"/>
          <w:lang w:val="pt-BR"/>
        </w:rPr>
        <w:t xml:space="preserve"> et al., 2012; </w:t>
      </w:r>
      <w:proofErr w:type="spellStart"/>
      <w:r w:rsidRPr="00E648E8">
        <w:rPr>
          <w:rFonts w:cs="Arial"/>
          <w:szCs w:val="24"/>
          <w:lang w:val="pt-BR"/>
        </w:rPr>
        <w:t>Mirza</w:t>
      </w:r>
      <w:proofErr w:type="spellEnd"/>
      <w:r w:rsidRPr="00E648E8">
        <w:rPr>
          <w:rFonts w:cs="Arial"/>
          <w:szCs w:val="24"/>
          <w:lang w:val="pt-BR"/>
        </w:rPr>
        <w:t xml:space="preserve"> et al., 2019). Estudos quase-experimentais também indicam que tais práticas podem reduzir desigualdades acadêmicas, sobretudo em grupos como estudantes de primeira geração no ensino superior (</w:t>
      </w:r>
      <w:proofErr w:type="spellStart"/>
      <w:r w:rsidRPr="00E648E8">
        <w:rPr>
          <w:rFonts w:cs="Arial"/>
          <w:szCs w:val="24"/>
          <w:lang w:val="pt-BR"/>
        </w:rPr>
        <w:t>Colver</w:t>
      </w:r>
      <w:proofErr w:type="spellEnd"/>
      <w:r w:rsidRPr="00E648E8">
        <w:rPr>
          <w:rFonts w:cs="Arial"/>
          <w:szCs w:val="24"/>
          <w:lang w:val="pt-BR"/>
        </w:rPr>
        <w:t xml:space="preserve">; </w:t>
      </w:r>
      <w:proofErr w:type="spellStart"/>
      <w:r w:rsidRPr="00E648E8">
        <w:rPr>
          <w:rFonts w:cs="Arial"/>
          <w:szCs w:val="24"/>
          <w:lang w:val="pt-BR"/>
        </w:rPr>
        <w:t>Fry</w:t>
      </w:r>
      <w:proofErr w:type="spellEnd"/>
      <w:r w:rsidRPr="00E648E8">
        <w:rPr>
          <w:rFonts w:cs="Arial"/>
          <w:szCs w:val="24"/>
          <w:lang w:val="pt-BR"/>
        </w:rPr>
        <w:t>, 2016).</w:t>
      </w:r>
    </w:p>
    <w:p w14:paraId="543C8828" w14:textId="61622454" w:rsidR="00E648E8" w:rsidRPr="00E648E8" w:rsidRDefault="00E648E8" w:rsidP="00E648E8">
      <w:pPr>
        <w:spacing w:after="0" w:line="240" w:lineRule="auto"/>
        <w:ind w:firstLine="720"/>
        <w:jc w:val="both"/>
        <w:rPr>
          <w:rFonts w:cs="Arial"/>
          <w:szCs w:val="24"/>
          <w:lang w:val="pt-BR"/>
        </w:rPr>
      </w:pPr>
      <w:r w:rsidRPr="00E648E8">
        <w:rPr>
          <w:rFonts w:cs="Arial"/>
          <w:szCs w:val="24"/>
          <w:lang w:val="pt-BR"/>
        </w:rPr>
        <w:t>Apesar das evidências, ainda persiste uma lacuna quanto ao entendimento de como a monitoria impacta diretamente avaliações externas de larga escala, como o Exame Nacional de Desempenho dos Estudantes (Enade). O Enade é o principal instrumento de avaliação da qualidade dos cursos de graduação no Brasil, medindo conhecimentos, competências e habilidades adquiridas ao longo da formação (Inep, 2019). Assim, investigar a relação entre a valorização da monitoria acadêmica e o desempenho no Enade permite compreender em que medida essa prática pode fortalecer políticas de ensino, apoiar a permanência discente e consolidar a qualidade institucional.</w:t>
      </w:r>
    </w:p>
    <w:p w14:paraId="0C002B03" w14:textId="3601A345" w:rsidR="00E648E8" w:rsidRPr="00E648E8" w:rsidRDefault="00E648E8" w:rsidP="00E648E8">
      <w:pPr>
        <w:spacing w:after="0" w:line="240" w:lineRule="auto"/>
        <w:ind w:firstLine="720"/>
        <w:jc w:val="both"/>
        <w:rPr>
          <w:rFonts w:cs="Arial"/>
          <w:szCs w:val="24"/>
          <w:lang w:val="pt-BR"/>
        </w:rPr>
      </w:pPr>
      <w:r w:rsidRPr="00E648E8">
        <w:rPr>
          <w:rFonts w:cs="Arial"/>
          <w:szCs w:val="24"/>
          <w:lang w:val="pt-BR"/>
        </w:rPr>
        <w:t xml:space="preserve">A justificativa para este estudo apoia-se na relevância acadêmica, institucional e social da monitoria. No Brasil, pesquisas evidenciam seu papel formativo e integrador, contribuindo para a aprendizagem ativa e a iniciação à docência (Assis et al., 2006; Nunes, 2007; Gonçalves et al., 2021). No exterior, estudos reforçam que o </w:t>
      </w:r>
      <w:proofErr w:type="spellStart"/>
      <w:r w:rsidRPr="00E648E8">
        <w:rPr>
          <w:rFonts w:cs="Arial"/>
          <w:i/>
          <w:iCs/>
          <w:szCs w:val="24"/>
          <w:lang w:val="pt-BR"/>
        </w:rPr>
        <w:t>peer</w:t>
      </w:r>
      <w:proofErr w:type="spellEnd"/>
      <w:r w:rsidRPr="00E648E8">
        <w:rPr>
          <w:rFonts w:cs="Arial"/>
          <w:i/>
          <w:iCs/>
          <w:szCs w:val="24"/>
          <w:lang w:val="pt-BR"/>
        </w:rPr>
        <w:t xml:space="preserve"> </w:t>
      </w:r>
      <w:proofErr w:type="spellStart"/>
      <w:r w:rsidRPr="00E648E8">
        <w:rPr>
          <w:rFonts w:cs="Arial"/>
          <w:i/>
          <w:iCs/>
          <w:szCs w:val="24"/>
          <w:lang w:val="pt-BR"/>
        </w:rPr>
        <w:t>tutoring</w:t>
      </w:r>
      <w:proofErr w:type="spellEnd"/>
      <w:r w:rsidRPr="00E648E8">
        <w:rPr>
          <w:rFonts w:cs="Arial"/>
          <w:szCs w:val="24"/>
          <w:lang w:val="pt-BR"/>
        </w:rPr>
        <w:t xml:space="preserve"> e os programas </w:t>
      </w:r>
      <w:proofErr w:type="gramStart"/>
      <w:r w:rsidRPr="00E648E8">
        <w:rPr>
          <w:rFonts w:cs="Arial"/>
          <w:szCs w:val="24"/>
          <w:lang w:val="pt-BR"/>
        </w:rPr>
        <w:t xml:space="preserve">de </w:t>
      </w:r>
      <w:proofErr w:type="spellStart"/>
      <w:r w:rsidRPr="00E648E8">
        <w:rPr>
          <w:rFonts w:cs="Arial"/>
          <w:szCs w:val="24"/>
          <w:lang w:val="pt-BR"/>
        </w:rPr>
        <w:t>UTAs</w:t>
      </w:r>
      <w:proofErr w:type="spellEnd"/>
      <w:proofErr w:type="gramEnd"/>
      <w:r w:rsidRPr="00E648E8">
        <w:rPr>
          <w:rFonts w:cs="Arial"/>
          <w:szCs w:val="24"/>
          <w:lang w:val="pt-BR"/>
        </w:rPr>
        <w:t xml:space="preserve"> produzem ganhos para estudantes e instituições, além de se configurarem como práticas </w:t>
      </w:r>
      <w:r w:rsidRPr="00E648E8">
        <w:rPr>
          <w:rFonts w:cs="Arial"/>
          <w:szCs w:val="24"/>
          <w:lang w:val="pt-BR"/>
        </w:rPr>
        <w:lastRenderedPageBreak/>
        <w:t>de baixo custo que promovem equidade educacional (Bowman-</w:t>
      </w:r>
      <w:proofErr w:type="spellStart"/>
      <w:r w:rsidRPr="00E648E8">
        <w:rPr>
          <w:rFonts w:cs="Arial"/>
          <w:szCs w:val="24"/>
          <w:lang w:val="pt-BR"/>
        </w:rPr>
        <w:t>Perrott</w:t>
      </w:r>
      <w:proofErr w:type="spellEnd"/>
      <w:r w:rsidRPr="00E648E8">
        <w:rPr>
          <w:rFonts w:cs="Arial"/>
          <w:szCs w:val="24"/>
          <w:lang w:val="pt-BR"/>
        </w:rPr>
        <w:t xml:space="preserve"> et al., 2013; </w:t>
      </w:r>
      <w:proofErr w:type="spellStart"/>
      <w:r w:rsidRPr="00E648E8">
        <w:rPr>
          <w:rFonts w:cs="Arial"/>
          <w:szCs w:val="24"/>
          <w:lang w:val="pt-BR"/>
        </w:rPr>
        <w:t>Topping</w:t>
      </w:r>
      <w:proofErr w:type="spellEnd"/>
      <w:r w:rsidRPr="00E648E8">
        <w:rPr>
          <w:rFonts w:cs="Arial"/>
          <w:szCs w:val="24"/>
          <w:lang w:val="pt-BR"/>
        </w:rPr>
        <w:t xml:space="preserve">, 1996; </w:t>
      </w:r>
      <w:proofErr w:type="spellStart"/>
      <w:r w:rsidRPr="00E648E8">
        <w:rPr>
          <w:rFonts w:cs="Arial"/>
          <w:szCs w:val="24"/>
          <w:lang w:val="pt-BR"/>
        </w:rPr>
        <w:t>Colver</w:t>
      </w:r>
      <w:proofErr w:type="spellEnd"/>
      <w:r w:rsidRPr="00E648E8">
        <w:rPr>
          <w:rFonts w:cs="Arial"/>
          <w:szCs w:val="24"/>
          <w:lang w:val="pt-BR"/>
        </w:rPr>
        <w:t xml:space="preserve">; </w:t>
      </w:r>
      <w:proofErr w:type="spellStart"/>
      <w:r w:rsidRPr="00E648E8">
        <w:rPr>
          <w:rFonts w:cs="Arial"/>
          <w:szCs w:val="24"/>
          <w:lang w:val="pt-BR"/>
        </w:rPr>
        <w:t>Fry</w:t>
      </w:r>
      <w:proofErr w:type="spellEnd"/>
      <w:r w:rsidRPr="00E648E8">
        <w:rPr>
          <w:rFonts w:cs="Arial"/>
          <w:szCs w:val="24"/>
          <w:lang w:val="pt-BR"/>
        </w:rPr>
        <w:t xml:space="preserve">, 2016; </w:t>
      </w:r>
      <w:proofErr w:type="spellStart"/>
      <w:r w:rsidRPr="00E648E8">
        <w:rPr>
          <w:rFonts w:cs="Arial"/>
          <w:szCs w:val="24"/>
          <w:lang w:val="pt-BR"/>
        </w:rPr>
        <w:t>Weidert</w:t>
      </w:r>
      <w:proofErr w:type="spellEnd"/>
      <w:r w:rsidRPr="00E648E8">
        <w:rPr>
          <w:rFonts w:cs="Arial"/>
          <w:szCs w:val="24"/>
          <w:lang w:val="pt-BR"/>
        </w:rPr>
        <w:t xml:space="preserve"> et al., 2012; </w:t>
      </w:r>
      <w:proofErr w:type="spellStart"/>
      <w:r w:rsidRPr="00E648E8">
        <w:rPr>
          <w:rFonts w:cs="Arial"/>
          <w:szCs w:val="24"/>
          <w:lang w:val="pt-BR"/>
        </w:rPr>
        <w:t>Mirza</w:t>
      </w:r>
      <w:proofErr w:type="spellEnd"/>
      <w:r w:rsidRPr="00E648E8">
        <w:rPr>
          <w:rFonts w:cs="Arial"/>
          <w:szCs w:val="24"/>
          <w:lang w:val="pt-BR"/>
        </w:rPr>
        <w:t xml:space="preserve"> et al., 2019). Dessa forma, compreender os efeitos da monitoria sobre o desempenho no Enade é fundamental para subsidiar gestores educacionais e formuladores de políticas, reforçando sua adoção como estratégia institucional para elevar a qualidade do ensino superior.</w:t>
      </w:r>
    </w:p>
    <w:p w14:paraId="0B45079B" w14:textId="5DF3E99F" w:rsidR="00C72A84" w:rsidRPr="00247E43" w:rsidRDefault="00E648E8" w:rsidP="00E648E8">
      <w:pPr>
        <w:spacing w:after="0" w:line="240" w:lineRule="auto"/>
        <w:ind w:firstLine="720"/>
        <w:jc w:val="both"/>
        <w:rPr>
          <w:rFonts w:cs="Arial"/>
          <w:szCs w:val="24"/>
          <w:lang w:val="pt-BR"/>
        </w:rPr>
      </w:pPr>
      <w:r w:rsidRPr="00E648E8">
        <w:rPr>
          <w:rFonts w:cs="Arial"/>
          <w:szCs w:val="24"/>
          <w:lang w:val="pt-BR"/>
        </w:rPr>
        <w:t xml:space="preserve">Este artigo está estruturado em cinco seções, além desta introdução. A segunda seção apresenta a revisão da literatura sobre monitoria acadêmica, </w:t>
      </w:r>
      <w:proofErr w:type="spellStart"/>
      <w:r w:rsidRPr="005C43B0">
        <w:rPr>
          <w:rFonts w:cs="Arial"/>
          <w:i/>
          <w:iCs/>
          <w:szCs w:val="24"/>
          <w:lang w:val="pt-BR"/>
        </w:rPr>
        <w:t>peer</w:t>
      </w:r>
      <w:proofErr w:type="spellEnd"/>
      <w:r w:rsidRPr="005C43B0">
        <w:rPr>
          <w:rFonts w:cs="Arial"/>
          <w:i/>
          <w:iCs/>
          <w:szCs w:val="24"/>
          <w:lang w:val="pt-BR"/>
        </w:rPr>
        <w:t xml:space="preserve"> </w:t>
      </w:r>
      <w:proofErr w:type="spellStart"/>
      <w:r w:rsidRPr="005C43B0">
        <w:rPr>
          <w:rFonts w:cs="Arial"/>
          <w:i/>
          <w:iCs/>
          <w:szCs w:val="24"/>
          <w:lang w:val="pt-BR"/>
        </w:rPr>
        <w:t>tutoring</w:t>
      </w:r>
      <w:proofErr w:type="spellEnd"/>
      <w:r w:rsidRPr="00E648E8">
        <w:rPr>
          <w:rFonts w:cs="Arial"/>
          <w:szCs w:val="24"/>
          <w:lang w:val="pt-BR"/>
        </w:rPr>
        <w:t xml:space="preserve"> e programas </w:t>
      </w:r>
      <w:proofErr w:type="gramStart"/>
      <w:r w:rsidRPr="00E648E8">
        <w:rPr>
          <w:rFonts w:cs="Arial"/>
          <w:szCs w:val="24"/>
          <w:lang w:val="pt-BR"/>
        </w:rPr>
        <w:t xml:space="preserve">de </w:t>
      </w:r>
      <w:proofErr w:type="spellStart"/>
      <w:r w:rsidRPr="00E648E8">
        <w:rPr>
          <w:rFonts w:cs="Arial"/>
          <w:szCs w:val="24"/>
          <w:lang w:val="pt-BR"/>
        </w:rPr>
        <w:t>UTAs</w:t>
      </w:r>
      <w:proofErr w:type="spellEnd"/>
      <w:proofErr w:type="gramEnd"/>
      <w:r w:rsidRPr="00E648E8">
        <w:rPr>
          <w:rFonts w:cs="Arial"/>
          <w:szCs w:val="24"/>
          <w:lang w:val="pt-BR"/>
        </w:rPr>
        <w:t>. A terceira seção descreve os procedimentos metodológicos adotados. A quarta seção expõe e discute os resultados obtidos. Por fim, a quinta seção apresenta as conclusões, limitações e sugestões para futuras investigações.</w:t>
      </w:r>
    </w:p>
    <w:p w14:paraId="4A8558BA" w14:textId="77777777" w:rsidR="00572D56" w:rsidRPr="00247E43" w:rsidRDefault="006949C4" w:rsidP="00C72A84">
      <w:pPr>
        <w:pStyle w:val="Ttulo1"/>
        <w:jc w:val="both"/>
        <w:rPr>
          <w:rFonts w:ascii="Arial" w:hAnsi="Arial" w:cs="Arial"/>
          <w:color w:val="auto"/>
          <w:sz w:val="24"/>
          <w:szCs w:val="24"/>
          <w:lang w:val="pt-BR"/>
        </w:rPr>
      </w:pPr>
      <w:r w:rsidRPr="00247E43">
        <w:rPr>
          <w:rFonts w:ascii="Arial" w:hAnsi="Arial" w:cs="Arial"/>
          <w:color w:val="auto"/>
          <w:sz w:val="24"/>
          <w:szCs w:val="24"/>
          <w:lang w:val="pt-BR"/>
        </w:rPr>
        <w:t>2. Fundamentação Teórica</w:t>
      </w:r>
    </w:p>
    <w:p w14:paraId="5693363D" w14:textId="77777777"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A monitoria acadêmica, no contexto do ensino superior brasileiro, consolidou-se como uma estratégia pedagógica de apoio ao processo de ensino-aprendizagem, regulamentada pela Lei nº 5.540/1968. Desde então, diferentes instituições de ensino superior têm incorporado programas de monitoria em seus projetos pedagógicos, tanto de maneira obrigatória quanto voluntária, visando potencializar a formação discente e contribuir para a qualidade institucional. De acordo com Nunes (2007), a monitoria constitui um espaço de iniciação à docência que, além de promover a aprendizagem colaborativa, possibilita o desenvolvimento de competências pedagógicas fundamentais, como planejamento, comunicação e mediação de </w:t>
      </w:r>
      <w:proofErr w:type="spellStart"/>
      <w:r w:rsidRPr="00AC3EC8">
        <w:rPr>
          <w:rFonts w:cs="Arial"/>
          <w:szCs w:val="24"/>
          <w:lang w:val="pt-BR"/>
        </w:rPr>
        <w:t>conteúdos</w:t>
      </w:r>
      <w:proofErr w:type="spellEnd"/>
      <w:r w:rsidRPr="00AC3EC8">
        <w:rPr>
          <w:rFonts w:cs="Arial"/>
          <w:szCs w:val="24"/>
          <w:lang w:val="pt-BR"/>
        </w:rPr>
        <w:t>. A pesquisa de Assis et al. (2006) reforça esse entendimento ao evidenciar que a monitoria gera benefícios tanto para os monitores, que ampliam seu repertório profissional, quanto para os estudantes apoiados, que encontram um ambiente de aprendizagem mais próximo e acessível.</w:t>
      </w:r>
    </w:p>
    <w:p w14:paraId="289BD8E3" w14:textId="77E16761"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Na literatura nacional, diferentes autores destacam a monitoria como prática de baixo custo e alto impacto, capaz de reduzir evasão, fortalecer vínculos institucionais e estimular o protagonismo discente. Gonçalves et al. (2021) argumentam que os programas de monitoria contribuem para a formação integral dos estudantes, promovendo engajamento e integração acadêmica. </w:t>
      </w:r>
      <w:proofErr w:type="spellStart"/>
      <w:r w:rsidRPr="00AC3EC8">
        <w:rPr>
          <w:rFonts w:cs="Arial"/>
          <w:szCs w:val="24"/>
          <w:lang w:val="pt-BR"/>
        </w:rPr>
        <w:t>Frison</w:t>
      </w:r>
      <w:proofErr w:type="spellEnd"/>
      <w:r w:rsidRPr="00AC3EC8">
        <w:rPr>
          <w:rFonts w:cs="Arial"/>
          <w:szCs w:val="24"/>
          <w:lang w:val="pt-BR"/>
        </w:rPr>
        <w:t xml:space="preserve"> (2016) acrescenta que a monitoria funciona como espaço de aprendizagem autorregulada, no qual os monitores exercitam autonomia e responsabilidade, ao mesmo tempo em que apoiam seus pares em um processo de aprendizagem colaborativa. Em síntese, a produção nacional ressalta que a monitoria transcende a função de apoio técnico-pedagógico, configurando-se como prática formativa que articula dimensões cognitivas, socioemocionais e institucionais.</w:t>
      </w:r>
    </w:p>
    <w:p w14:paraId="08FBDF1B" w14:textId="54DB33FB"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No plano internacional, práticas equivalentes como o </w:t>
      </w:r>
      <w:proofErr w:type="spellStart"/>
      <w:r w:rsidRPr="00AC3EC8">
        <w:rPr>
          <w:rFonts w:cs="Arial"/>
          <w:szCs w:val="24"/>
          <w:lang w:val="pt-BR"/>
        </w:rPr>
        <w:t>peer</w:t>
      </w:r>
      <w:proofErr w:type="spellEnd"/>
      <w:r w:rsidRPr="00AC3EC8">
        <w:rPr>
          <w:rFonts w:cs="Arial"/>
          <w:szCs w:val="24"/>
          <w:lang w:val="pt-BR"/>
        </w:rPr>
        <w:t xml:space="preserve"> </w:t>
      </w:r>
      <w:proofErr w:type="spellStart"/>
      <w:r w:rsidRPr="00AC3EC8">
        <w:rPr>
          <w:rFonts w:cs="Arial"/>
          <w:szCs w:val="24"/>
          <w:lang w:val="pt-BR"/>
        </w:rPr>
        <w:t>tutoring</w:t>
      </w:r>
      <w:proofErr w:type="spellEnd"/>
      <w:r w:rsidRPr="00AC3EC8">
        <w:rPr>
          <w:rFonts w:cs="Arial"/>
          <w:szCs w:val="24"/>
          <w:lang w:val="pt-BR"/>
        </w:rPr>
        <w:t xml:space="preserve"> e os programas de </w:t>
      </w:r>
      <w:proofErr w:type="spellStart"/>
      <w:r w:rsidRPr="005C43B0">
        <w:rPr>
          <w:rFonts w:cs="Arial"/>
          <w:i/>
          <w:iCs/>
          <w:szCs w:val="24"/>
          <w:lang w:val="pt-BR"/>
        </w:rPr>
        <w:t>Undergraduate</w:t>
      </w:r>
      <w:proofErr w:type="spellEnd"/>
      <w:r w:rsidRPr="005C43B0">
        <w:rPr>
          <w:rFonts w:cs="Arial"/>
          <w:i/>
          <w:iCs/>
          <w:szCs w:val="24"/>
          <w:lang w:val="pt-BR"/>
        </w:rPr>
        <w:t xml:space="preserve"> </w:t>
      </w:r>
      <w:proofErr w:type="spellStart"/>
      <w:r w:rsidRPr="005C43B0">
        <w:rPr>
          <w:rFonts w:cs="Arial"/>
          <w:i/>
          <w:iCs/>
          <w:szCs w:val="24"/>
          <w:lang w:val="pt-BR"/>
        </w:rPr>
        <w:t>Teaching</w:t>
      </w:r>
      <w:proofErr w:type="spellEnd"/>
      <w:r w:rsidRPr="005C43B0">
        <w:rPr>
          <w:rFonts w:cs="Arial"/>
          <w:i/>
          <w:iCs/>
          <w:szCs w:val="24"/>
          <w:lang w:val="pt-BR"/>
        </w:rPr>
        <w:t xml:space="preserve"> </w:t>
      </w:r>
      <w:proofErr w:type="spellStart"/>
      <w:r w:rsidRPr="005C43B0">
        <w:rPr>
          <w:rFonts w:cs="Arial"/>
          <w:i/>
          <w:iCs/>
          <w:szCs w:val="24"/>
          <w:lang w:val="pt-BR"/>
        </w:rPr>
        <w:t>Assistants</w:t>
      </w:r>
      <w:proofErr w:type="spellEnd"/>
      <w:r w:rsidRPr="00AC3EC8">
        <w:rPr>
          <w:rFonts w:cs="Arial"/>
          <w:szCs w:val="24"/>
          <w:lang w:val="pt-BR"/>
        </w:rPr>
        <w:t xml:space="preserve"> vêm sendo amplamente estudadas e oferecem um corpo sólido de evidências sobre os benefícios da tutoria entre pares. Em uma tipologia clássica, </w:t>
      </w:r>
      <w:proofErr w:type="spellStart"/>
      <w:r w:rsidRPr="00AC3EC8">
        <w:rPr>
          <w:rFonts w:cs="Arial"/>
          <w:szCs w:val="24"/>
          <w:lang w:val="pt-BR"/>
        </w:rPr>
        <w:t>Topping</w:t>
      </w:r>
      <w:proofErr w:type="spellEnd"/>
      <w:r w:rsidRPr="00AC3EC8">
        <w:rPr>
          <w:rFonts w:cs="Arial"/>
          <w:szCs w:val="24"/>
          <w:lang w:val="pt-BR"/>
        </w:rPr>
        <w:t xml:space="preserve"> (1996) sistematizou diferentes modalidades de tutoria</w:t>
      </w:r>
      <w:r w:rsidR="005C43B0">
        <w:rPr>
          <w:rFonts w:cs="Arial"/>
          <w:szCs w:val="24"/>
          <w:lang w:val="pt-BR"/>
        </w:rPr>
        <w:t xml:space="preserve">, </w:t>
      </w:r>
      <w:r w:rsidRPr="00AC3EC8">
        <w:rPr>
          <w:rFonts w:cs="Arial"/>
          <w:szCs w:val="24"/>
          <w:lang w:val="pt-BR"/>
        </w:rPr>
        <w:t xml:space="preserve">recíproca e não recíproca, individual e em grupo, no mesmo ano ou entre anos distintos, destacando que todas compartilham mecanismos centrais de eficácia: elaboração cognitiva, explicação de conteúdos, feedback imediato e prática deliberada. Esses </w:t>
      </w:r>
      <w:r w:rsidRPr="00AC3EC8">
        <w:rPr>
          <w:rFonts w:cs="Arial"/>
          <w:szCs w:val="24"/>
          <w:lang w:val="pt-BR"/>
        </w:rPr>
        <w:lastRenderedPageBreak/>
        <w:t>mecanismos explicam, em grande parte, os ganhos de aprendizagem tanto para os tutores quanto para os tutorados.</w:t>
      </w:r>
    </w:p>
    <w:p w14:paraId="504AEC6A" w14:textId="77777777"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Meta-análises reforçam esses achados. Bowman-</w:t>
      </w:r>
      <w:proofErr w:type="spellStart"/>
      <w:r w:rsidRPr="00AC3EC8">
        <w:rPr>
          <w:rFonts w:cs="Arial"/>
          <w:szCs w:val="24"/>
          <w:lang w:val="pt-BR"/>
        </w:rPr>
        <w:t>Perrott</w:t>
      </w:r>
      <w:proofErr w:type="spellEnd"/>
      <w:r w:rsidRPr="00AC3EC8">
        <w:rPr>
          <w:rFonts w:cs="Arial"/>
          <w:szCs w:val="24"/>
          <w:lang w:val="pt-BR"/>
        </w:rPr>
        <w:t xml:space="preserve"> et al. (2013) mostraram que programas de tutoria entre pares produzem efeitos consistentes sobre o desempenho acadêmico, com resultados positivos em diferentes níveis de ensino e áreas do conhecimento. Além disso, os benefícios não se restringem à dimensão cognitiva: tutores desenvolvem competências de liderança, comunicação e gestão do tempo, enquanto tutorados ganham confiança e constroem estratégias mais eficazes de estudo. Pesquisas </w:t>
      </w:r>
      <w:proofErr w:type="gramStart"/>
      <w:r w:rsidRPr="00AC3EC8">
        <w:rPr>
          <w:rFonts w:cs="Arial"/>
          <w:szCs w:val="24"/>
          <w:lang w:val="pt-BR"/>
        </w:rPr>
        <w:t xml:space="preserve">sobre </w:t>
      </w:r>
      <w:proofErr w:type="spellStart"/>
      <w:r w:rsidRPr="00AC3EC8">
        <w:rPr>
          <w:rFonts w:cs="Arial"/>
          <w:szCs w:val="24"/>
          <w:lang w:val="pt-BR"/>
        </w:rPr>
        <w:t>UTAs</w:t>
      </w:r>
      <w:proofErr w:type="spellEnd"/>
      <w:proofErr w:type="gramEnd"/>
      <w:r w:rsidRPr="00AC3EC8">
        <w:rPr>
          <w:rFonts w:cs="Arial"/>
          <w:szCs w:val="24"/>
          <w:lang w:val="pt-BR"/>
        </w:rPr>
        <w:t xml:space="preserve"> ampliam esse debate ao mapear práticas institucionais de recrutamento, treinamento e supervisão. </w:t>
      </w:r>
      <w:proofErr w:type="spellStart"/>
      <w:r w:rsidRPr="00AC3EC8">
        <w:rPr>
          <w:rFonts w:cs="Arial"/>
          <w:szCs w:val="24"/>
          <w:lang w:val="pt-BR"/>
        </w:rPr>
        <w:t>Mirza</w:t>
      </w:r>
      <w:proofErr w:type="spellEnd"/>
      <w:r w:rsidRPr="00AC3EC8">
        <w:rPr>
          <w:rFonts w:cs="Arial"/>
          <w:szCs w:val="24"/>
          <w:lang w:val="pt-BR"/>
        </w:rPr>
        <w:t xml:space="preserve"> et al. (2019), em uma revisão sistemática, observaram que programas </w:t>
      </w:r>
      <w:proofErr w:type="gramStart"/>
      <w:r w:rsidRPr="00AC3EC8">
        <w:rPr>
          <w:rFonts w:cs="Arial"/>
          <w:szCs w:val="24"/>
          <w:lang w:val="pt-BR"/>
        </w:rPr>
        <w:t xml:space="preserve">de </w:t>
      </w:r>
      <w:proofErr w:type="spellStart"/>
      <w:r w:rsidRPr="00AC3EC8">
        <w:rPr>
          <w:rFonts w:cs="Arial"/>
          <w:szCs w:val="24"/>
          <w:lang w:val="pt-BR"/>
        </w:rPr>
        <w:t>UTAs</w:t>
      </w:r>
      <w:proofErr w:type="spellEnd"/>
      <w:proofErr w:type="gramEnd"/>
      <w:r w:rsidRPr="00AC3EC8">
        <w:rPr>
          <w:rFonts w:cs="Arial"/>
          <w:szCs w:val="24"/>
          <w:lang w:val="pt-BR"/>
        </w:rPr>
        <w:t xml:space="preserve"> variam significativamente quanto ao escopo de responsabilidades, mas em geral incluem atividades de apoio em sala de aula, facilitação de grupos de estudo e auxílio em avaliações. De forma semelhante, </w:t>
      </w:r>
      <w:proofErr w:type="spellStart"/>
      <w:r w:rsidRPr="00AC3EC8">
        <w:rPr>
          <w:rFonts w:cs="Arial"/>
          <w:szCs w:val="24"/>
          <w:lang w:val="pt-BR"/>
        </w:rPr>
        <w:t>Weidert</w:t>
      </w:r>
      <w:proofErr w:type="spellEnd"/>
      <w:r w:rsidRPr="00AC3EC8">
        <w:rPr>
          <w:rFonts w:cs="Arial"/>
          <w:szCs w:val="24"/>
          <w:lang w:val="pt-BR"/>
        </w:rPr>
        <w:t xml:space="preserve"> et al. (2012) destacam </w:t>
      </w:r>
      <w:proofErr w:type="gramStart"/>
      <w:r w:rsidRPr="00AC3EC8">
        <w:rPr>
          <w:rFonts w:cs="Arial"/>
          <w:szCs w:val="24"/>
          <w:lang w:val="pt-BR"/>
        </w:rPr>
        <w:t xml:space="preserve">que </w:t>
      </w:r>
      <w:proofErr w:type="spellStart"/>
      <w:r w:rsidRPr="00AC3EC8">
        <w:rPr>
          <w:rFonts w:cs="Arial"/>
          <w:szCs w:val="24"/>
          <w:lang w:val="pt-BR"/>
        </w:rPr>
        <w:t>UTAs</w:t>
      </w:r>
      <w:proofErr w:type="spellEnd"/>
      <w:proofErr w:type="gramEnd"/>
      <w:r w:rsidRPr="00AC3EC8">
        <w:rPr>
          <w:rFonts w:cs="Arial"/>
          <w:szCs w:val="24"/>
          <w:lang w:val="pt-BR"/>
        </w:rPr>
        <w:t xml:space="preserve"> que assumem maior escopo de atribuições e são incentivados a refletir sobre sua prática relatam níveis mais elevados de satisfação, engajamento e desenvolvimento de competências pedagógicas.</w:t>
      </w:r>
    </w:p>
    <w:p w14:paraId="26D547C4" w14:textId="77777777"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Outro ponto relevante da literatura internacional diz respeito ao impacto da tutoria em públicos específicos. </w:t>
      </w:r>
      <w:proofErr w:type="spellStart"/>
      <w:r w:rsidRPr="00AC3EC8">
        <w:rPr>
          <w:rFonts w:cs="Arial"/>
          <w:szCs w:val="24"/>
          <w:lang w:val="pt-BR"/>
        </w:rPr>
        <w:t>Colver</w:t>
      </w:r>
      <w:proofErr w:type="spellEnd"/>
      <w:r w:rsidRPr="00AC3EC8">
        <w:rPr>
          <w:rFonts w:cs="Arial"/>
          <w:szCs w:val="24"/>
          <w:lang w:val="pt-BR"/>
        </w:rPr>
        <w:t xml:space="preserve"> e </w:t>
      </w:r>
      <w:proofErr w:type="spellStart"/>
      <w:r w:rsidRPr="00AC3EC8">
        <w:rPr>
          <w:rFonts w:cs="Arial"/>
          <w:szCs w:val="24"/>
          <w:lang w:val="pt-BR"/>
        </w:rPr>
        <w:t>Fry</w:t>
      </w:r>
      <w:proofErr w:type="spellEnd"/>
      <w:r w:rsidRPr="00AC3EC8">
        <w:rPr>
          <w:rFonts w:cs="Arial"/>
          <w:szCs w:val="24"/>
          <w:lang w:val="pt-BR"/>
        </w:rPr>
        <w:t xml:space="preserve"> (2016), em estudo quase-experimental, identificaram que a tutoria é particularmente eficaz para estudantes de primeira geração no ensino superior, contribuindo para mitigar desigualdades acadêmicas e sociais. Esses resultados reforçam o caráter inclusivo das práticas de monitoria, sugerindo que programas bem estruturados podem funcionar como instrumentos de equidade educacional.</w:t>
      </w:r>
    </w:p>
    <w:p w14:paraId="1AE8B088" w14:textId="7095F907"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Ao trazer esse debate para a área de Administração, algumas particularidades emergem. Estudos nacionais envolvendo monitores de Administração, Administração Pública e Ciências Contábeis evidenciam que a monitoria, além de favorecer o aprendizado, contribui para a construção da identidade profissional do monitor, despertando interesse pela docência e promovendo amadurecimento acadêmico (</w:t>
      </w:r>
      <w:proofErr w:type="spellStart"/>
      <w:r w:rsidRPr="00AC3EC8">
        <w:rPr>
          <w:rFonts w:cs="Arial"/>
          <w:szCs w:val="24"/>
          <w:lang w:val="pt-BR"/>
        </w:rPr>
        <w:t>Vicenzi</w:t>
      </w:r>
      <w:proofErr w:type="spellEnd"/>
      <w:r w:rsidRPr="00AC3EC8">
        <w:rPr>
          <w:rFonts w:cs="Arial"/>
          <w:szCs w:val="24"/>
          <w:lang w:val="pt-BR"/>
        </w:rPr>
        <w:t xml:space="preserve"> et al., 2016). Em pesquisa qualitativa com monitores de Administração, verificou-se que a experiência possibilita novas formas de aprender e ensinar, reforçando a ideia de que a monitoria é uma ponte entre teoria e prática, essencial na formação de gestores capazes de lidar com a complexidade do mundo organizacional.</w:t>
      </w:r>
    </w:p>
    <w:p w14:paraId="3B4055D3" w14:textId="2750E437"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Pesquisas empíricas também revelam barreiras de implementação nos cursos de Administração. Um estudo com 190 alunos de Administração, Administração Pública e Ciências Contábeis mostrou que a principal dificuldade de acesso à monitoria está na incompatibilidade de horários, seguida pela inadequação do espaço físico. O dado mais intrigante, porém, é que uma parcela significativa dos alunos que nunca frequentaram a monitoria afirmou não ter dificuldades acadêmicas, revelando uma percepção limitada do papel dessa atividade e evidenciando falhas de comunicação institucional (</w:t>
      </w:r>
      <w:r w:rsidR="00A26707">
        <w:rPr>
          <w:rFonts w:cs="Arial"/>
          <w:szCs w:val="24"/>
          <w:lang w:val="pt-BR"/>
        </w:rPr>
        <w:t xml:space="preserve">Machado </w:t>
      </w:r>
      <w:r w:rsidR="00A26707" w:rsidRPr="00A26707">
        <w:rPr>
          <w:rFonts w:cs="Arial"/>
          <w:i/>
          <w:iCs/>
          <w:szCs w:val="24"/>
          <w:lang w:val="pt-BR"/>
        </w:rPr>
        <w:t>et al.</w:t>
      </w:r>
      <w:r w:rsidRPr="00AC3EC8">
        <w:rPr>
          <w:rFonts w:cs="Arial"/>
          <w:szCs w:val="24"/>
          <w:lang w:val="pt-BR"/>
        </w:rPr>
        <w:t>, 201</w:t>
      </w:r>
      <w:r w:rsidR="00A26707">
        <w:rPr>
          <w:rFonts w:cs="Arial"/>
          <w:szCs w:val="24"/>
          <w:lang w:val="pt-BR"/>
        </w:rPr>
        <w:t>0</w:t>
      </w:r>
      <w:r w:rsidRPr="00AC3EC8">
        <w:rPr>
          <w:rFonts w:cs="Arial"/>
          <w:szCs w:val="24"/>
          <w:lang w:val="pt-BR"/>
        </w:rPr>
        <w:t>). Esse achado sugere que a efetividade da monitoria não depende apenas da sua existência, mas também do modo como é comunicada, organizada e percebida pelos estudantes.</w:t>
      </w:r>
    </w:p>
    <w:p w14:paraId="574F4685" w14:textId="4B4B6D3C"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Outros trabalhos trazem nuances sobre o impacto da monitoria em diferentes modalidades de ensino. Em investigação </w:t>
      </w:r>
      <w:proofErr w:type="spellStart"/>
      <w:r w:rsidRPr="00AC3EC8">
        <w:rPr>
          <w:rFonts w:cs="Arial"/>
          <w:szCs w:val="24"/>
          <w:lang w:val="pt-BR"/>
        </w:rPr>
        <w:t>quasi</w:t>
      </w:r>
      <w:proofErr w:type="spellEnd"/>
      <w:r w:rsidRPr="00AC3EC8">
        <w:rPr>
          <w:rFonts w:cs="Arial"/>
          <w:szCs w:val="24"/>
          <w:lang w:val="pt-BR"/>
        </w:rPr>
        <w:t xml:space="preserve">-experimental realizada em curso de Administração a distância, comparando alunos que participaram e que não participaram de monitorias presenciais, não foram </w:t>
      </w:r>
      <w:r w:rsidRPr="00AC3EC8">
        <w:rPr>
          <w:rFonts w:cs="Arial"/>
          <w:szCs w:val="24"/>
          <w:lang w:val="pt-BR"/>
        </w:rPr>
        <w:lastRenderedPageBreak/>
        <w:t>encontradas diferenças significativas em avaliações escritas (Ferreira; Oliveira; Costa, 2012). Esse resultado provoca reflexões importantes: se a literatura internacional aponta ganhos consistentes, por que a monitoria nem sempre produz efeitos mensuráveis no contexto brasileiro? A resposta parece residir no desenho pedagógico e na implementação. A monitoria precisa estar bem estruturada, com seleção adequada de monitores, treinamento pedagógico, definição clara de atribuições, supervisão docente e mecanismos de avaliação contínua. Caso contrário, o simples oferecimento da prática não se traduz em ganhos acadêmicos efetivos.</w:t>
      </w:r>
    </w:p>
    <w:p w14:paraId="1B1C771B" w14:textId="318E24D4"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O período da pandemia de Covid-19 trouxe novas perspectivas para a monitoria em cursos de Administração. Estudos qualitativos apontam que, durante o ensino remoto emergencial, a monitoria passou por ajustes incrementais, adaptando-se ao uso intensivo de tecnologias digitais, reorganização de papéis e desenvolvimento de competências técnicas e pedagógicas mediadas por plataformas virtuais (</w:t>
      </w:r>
      <w:r w:rsidR="00A26707" w:rsidRPr="00A26707">
        <w:rPr>
          <w:rFonts w:cs="Arial"/>
          <w:szCs w:val="24"/>
          <w:lang w:val="pt-BR"/>
        </w:rPr>
        <w:t xml:space="preserve">Silva </w:t>
      </w:r>
      <w:r w:rsidR="00A26707" w:rsidRPr="00A26707">
        <w:rPr>
          <w:rFonts w:cs="Arial"/>
          <w:i/>
          <w:iCs/>
          <w:szCs w:val="24"/>
          <w:lang w:val="pt-BR"/>
        </w:rPr>
        <w:t>et al.</w:t>
      </w:r>
      <w:r w:rsidR="00A26707">
        <w:rPr>
          <w:rFonts w:cs="Arial"/>
          <w:szCs w:val="24"/>
          <w:lang w:val="pt-BR"/>
        </w:rPr>
        <w:t>, 2022</w:t>
      </w:r>
      <w:r w:rsidRPr="00AC3EC8">
        <w:rPr>
          <w:rFonts w:cs="Arial"/>
          <w:szCs w:val="24"/>
          <w:lang w:val="pt-BR"/>
        </w:rPr>
        <w:t>). Interessante notar que parte dessas adaptações permaneceu no período pós-pandemia, evidenciando que a crise funcionou como laboratório de inovação pedagógica, capaz de elevar a maturidade institucional da política de monitoria.</w:t>
      </w:r>
    </w:p>
    <w:p w14:paraId="470D11E6" w14:textId="447F692B" w:rsidR="00C72A84" w:rsidRPr="00247E43" w:rsidRDefault="00AC3EC8" w:rsidP="00AC3EC8">
      <w:pPr>
        <w:spacing w:after="0" w:line="240" w:lineRule="auto"/>
        <w:ind w:firstLine="720"/>
        <w:jc w:val="both"/>
        <w:rPr>
          <w:rFonts w:cs="Arial"/>
          <w:szCs w:val="24"/>
          <w:lang w:val="pt-BR"/>
        </w:rPr>
      </w:pPr>
      <w:r w:rsidRPr="00AC3EC8">
        <w:rPr>
          <w:rFonts w:cs="Arial"/>
          <w:szCs w:val="24"/>
          <w:lang w:val="pt-BR"/>
        </w:rPr>
        <w:t xml:space="preserve">Em síntese, a literatura evidencia que a monitoria acadêmica é uma prática pedagógica com múltiplas dimensões: formativa, inclusiva, institucional e de equidade. Estudos nacionais destacam sua relevância para a iniciação à docência, engajamento discente e permanência estudantil (Nunes, 2007; Assis et al., 2006; Gonçalves et al., 2021; </w:t>
      </w:r>
      <w:proofErr w:type="spellStart"/>
      <w:r w:rsidRPr="00AC3EC8">
        <w:rPr>
          <w:rFonts w:cs="Arial"/>
          <w:szCs w:val="24"/>
          <w:lang w:val="pt-BR"/>
        </w:rPr>
        <w:t>Vicenzi</w:t>
      </w:r>
      <w:proofErr w:type="spellEnd"/>
      <w:r w:rsidRPr="00AC3EC8">
        <w:rPr>
          <w:rFonts w:cs="Arial"/>
          <w:szCs w:val="24"/>
          <w:lang w:val="pt-BR"/>
        </w:rPr>
        <w:t xml:space="preserve"> et al., 2016; </w:t>
      </w:r>
      <w:proofErr w:type="spellStart"/>
      <w:r w:rsidRPr="00AC3EC8">
        <w:rPr>
          <w:rFonts w:cs="Arial"/>
          <w:szCs w:val="24"/>
          <w:lang w:val="pt-BR"/>
        </w:rPr>
        <w:t>Frison</w:t>
      </w:r>
      <w:proofErr w:type="spellEnd"/>
      <w:r w:rsidRPr="00AC3EC8">
        <w:rPr>
          <w:rFonts w:cs="Arial"/>
          <w:szCs w:val="24"/>
          <w:lang w:val="pt-BR"/>
        </w:rPr>
        <w:t>, 2016). A literatura internacional reforça esses achados, ao demonstrar efeitos consistentes de programas de tutoria sobre desempenho, competências e equidade (</w:t>
      </w:r>
      <w:proofErr w:type="spellStart"/>
      <w:r w:rsidRPr="00AC3EC8">
        <w:rPr>
          <w:rFonts w:cs="Arial"/>
          <w:szCs w:val="24"/>
          <w:lang w:val="pt-BR"/>
        </w:rPr>
        <w:t>Topping</w:t>
      </w:r>
      <w:proofErr w:type="spellEnd"/>
      <w:r w:rsidRPr="00AC3EC8">
        <w:rPr>
          <w:rFonts w:cs="Arial"/>
          <w:szCs w:val="24"/>
          <w:lang w:val="pt-BR"/>
        </w:rPr>
        <w:t>, 1996; Bowman-</w:t>
      </w:r>
      <w:proofErr w:type="spellStart"/>
      <w:r w:rsidRPr="00AC3EC8">
        <w:rPr>
          <w:rFonts w:cs="Arial"/>
          <w:szCs w:val="24"/>
          <w:lang w:val="pt-BR"/>
        </w:rPr>
        <w:t>Perrott</w:t>
      </w:r>
      <w:proofErr w:type="spellEnd"/>
      <w:r w:rsidRPr="00AC3EC8">
        <w:rPr>
          <w:rFonts w:cs="Arial"/>
          <w:szCs w:val="24"/>
          <w:lang w:val="pt-BR"/>
        </w:rPr>
        <w:t xml:space="preserve"> et al., 2013; </w:t>
      </w:r>
      <w:proofErr w:type="spellStart"/>
      <w:r w:rsidRPr="00AC3EC8">
        <w:rPr>
          <w:rFonts w:cs="Arial"/>
          <w:szCs w:val="24"/>
          <w:lang w:val="pt-BR"/>
        </w:rPr>
        <w:t>Mirza</w:t>
      </w:r>
      <w:proofErr w:type="spellEnd"/>
      <w:r w:rsidRPr="00AC3EC8">
        <w:rPr>
          <w:rFonts w:cs="Arial"/>
          <w:szCs w:val="24"/>
          <w:lang w:val="pt-BR"/>
        </w:rPr>
        <w:t xml:space="preserve"> et al., 2019; </w:t>
      </w:r>
      <w:proofErr w:type="spellStart"/>
      <w:r w:rsidRPr="00AC3EC8">
        <w:rPr>
          <w:rFonts w:cs="Arial"/>
          <w:szCs w:val="24"/>
          <w:lang w:val="pt-BR"/>
        </w:rPr>
        <w:t>Weidert</w:t>
      </w:r>
      <w:proofErr w:type="spellEnd"/>
      <w:r w:rsidRPr="00AC3EC8">
        <w:rPr>
          <w:rFonts w:cs="Arial"/>
          <w:szCs w:val="24"/>
          <w:lang w:val="pt-BR"/>
        </w:rPr>
        <w:t xml:space="preserve"> et al., 2012; </w:t>
      </w:r>
      <w:proofErr w:type="spellStart"/>
      <w:r w:rsidRPr="00AC3EC8">
        <w:rPr>
          <w:rFonts w:cs="Arial"/>
          <w:szCs w:val="24"/>
          <w:lang w:val="pt-BR"/>
        </w:rPr>
        <w:t>Colver</w:t>
      </w:r>
      <w:proofErr w:type="spellEnd"/>
      <w:r w:rsidRPr="00AC3EC8">
        <w:rPr>
          <w:rFonts w:cs="Arial"/>
          <w:szCs w:val="24"/>
          <w:lang w:val="pt-BR"/>
        </w:rPr>
        <w:t xml:space="preserve">; </w:t>
      </w:r>
      <w:proofErr w:type="spellStart"/>
      <w:r w:rsidRPr="00AC3EC8">
        <w:rPr>
          <w:rFonts w:cs="Arial"/>
          <w:szCs w:val="24"/>
          <w:lang w:val="pt-BR"/>
        </w:rPr>
        <w:t>Fry</w:t>
      </w:r>
      <w:proofErr w:type="spellEnd"/>
      <w:r w:rsidRPr="00AC3EC8">
        <w:rPr>
          <w:rFonts w:cs="Arial"/>
          <w:szCs w:val="24"/>
          <w:lang w:val="pt-BR"/>
        </w:rPr>
        <w:t>, 2016). No campo da Administração, as evidências mostram tanto potenciais de impacto quanto limitações de implementação, sugerindo que os efeitos da monitoria dependem fortemente de desenho pedagógico, alinhamento institucional e comunicação eficaz. Persistem lacunas relacionadas à mensuração de seus efeitos em avaliações externas de larga escala, como o Enade, o que torna pertinente a investigação da relação entre valorização da monitoria e desempenho em cursos de Administração.</w:t>
      </w:r>
    </w:p>
    <w:p w14:paraId="24383617" w14:textId="77777777" w:rsidR="00572D56" w:rsidRPr="00247E43" w:rsidRDefault="006949C4" w:rsidP="00C72A84">
      <w:pPr>
        <w:pStyle w:val="Ttulo1"/>
        <w:jc w:val="both"/>
        <w:rPr>
          <w:rFonts w:ascii="Arial" w:hAnsi="Arial" w:cs="Arial"/>
          <w:color w:val="auto"/>
          <w:sz w:val="24"/>
          <w:szCs w:val="24"/>
          <w:lang w:val="pt-BR"/>
        </w:rPr>
      </w:pPr>
      <w:r w:rsidRPr="00247E43">
        <w:rPr>
          <w:rFonts w:ascii="Arial" w:hAnsi="Arial" w:cs="Arial"/>
          <w:color w:val="auto"/>
          <w:sz w:val="24"/>
          <w:szCs w:val="24"/>
          <w:lang w:val="pt-BR"/>
        </w:rPr>
        <w:t>3. Metodologia</w:t>
      </w:r>
    </w:p>
    <w:p w14:paraId="4AE0EAEA" w14:textId="36E50013"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Para atingir o objetivo deste estudo montou-se uma amostra de cursos de graduação que realizaram o ENADE em 2022. A população é composta por 9896</w:t>
      </w:r>
      <w:r w:rsidR="00C861AE">
        <w:rPr>
          <w:rFonts w:cs="Arial"/>
          <w:szCs w:val="24"/>
          <w:lang w:val="pt-BR"/>
        </w:rPr>
        <w:t xml:space="preserve"> cursos de graduação</w:t>
      </w:r>
      <w:r w:rsidRPr="00AC3EC8">
        <w:rPr>
          <w:rFonts w:cs="Arial"/>
          <w:szCs w:val="24"/>
          <w:lang w:val="pt-BR"/>
        </w:rPr>
        <w:t xml:space="preserve">, porém a amostra final foi composta por </w:t>
      </w:r>
      <w:r w:rsidR="00C861AE">
        <w:rPr>
          <w:rFonts w:cs="Arial"/>
          <w:szCs w:val="24"/>
          <w:lang w:val="pt-BR"/>
        </w:rPr>
        <w:t>1596</w:t>
      </w:r>
      <w:r w:rsidRPr="00AC3EC8">
        <w:rPr>
          <w:rFonts w:cs="Arial"/>
          <w:szCs w:val="24"/>
          <w:lang w:val="pt-BR"/>
        </w:rPr>
        <w:t xml:space="preserve"> cursos</w:t>
      </w:r>
      <w:r w:rsidR="00C861AE">
        <w:rPr>
          <w:rFonts w:cs="Arial"/>
          <w:szCs w:val="24"/>
          <w:lang w:val="pt-BR"/>
        </w:rPr>
        <w:t xml:space="preserve"> da área de administração</w:t>
      </w:r>
      <w:r w:rsidRPr="00AC3EC8">
        <w:rPr>
          <w:rFonts w:cs="Arial"/>
          <w:szCs w:val="24"/>
          <w:lang w:val="pt-BR"/>
        </w:rPr>
        <w:t xml:space="preserve"> com pelo menos cinco participantes no ENADE</w:t>
      </w:r>
      <w:r w:rsidR="00C861AE">
        <w:rPr>
          <w:rFonts w:cs="Arial"/>
          <w:szCs w:val="24"/>
          <w:lang w:val="pt-BR"/>
        </w:rPr>
        <w:t xml:space="preserve"> 2022</w:t>
      </w:r>
      <w:r w:rsidRPr="00AC3EC8">
        <w:rPr>
          <w:rFonts w:cs="Arial"/>
          <w:szCs w:val="24"/>
          <w:lang w:val="pt-BR"/>
        </w:rPr>
        <w:t>.</w:t>
      </w:r>
    </w:p>
    <w:p w14:paraId="31A0F637" w14:textId="13F26C9E" w:rsidR="00AC3EC8" w:rsidRPr="00AC3EC8" w:rsidRDefault="00C861AE" w:rsidP="00AC3EC8">
      <w:pPr>
        <w:spacing w:after="0" w:line="240" w:lineRule="auto"/>
        <w:ind w:firstLine="720"/>
        <w:jc w:val="both"/>
        <w:rPr>
          <w:rFonts w:cs="Arial"/>
          <w:szCs w:val="24"/>
          <w:lang w:val="pt-BR"/>
        </w:rPr>
      </w:pPr>
      <w:r>
        <w:rPr>
          <w:rFonts w:cs="Arial"/>
          <w:szCs w:val="24"/>
          <w:lang w:val="pt-BR"/>
        </w:rPr>
        <w:t xml:space="preserve">Esta pesquisa se configura como </w:t>
      </w:r>
      <w:r w:rsidR="00AC3EC8" w:rsidRPr="00AC3EC8">
        <w:rPr>
          <w:rFonts w:cs="Arial"/>
          <w:szCs w:val="24"/>
          <w:lang w:val="pt-BR"/>
        </w:rPr>
        <w:t xml:space="preserve">quantitativa, </w:t>
      </w:r>
      <w:r>
        <w:rPr>
          <w:rFonts w:cs="Arial"/>
          <w:szCs w:val="24"/>
          <w:lang w:val="pt-BR"/>
        </w:rPr>
        <w:t xml:space="preserve">uma vez que utiliza </w:t>
      </w:r>
      <w:r w:rsidR="00AC3EC8" w:rsidRPr="00AC3EC8">
        <w:rPr>
          <w:rFonts w:cs="Arial"/>
          <w:szCs w:val="24"/>
          <w:lang w:val="pt-BR"/>
        </w:rPr>
        <w:t xml:space="preserve">variáveis </w:t>
      </w:r>
      <w:r>
        <w:rPr>
          <w:rFonts w:cs="Arial"/>
          <w:szCs w:val="24"/>
          <w:lang w:val="pt-BR"/>
        </w:rPr>
        <w:t xml:space="preserve">que </w:t>
      </w:r>
      <w:r w:rsidR="00AC3EC8" w:rsidRPr="00AC3EC8">
        <w:rPr>
          <w:rFonts w:cs="Arial"/>
          <w:szCs w:val="24"/>
          <w:lang w:val="pt-BR"/>
        </w:rPr>
        <w:t>consistem em elementos mensuráveis que permitem a análise da relação entre fenômenos, podendo ser classificadas em dependentes, independentes e de controle (</w:t>
      </w:r>
      <w:proofErr w:type="spellStart"/>
      <w:r w:rsidR="00AC3EC8" w:rsidRPr="00AC3EC8">
        <w:rPr>
          <w:rFonts w:cs="Arial"/>
          <w:szCs w:val="24"/>
          <w:lang w:val="pt-BR"/>
        </w:rPr>
        <w:t>Hair</w:t>
      </w:r>
      <w:proofErr w:type="spellEnd"/>
      <w:r w:rsidR="00AC3EC8" w:rsidRPr="00AC3EC8">
        <w:rPr>
          <w:rFonts w:cs="Arial"/>
          <w:szCs w:val="24"/>
          <w:lang w:val="pt-BR"/>
        </w:rPr>
        <w:t xml:space="preserve"> et al., 2009). A variável dependente é aquela cujo comportamento se busca explicar; a variável independente representa o fator explicativo ou preditor; e as variáveis de controle são introduzidas no modelo com a finalidade de isolar efeitos espúrios, assegurando maior validade aos resultados (</w:t>
      </w:r>
      <w:proofErr w:type="spellStart"/>
      <w:r w:rsidR="00AC3EC8" w:rsidRPr="00AC3EC8">
        <w:rPr>
          <w:rFonts w:cs="Arial"/>
          <w:szCs w:val="24"/>
          <w:lang w:val="pt-BR"/>
        </w:rPr>
        <w:t>Creswell</w:t>
      </w:r>
      <w:proofErr w:type="spellEnd"/>
      <w:r w:rsidR="00AC3EC8" w:rsidRPr="00AC3EC8">
        <w:rPr>
          <w:rFonts w:cs="Arial"/>
          <w:szCs w:val="24"/>
          <w:lang w:val="pt-BR"/>
        </w:rPr>
        <w:t xml:space="preserve">; </w:t>
      </w:r>
      <w:proofErr w:type="spellStart"/>
      <w:r w:rsidR="00AC3EC8" w:rsidRPr="00AC3EC8">
        <w:rPr>
          <w:rFonts w:cs="Arial"/>
          <w:szCs w:val="24"/>
          <w:lang w:val="pt-BR"/>
        </w:rPr>
        <w:t>Creswell</w:t>
      </w:r>
      <w:proofErr w:type="spellEnd"/>
      <w:r w:rsidR="00AC3EC8" w:rsidRPr="00AC3EC8">
        <w:rPr>
          <w:rFonts w:cs="Arial"/>
          <w:szCs w:val="24"/>
          <w:lang w:val="pt-BR"/>
        </w:rPr>
        <w:t>, 2021).</w:t>
      </w:r>
    </w:p>
    <w:p w14:paraId="07126258" w14:textId="77777777"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lastRenderedPageBreak/>
        <w:t>Neste estudo, a variável dependente corresponde ao desempenho no Exame Nacional de Desempenho dos Estudantes (ENADE), operacionalizado por meio da Nota Geral (</w:t>
      </w:r>
      <w:proofErr w:type="spellStart"/>
      <w:r w:rsidRPr="00AC3EC8">
        <w:rPr>
          <w:rFonts w:cs="Arial"/>
          <w:szCs w:val="24"/>
          <w:lang w:val="pt-BR"/>
        </w:rPr>
        <w:t>nota_bruta_ger</w:t>
      </w:r>
      <w:proofErr w:type="spellEnd"/>
      <w:r w:rsidRPr="00AC3EC8">
        <w:rPr>
          <w:rFonts w:cs="Arial"/>
          <w:szCs w:val="24"/>
          <w:lang w:val="pt-BR"/>
        </w:rPr>
        <w:t>), da Nota da Formação Geral (</w:t>
      </w:r>
      <w:proofErr w:type="spellStart"/>
      <w:r w:rsidRPr="00AC3EC8">
        <w:rPr>
          <w:rFonts w:cs="Arial"/>
          <w:szCs w:val="24"/>
          <w:lang w:val="pt-BR"/>
        </w:rPr>
        <w:t>nota_bruta_fg</w:t>
      </w:r>
      <w:proofErr w:type="spellEnd"/>
      <w:r w:rsidRPr="00AC3EC8">
        <w:rPr>
          <w:rFonts w:cs="Arial"/>
          <w:szCs w:val="24"/>
          <w:lang w:val="pt-BR"/>
        </w:rPr>
        <w:t>), da Nota do Componente Específico (</w:t>
      </w:r>
      <w:proofErr w:type="spellStart"/>
      <w:r w:rsidRPr="00AC3EC8">
        <w:rPr>
          <w:rFonts w:cs="Arial"/>
          <w:szCs w:val="24"/>
          <w:lang w:val="pt-BR"/>
        </w:rPr>
        <w:t>nota_bruta_ce</w:t>
      </w:r>
      <w:proofErr w:type="spellEnd"/>
      <w:r w:rsidRPr="00AC3EC8">
        <w:rPr>
          <w:rFonts w:cs="Arial"/>
          <w:szCs w:val="24"/>
          <w:lang w:val="pt-BR"/>
        </w:rPr>
        <w:t>) e da Faixa ENADE (faixa). Esses indicadores são utilizados pelo Instituto Nacional de Estudos e Pesquisas Educacionais Anísio Teixeira (INEP) como parâmetros oficiais de avaliação da qualidade dos cursos de graduação no Brasil (INEP, 2019).</w:t>
      </w:r>
    </w:p>
    <w:p w14:paraId="67536C95" w14:textId="46316D8F"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A variável independente é representada pela importância atribuída à monitoria acadêmica (monitoria)</w:t>
      </w:r>
      <w:r w:rsidR="00C861AE">
        <w:rPr>
          <w:rFonts w:cs="Arial"/>
          <w:szCs w:val="24"/>
          <w:lang w:val="pt-BR"/>
        </w:rPr>
        <w:t>. Esta variável foi calculada a partir da questão QE_I60 (“</w:t>
      </w:r>
      <w:r w:rsidR="00C861AE" w:rsidRPr="00C861AE">
        <w:rPr>
          <w:rFonts w:cs="Arial"/>
          <w:i/>
          <w:iCs/>
          <w:szCs w:val="24"/>
          <w:lang w:val="pt-BR"/>
        </w:rPr>
        <w:t>O curso disponibilizou monitores ou tutores para auxiliar os estudantes</w:t>
      </w:r>
      <w:r w:rsidR="00C861AE">
        <w:rPr>
          <w:rFonts w:cs="Arial"/>
          <w:szCs w:val="24"/>
          <w:lang w:val="pt-BR"/>
        </w:rPr>
        <w:t xml:space="preserve">”) presente no questionário que os alunos respondem antes da realização da prova do ENADE. Esta pergunta é composta por uma escala de oito pontos. Os pontos de 1 a 6 funcionam como uma escala </w:t>
      </w:r>
      <w:proofErr w:type="spellStart"/>
      <w:r w:rsidR="00C861AE">
        <w:rPr>
          <w:rFonts w:cs="Arial"/>
          <w:szCs w:val="24"/>
          <w:lang w:val="pt-BR"/>
        </w:rPr>
        <w:t>Likert</w:t>
      </w:r>
      <w:proofErr w:type="spellEnd"/>
      <w:r w:rsidR="00C861AE">
        <w:rPr>
          <w:rFonts w:cs="Arial"/>
          <w:szCs w:val="24"/>
          <w:lang w:val="pt-BR"/>
        </w:rPr>
        <w:t>, em que quanto maior o valor, maior a importância atribuída para monitoria. Os valores 7 e 8 foram excluídos da análise pois correspondem à “não sei responder” e “não se aplica”, respectivamente</w:t>
      </w:r>
      <w:r w:rsidRPr="00AC3EC8">
        <w:rPr>
          <w:rFonts w:cs="Arial"/>
          <w:szCs w:val="24"/>
          <w:lang w:val="pt-BR"/>
        </w:rPr>
        <w:t>.</w:t>
      </w:r>
    </w:p>
    <w:p w14:paraId="06798D30" w14:textId="473F3858"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Por fim, foram incluídas variáveis de controle referentes a características institucionais, acadêmicas e regionais dos cursos, a fim de neutralizar vieses. Entre elas estão: </w:t>
      </w:r>
      <w:r w:rsidR="00C861AE">
        <w:rPr>
          <w:rFonts w:cs="Arial"/>
          <w:szCs w:val="24"/>
          <w:lang w:val="pt-BR"/>
        </w:rPr>
        <w:t>modalidade de ensino (presencial ou EAD), se a instituição é privada ou não, se a instituição é uma universidade ou não, a quantidade de participantes e o percentual de participação no ENADE (total de participantes dividido pelo total de inscritos em cada instituição)</w:t>
      </w:r>
      <w:r w:rsidRPr="00AC3EC8">
        <w:rPr>
          <w:rFonts w:cs="Arial"/>
          <w:szCs w:val="24"/>
          <w:lang w:val="pt-BR"/>
        </w:rPr>
        <w:t>. Estudos prévios reforçam que tais variáveis institucionais e contextuais exercem influência significativa sobre os resultados do ENADE e, portanto, sua inclusão é essencial para a robustez do modelo de regressão (Moreira, 2011).</w:t>
      </w:r>
    </w:p>
    <w:p w14:paraId="002A23FD" w14:textId="2362E359" w:rsidR="00AC3EC8" w:rsidRPr="00AC3EC8" w:rsidRDefault="00AC3EC8" w:rsidP="00AC3EC8">
      <w:pPr>
        <w:spacing w:after="0" w:line="240" w:lineRule="auto"/>
        <w:ind w:firstLine="720"/>
        <w:jc w:val="both"/>
        <w:rPr>
          <w:rFonts w:cs="Arial"/>
          <w:szCs w:val="24"/>
          <w:lang w:val="pt-BR"/>
        </w:rPr>
      </w:pPr>
      <w:r w:rsidRPr="00AC3EC8">
        <w:rPr>
          <w:rFonts w:cs="Arial"/>
          <w:szCs w:val="24"/>
          <w:lang w:val="pt-BR"/>
        </w:rPr>
        <w:t xml:space="preserve">Com o propósito de assegurar maior rigor metodológico e amplitude analítica, este estudo adotou uma estratégia combinada, fundamentada na utilização do software </w:t>
      </w:r>
      <w:proofErr w:type="spellStart"/>
      <w:r w:rsidRPr="00AC3EC8">
        <w:rPr>
          <w:rFonts w:cs="Arial"/>
          <w:szCs w:val="24"/>
          <w:lang w:val="pt-BR"/>
        </w:rPr>
        <w:t>Jamovi</w:t>
      </w:r>
      <w:proofErr w:type="spellEnd"/>
      <w:r w:rsidRPr="00AC3EC8">
        <w:rPr>
          <w:rFonts w:cs="Arial"/>
          <w:szCs w:val="24"/>
          <w:lang w:val="pt-BR"/>
        </w:rPr>
        <w:t>. A aplicação integrada desses recursos possibilitou conciliar eficiência operacional e profundidade interpretativa, fortalecendo a transparência, a reprodutibilidade e a credibilidade dos resultados obtidos.</w:t>
      </w:r>
    </w:p>
    <w:p w14:paraId="0C0907A7" w14:textId="56D94CBF" w:rsidR="00C72A84" w:rsidRPr="00247E43" w:rsidRDefault="00AC3EC8" w:rsidP="00AC3EC8">
      <w:pPr>
        <w:spacing w:after="0" w:line="240" w:lineRule="auto"/>
        <w:ind w:firstLine="720"/>
        <w:jc w:val="both"/>
        <w:rPr>
          <w:rFonts w:cs="Arial"/>
          <w:szCs w:val="24"/>
          <w:lang w:val="pt-BR"/>
        </w:rPr>
      </w:pPr>
      <w:r w:rsidRPr="00AC3EC8">
        <w:rPr>
          <w:rFonts w:cs="Arial"/>
          <w:szCs w:val="24"/>
          <w:lang w:val="pt-BR"/>
        </w:rPr>
        <w:t xml:space="preserve">O </w:t>
      </w:r>
      <w:proofErr w:type="spellStart"/>
      <w:r w:rsidRPr="00AC3EC8">
        <w:rPr>
          <w:rFonts w:cs="Arial"/>
          <w:szCs w:val="24"/>
          <w:lang w:val="pt-BR"/>
        </w:rPr>
        <w:t>Jamovi</w:t>
      </w:r>
      <w:proofErr w:type="spellEnd"/>
      <w:r w:rsidRPr="00AC3EC8">
        <w:rPr>
          <w:rFonts w:cs="Arial"/>
          <w:szCs w:val="24"/>
          <w:lang w:val="pt-BR"/>
        </w:rPr>
        <w:t>, software estatístico gratuito e de código aberto, caracteriza-se por uma interface gráfica intuitiva que viabiliza a execução ágil de procedimentos estatísticos sem comprometer a precisão das análises. No contexto desta pesquisa, foi empregado na realização de análises descritivas, ANOVA, testes de correlação e regressões lineares, bem como na verificação de pressupostos estatísticos, como normalidade e homogeneidade de variâncias. A clareza na disposição dos dados e a organização dos relatórios favoreceram a interpretação inicial, tornando-o especialmente apropriado para fases exploratórias e para análises de natureza preliminar</w:t>
      </w:r>
      <w:r w:rsidR="00C72A84" w:rsidRPr="00247E43">
        <w:rPr>
          <w:rFonts w:cs="Arial"/>
          <w:szCs w:val="24"/>
          <w:lang w:val="pt-BR"/>
        </w:rPr>
        <w:t>.</w:t>
      </w:r>
    </w:p>
    <w:p w14:paraId="771775B0" w14:textId="77777777" w:rsidR="00DA0933" w:rsidRDefault="00DA0933" w:rsidP="00C72A84">
      <w:pPr>
        <w:pStyle w:val="Ttulo1"/>
        <w:jc w:val="both"/>
        <w:rPr>
          <w:rFonts w:ascii="Arial" w:hAnsi="Arial" w:cs="Arial"/>
          <w:color w:val="auto"/>
          <w:sz w:val="24"/>
          <w:szCs w:val="24"/>
          <w:lang w:val="pt-BR"/>
        </w:rPr>
      </w:pPr>
    </w:p>
    <w:p w14:paraId="125173FB" w14:textId="210FD2D2" w:rsidR="00572D56" w:rsidRDefault="006949C4" w:rsidP="00C72A84">
      <w:pPr>
        <w:pStyle w:val="Ttulo1"/>
        <w:jc w:val="both"/>
        <w:rPr>
          <w:rFonts w:ascii="Arial" w:hAnsi="Arial" w:cs="Arial"/>
          <w:color w:val="auto"/>
          <w:sz w:val="24"/>
          <w:szCs w:val="24"/>
          <w:lang w:val="pt-BR"/>
        </w:rPr>
      </w:pPr>
      <w:r w:rsidRPr="00247E43">
        <w:rPr>
          <w:rFonts w:ascii="Arial" w:hAnsi="Arial" w:cs="Arial"/>
          <w:color w:val="auto"/>
          <w:sz w:val="24"/>
          <w:szCs w:val="24"/>
          <w:lang w:val="pt-BR"/>
        </w:rPr>
        <w:t>4. Análise e Discussão dos Resultados</w:t>
      </w:r>
    </w:p>
    <w:p w14:paraId="7A52E12F" w14:textId="10289B8D" w:rsidR="000C5BFD" w:rsidRPr="00C861AE" w:rsidRDefault="000C5BFD" w:rsidP="000C5BFD">
      <w:pPr>
        <w:spacing w:after="0" w:line="240" w:lineRule="auto"/>
        <w:ind w:firstLine="720"/>
        <w:jc w:val="both"/>
        <w:rPr>
          <w:rFonts w:cs="Arial"/>
          <w:szCs w:val="24"/>
          <w:lang w:val="pt-BR"/>
        </w:rPr>
      </w:pPr>
      <w:r>
        <w:rPr>
          <w:rFonts w:cs="Arial"/>
          <w:szCs w:val="24"/>
          <w:lang w:val="pt-BR"/>
        </w:rPr>
        <w:t xml:space="preserve">Inicialmente, buscou-se caracterizar a amostra da pesquisa, segregando-a quanto à categoria acadêmica (Universidade ou Não-Universidade), organização administrativa (pública ou privada), e modalidade </w:t>
      </w:r>
      <w:r>
        <w:rPr>
          <w:rFonts w:cs="Arial"/>
          <w:szCs w:val="24"/>
          <w:lang w:val="pt-BR"/>
        </w:rPr>
        <w:lastRenderedPageBreak/>
        <w:t>(EAD ou presencial). Para cada dimensão, apresentou-se a quantidade de instituições, o total de inscritos e participantes, a pontuação média de monitoria, e as médias de cada nota do ENADE (nota geral, nota de formação geral e nota de componente específico). Os resultados são apresentados na</w:t>
      </w:r>
      <w:r w:rsidRPr="00C861AE">
        <w:rPr>
          <w:rFonts w:cs="Arial"/>
          <w:szCs w:val="24"/>
          <w:lang w:val="pt-BR"/>
        </w:rPr>
        <w:t xml:space="preserve"> Tabela 1.</w:t>
      </w:r>
    </w:p>
    <w:p w14:paraId="5D3FF97C" w14:textId="77777777" w:rsidR="000C5BFD" w:rsidRPr="000C5BFD" w:rsidRDefault="000C5BFD" w:rsidP="000C5BFD">
      <w:pPr>
        <w:rPr>
          <w:lang w:val="pt-BR"/>
        </w:rPr>
      </w:pPr>
    </w:p>
    <w:p w14:paraId="5B8587D4" w14:textId="4C752CBE" w:rsidR="000C5BFD" w:rsidRPr="00C861AE" w:rsidRDefault="000C5BFD" w:rsidP="000C5BFD">
      <w:pPr>
        <w:spacing w:after="0" w:line="240" w:lineRule="auto"/>
        <w:jc w:val="both"/>
        <w:rPr>
          <w:rFonts w:cs="Arial"/>
          <w:szCs w:val="24"/>
          <w:lang w:val="pt-BR"/>
        </w:rPr>
      </w:pPr>
      <w:r w:rsidRPr="00C861AE">
        <w:rPr>
          <w:rFonts w:cs="Arial"/>
          <w:szCs w:val="24"/>
          <w:lang w:val="pt-BR"/>
        </w:rPr>
        <w:t xml:space="preserve">Tabela 1 – </w:t>
      </w:r>
      <w:r>
        <w:rPr>
          <w:rFonts w:cs="Arial"/>
          <w:szCs w:val="24"/>
          <w:lang w:val="pt-BR"/>
        </w:rPr>
        <w:t>Análise descritiva dos cursos componentes da amostra da pesquisa</w:t>
      </w:r>
    </w:p>
    <w:tbl>
      <w:tblPr>
        <w:tblW w:w="5000" w:type="pct"/>
        <w:tblCellMar>
          <w:left w:w="70" w:type="dxa"/>
          <w:right w:w="70" w:type="dxa"/>
        </w:tblCellMar>
        <w:tblLook w:val="04A0" w:firstRow="1" w:lastRow="0" w:firstColumn="1" w:lastColumn="0" w:noHBand="0" w:noVBand="1"/>
      </w:tblPr>
      <w:tblGrid>
        <w:gridCol w:w="1641"/>
        <w:gridCol w:w="972"/>
        <w:gridCol w:w="1309"/>
        <w:gridCol w:w="731"/>
        <w:gridCol w:w="751"/>
        <w:gridCol w:w="1106"/>
        <w:gridCol w:w="1055"/>
        <w:gridCol w:w="741"/>
      </w:tblGrid>
      <w:tr w:rsidR="000C5BFD" w:rsidRPr="000C5BFD" w14:paraId="3D142FAC" w14:textId="77777777" w:rsidTr="000C5BFD">
        <w:trPr>
          <w:trHeight w:val="288"/>
        </w:trPr>
        <w:tc>
          <w:tcPr>
            <w:tcW w:w="988" w:type="pct"/>
            <w:vMerge w:val="restart"/>
            <w:tcBorders>
              <w:top w:val="single" w:sz="4" w:space="0" w:color="auto"/>
              <w:left w:val="nil"/>
              <w:bottom w:val="single" w:sz="4" w:space="0" w:color="000000"/>
              <w:right w:val="nil"/>
            </w:tcBorders>
            <w:vAlign w:val="center"/>
            <w:hideMark/>
          </w:tcPr>
          <w:p w14:paraId="0D95CD0D"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Categorias</w:t>
            </w:r>
          </w:p>
        </w:tc>
        <w:tc>
          <w:tcPr>
            <w:tcW w:w="1373" w:type="pct"/>
            <w:gridSpan w:val="2"/>
            <w:tcBorders>
              <w:top w:val="single" w:sz="4" w:space="0" w:color="auto"/>
              <w:left w:val="single" w:sz="4" w:space="0" w:color="auto"/>
              <w:bottom w:val="nil"/>
              <w:right w:val="single" w:sz="4" w:space="0" w:color="000000"/>
            </w:tcBorders>
            <w:vAlign w:val="center"/>
            <w:hideMark/>
          </w:tcPr>
          <w:p w14:paraId="46E81B01"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Categoria</w:t>
            </w:r>
          </w:p>
        </w:tc>
        <w:tc>
          <w:tcPr>
            <w:tcW w:w="892" w:type="pct"/>
            <w:gridSpan w:val="2"/>
            <w:tcBorders>
              <w:top w:val="single" w:sz="4" w:space="0" w:color="auto"/>
              <w:left w:val="nil"/>
              <w:bottom w:val="nil"/>
              <w:right w:val="nil"/>
            </w:tcBorders>
            <w:vAlign w:val="center"/>
            <w:hideMark/>
          </w:tcPr>
          <w:p w14:paraId="5160C071"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Organização</w:t>
            </w:r>
          </w:p>
        </w:tc>
        <w:tc>
          <w:tcPr>
            <w:tcW w:w="1301" w:type="pct"/>
            <w:gridSpan w:val="2"/>
            <w:tcBorders>
              <w:top w:val="single" w:sz="4" w:space="0" w:color="auto"/>
              <w:left w:val="single" w:sz="4" w:space="0" w:color="auto"/>
              <w:bottom w:val="nil"/>
              <w:right w:val="single" w:sz="4" w:space="0" w:color="000000"/>
            </w:tcBorders>
            <w:vAlign w:val="center"/>
            <w:hideMark/>
          </w:tcPr>
          <w:p w14:paraId="07C3890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Modalidade</w:t>
            </w:r>
          </w:p>
        </w:tc>
        <w:tc>
          <w:tcPr>
            <w:tcW w:w="446" w:type="pct"/>
            <w:vMerge w:val="restart"/>
            <w:tcBorders>
              <w:top w:val="single" w:sz="4" w:space="0" w:color="auto"/>
              <w:left w:val="nil"/>
              <w:bottom w:val="single" w:sz="4" w:space="0" w:color="000000"/>
              <w:right w:val="nil"/>
            </w:tcBorders>
            <w:vAlign w:val="center"/>
            <w:hideMark/>
          </w:tcPr>
          <w:p w14:paraId="736D243D"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Total</w:t>
            </w:r>
          </w:p>
        </w:tc>
      </w:tr>
      <w:tr w:rsidR="000C5BFD" w:rsidRPr="000C5BFD" w14:paraId="41FB309B" w14:textId="77777777" w:rsidTr="000C5BFD">
        <w:trPr>
          <w:trHeight w:val="264"/>
        </w:trPr>
        <w:tc>
          <w:tcPr>
            <w:tcW w:w="988" w:type="pct"/>
            <w:vMerge/>
            <w:tcBorders>
              <w:top w:val="single" w:sz="4" w:space="0" w:color="auto"/>
              <w:left w:val="nil"/>
              <w:bottom w:val="single" w:sz="4" w:space="0" w:color="000000"/>
              <w:right w:val="nil"/>
            </w:tcBorders>
            <w:vAlign w:val="center"/>
            <w:hideMark/>
          </w:tcPr>
          <w:p w14:paraId="4A75A889" w14:textId="77777777" w:rsidR="000C5BFD" w:rsidRPr="000C5BFD" w:rsidRDefault="000C5BFD" w:rsidP="000C5BFD">
            <w:pPr>
              <w:spacing w:after="0" w:line="240" w:lineRule="auto"/>
              <w:jc w:val="center"/>
              <w:rPr>
                <w:rFonts w:eastAsia="Times New Roman" w:cs="Arial"/>
                <w:color w:val="000000"/>
                <w:sz w:val="18"/>
                <w:szCs w:val="18"/>
                <w:lang w:val="pt-BR" w:eastAsia="pt-BR"/>
              </w:rPr>
            </w:pPr>
          </w:p>
        </w:tc>
        <w:tc>
          <w:tcPr>
            <w:tcW w:w="585" w:type="pct"/>
            <w:tcBorders>
              <w:top w:val="nil"/>
              <w:left w:val="single" w:sz="4" w:space="0" w:color="auto"/>
              <w:bottom w:val="single" w:sz="4" w:space="0" w:color="auto"/>
              <w:right w:val="nil"/>
            </w:tcBorders>
            <w:vAlign w:val="center"/>
            <w:hideMark/>
          </w:tcPr>
          <w:p w14:paraId="1ECF5B73" w14:textId="77777777" w:rsidR="000C5BFD" w:rsidRPr="000C5BFD" w:rsidRDefault="000C5BFD" w:rsidP="000C5BFD">
            <w:pPr>
              <w:spacing w:after="0" w:line="240" w:lineRule="auto"/>
              <w:jc w:val="center"/>
              <w:rPr>
                <w:rFonts w:eastAsia="Times New Roman" w:cs="Arial"/>
                <w:color w:val="000000"/>
                <w:sz w:val="18"/>
                <w:szCs w:val="18"/>
                <w:lang w:val="pt-BR" w:eastAsia="pt-BR"/>
              </w:rPr>
            </w:pPr>
            <w:proofErr w:type="spellStart"/>
            <w:r w:rsidRPr="000C5BFD">
              <w:rPr>
                <w:rFonts w:eastAsia="Times New Roman" w:cs="Arial"/>
                <w:color w:val="000000"/>
                <w:sz w:val="18"/>
                <w:szCs w:val="18"/>
                <w:lang w:val="pt-BR" w:eastAsia="pt-BR"/>
              </w:rPr>
              <w:t>Univ</w:t>
            </w:r>
            <w:proofErr w:type="spellEnd"/>
            <w:r w:rsidRPr="000C5BFD">
              <w:rPr>
                <w:rFonts w:eastAsia="Times New Roman" w:cs="Arial"/>
                <w:color w:val="000000"/>
                <w:sz w:val="18"/>
                <w:szCs w:val="18"/>
                <w:lang w:val="pt-BR" w:eastAsia="pt-BR"/>
              </w:rPr>
              <w:t>,</w:t>
            </w:r>
          </w:p>
        </w:tc>
        <w:tc>
          <w:tcPr>
            <w:tcW w:w="788" w:type="pct"/>
            <w:tcBorders>
              <w:top w:val="nil"/>
              <w:left w:val="nil"/>
              <w:bottom w:val="single" w:sz="4" w:space="0" w:color="auto"/>
              <w:right w:val="single" w:sz="4" w:space="0" w:color="auto"/>
            </w:tcBorders>
            <w:vAlign w:val="center"/>
            <w:hideMark/>
          </w:tcPr>
          <w:p w14:paraId="13F40FCA"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Não-Univ.</w:t>
            </w:r>
          </w:p>
        </w:tc>
        <w:tc>
          <w:tcPr>
            <w:tcW w:w="440" w:type="pct"/>
            <w:tcBorders>
              <w:top w:val="nil"/>
              <w:left w:val="nil"/>
              <w:bottom w:val="single" w:sz="4" w:space="0" w:color="auto"/>
              <w:right w:val="nil"/>
            </w:tcBorders>
            <w:vAlign w:val="center"/>
            <w:hideMark/>
          </w:tcPr>
          <w:p w14:paraId="150E7707"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Pública</w:t>
            </w:r>
          </w:p>
        </w:tc>
        <w:tc>
          <w:tcPr>
            <w:tcW w:w="452" w:type="pct"/>
            <w:tcBorders>
              <w:top w:val="nil"/>
              <w:left w:val="nil"/>
              <w:bottom w:val="single" w:sz="4" w:space="0" w:color="auto"/>
              <w:right w:val="nil"/>
            </w:tcBorders>
            <w:vAlign w:val="center"/>
            <w:hideMark/>
          </w:tcPr>
          <w:p w14:paraId="66F8F552"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Privada</w:t>
            </w:r>
          </w:p>
        </w:tc>
        <w:tc>
          <w:tcPr>
            <w:tcW w:w="666" w:type="pct"/>
            <w:tcBorders>
              <w:top w:val="nil"/>
              <w:left w:val="single" w:sz="4" w:space="0" w:color="auto"/>
              <w:bottom w:val="single" w:sz="4" w:space="0" w:color="auto"/>
              <w:right w:val="nil"/>
            </w:tcBorders>
            <w:vAlign w:val="center"/>
            <w:hideMark/>
          </w:tcPr>
          <w:p w14:paraId="77E84A50"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EAD</w:t>
            </w:r>
          </w:p>
        </w:tc>
        <w:tc>
          <w:tcPr>
            <w:tcW w:w="635" w:type="pct"/>
            <w:tcBorders>
              <w:top w:val="nil"/>
              <w:left w:val="nil"/>
              <w:bottom w:val="single" w:sz="4" w:space="0" w:color="auto"/>
              <w:right w:val="single" w:sz="4" w:space="0" w:color="auto"/>
            </w:tcBorders>
            <w:vAlign w:val="center"/>
            <w:hideMark/>
          </w:tcPr>
          <w:p w14:paraId="2577E51C"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Pres.</w:t>
            </w:r>
          </w:p>
        </w:tc>
        <w:tc>
          <w:tcPr>
            <w:tcW w:w="446" w:type="pct"/>
            <w:vMerge/>
            <w:tcBorders>
              <w:top w:val="single" w:sz="4" w:space="0" w:color="auto"/>
              <w:left w:val="nil"/>
              <w:bottom w:val="single" w:sz="4" w:space="0" w:color="000000"/>
              <w:right w:val="nil"/>
            </w:tcBorders>
            <w:vAlign w:val="center"/>
            <w:hideMark/>
          </w:tcPr>
          <w:p w14:paraId="039D3B5E" w14:textId="77777777" w:rsidR="000C5BFD" w:rsidRPr="000C5BFD" w:rsidRDefault="000C5BFD" w:rsidP="000C5BFD">
            <w:pPr>
              <w:spacing w:after="0" w:line="240" w:lineRule="auto"/>
              <w:jc w:val="center"/>
              <w:rPr>
                <w:rFonts w:eastAsia="Times New Roman" w:cs="Arial"/>
                <w:color w:val="000000"/>
                <w:sz w:val="18"/>
                <w:szCs w:val="18"/>
                <w:lang w:val="pt-BR" w:eastAsia="pt-BR"/>
              </w:rPr>
            </w:pPr>
          </w:p>
        </w:tc>
      </w:tr>
      <w:tr w:rsidR="000C5BFD" w:rsidRPr="000C5BFD" w14:paraId="196983EF" w14:textId="77777777" w:rsidTr="000C5BFD">
        <w:trPr>
          <w:trHeight w:val="264"/>
        </w:trPr>
        <w:tc>
          <w:tcPr>
            <w:tcW w:w="988" w:type="pct"/>
            <w:tcBorders>
              <w:top w:val="nil"/>
              <w:left w:val="nil"/>
              <w:bottom w:val="nil"/>
              <w:right w:val="nil"/>
            </w:tcBorders>
            <w:vAlign w:val="center"/>
            <w:hideMark/>
          </w:tcPr>
          <w:p w14:paraId="5C8491A2"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Quantidade</w:t>
            </w:r>
          </w:p>
        </w:tc>
        <w:tc>
          <w:tcPr>
            <w:tcW w:w="585" w:type="pct"/>
            <w:tcBorders>
              <w:top w:val="nil"/>
              <w:left w:val="single" w:sz="4" w:space="0" w:color="auto"/>
              <w:bottom w:val="nil"/>
              <w:right w:val="nil"/>
            </w:tcBorders>
            <w:noWrap/>
            <w:vAlign w:val="center"/>
            <w:hideMark/>
          </w:tcPr>
          <w:p w14:paraId="64D3E032"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497</w:t>
            </w:r>
          </w:p>
        </w:tc>
        <w:tc>
          <w:tcPr>
            <w:tcW w:w="788" w:type="pct"/>
            <w:tcBorders>
              <w:top w:val="nil"/>
              <w:left w:val="nil"/>
              <w:bottom w:val="nil"/>
              <w:right w:val="single" w:sz="4" w:space="0" w:color="auto"/>
            </w:tcBorders>
            <w:noWrap/>
            <w:vAlign w:val="center"/>
            <w:hideMark/>
          </w:tcPr>
          <w:p w14:paraId="2F4CD108"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1099</w:t>
            </w:r>
          </w:p>
        </w:tc>
        <w:tc>
          <w:tcPr>
            <w:tcW w:w="440" w:type="pct"/>
            <w:tcBorders>
              <w:top w:val="nil"/>
              <w:left w:val="nil"/>
              <w:bottom w:val="nil"/>
              <w:right w:val="nil"/>
            </w:tcBorders>
            <w:noWrap/>
            <w:vAlign w:val="center"/>
            <w:hideMark/>
          </w:tcPr>
          <w:p w14:paraId="30FBE4D7"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280</w:t>
            </w:r>
          </w:p>
        </w:tc>
        <w:tc>
          <w:tcPr>
            <w:tcW w:w="452" w:type="pct"/>
            <w:tcBorders>
              <w:top w:val="nil"/>
              <w:left w:val="nil"/>
              <w:bottom w:val="nil"/>
              <w:right w:val="nil"/>
            </w:tcBorders>
            <w:noWrap/>
            <w:vAlign w:val="center"/>
            <w:hideMark/>
          </w:tcPr>
          <w:p w14:paraId="4A86EA24"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1316</w:t>
            </w:r>
          </w:p>
        </w:tc>
        <w:tc>
          <w:tcPr>
            <w:tcW w:w="666" w:type="pct"/>
            <w:tcBorders>
              <w:top w:val="nil"/>
              <w:left w:val="single" w:sz="4" w:space="0" w:color="auto"/>
              <w:bottom w:val="nil"/>
              <w:right w:val="nil"/>
            </w:tcBorders>
            <w:noWrap/>
            <w:vAlign w:val="center"/>
            <w:hideMark/>
          </w:tcPr>
          <w:p w14:paraId="34D13F58"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175</w:t>
            </w:r>
          </w:p>
        </w:tc>
        <w:tc>
          <w:tcPr>
            <w:tcW w:w="635" w:type="pct"/>
            <w:tcBorders>
              <w:top w:val="nil"/>
              <w:left w:val="nil"/>
              <w:bottom w:val="nil"/>
              <w:right w:val="single" w:sz="4" w:space="0" w:color="auto"/>
            </w:tcBorders>
            <w:noWrap/>
            <w:vAlign w:val="center"/>
            <w:hideMark/>
          </w:tcPr>
          <w:p w14:paraId="5A77EBC2"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1421</w:t>
            </w:r>
          </w:p>
        </w:tc>
        <w:tc>
          <w:tcPr>
            <w:tcW w:w="446" w:type="pct"/>
            <w:tcBorders>
              <w:top w:val="nil"/>
              <w:left w:val="nil"/>
              <w:bottom w:val="nil"/>
              <w:right w:val="nil"/>
            </w:tcBorders>
            <w:noWrap/>
            <w:vAlign w:val="center"/>
            <w:hideMark/>
          </w:tcPr>
          <w:p w14:paraId="459C54AE"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1596</w:t>
            </w:r>
          </w:p>
        </w:tc>
      </w:tr>
      <w:tr w:rsidR="000C5BFD" w:rsidRPr="000C5BFD" w14:paraId="037B47FC" w14:textId="77777777" w:rsidTr="000C5BFD">
        <w:trPr>
          <w:trHeight w:val="264"/>
        </w:trPr>
        <w:tc>
          <w:tcPr>
            <w:tcW w:w="988" w:type="pct"/>
            <w:tcBorders>
              <w:top w:val="nil"/>
              <w:left w:val="nil"/>
              <w:bottom w:val="nil"/>
              <w:right w:val="nil"/>
            </w:tcBorders>
            <w:vAlign w:val="center"/>
            <w:hideMark/>
          </w:tcPr>
          <w:p w14:paraId="7FF730CD"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Total de Inscritos</w:t>
            </w:r>
          </w:p>
        </w:tc>
        <w:tc>
          <w:tcPr>
            <w:tcW w:w="585" w:type="pct"/>
            <w:tcBorders>
              <w:top w:val="nil"/>
              <w:left w:val="single" w:sz="4" w:space="0" w:color="auto"/>
              <w:bottom w:val="nil"/>
              <w:right w:val="nil"/>
            </w:tcBorders>
            <w:noWrap/>
            <w:vAlign w:val="center"/>
            <w:hideMark/>
          </w:tcPr>
          <w:p w14:paraId="49182587"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67880</w:t>
            </w:r>
          </w:p>
        </w:tc>
        <w:tc>
          <w:tcPr>
            <w:tcW w:w="788" w:type="pct"/>
            <w:tcBorders>
              <w:top w:val="nil"/>
              <w:left w:val="nil"/>
              <w:bottom w:val="nil"/>
              <w:right w:val="single" w:sz="4" w:space="0" w:color="auto"/>
            </w:tcBorders>
            <w:noWrap/>
            <w:vAlign w:val="center"/>
            <w:hideMark/>
          </w:tcPr>
          <w:p w14:paraId="3E648C07"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50030</w:t>
            </w:r>
          </w:p>
        </w:tc>
        <w:tc>
          <w:tcPr>
            <w:tcW w:w="440" w:type="pct"/>
            <w:tcBorders>
              <w:top w:val="nil"/>
              <w:left w:val="nil"/>
              <w:bottom w:val="nil"/>
              <w:right w:val="nil"/>
            </w:tcBorders>
            <w:noWrap/>
            <w:vAlign w:val="center"/>
            <w:hideMark/>
          </w:tcPr>
          <w:p w14:paraId="325CB62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20823</w:t>
            </w:r>
          </w:p>
        </w:tc>
        <w:tc>
          <w:tcPr>
            <w:tcW w:w="452" w:type="pct"/>
            <w:tcBorders>
              <w:top w:val="nil"/>
              <w:left w:val="nil"/>
              <w:bottom w:val="nil"/>
              <w:right w:val="nil"/>
            </w:tcBorders>
            <w:noWrap/>
            <w:vAlign w:val="center"/>
            <w:hideMark/>
          </w:tcPr>
          <w:p w14:paraId="29C5705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97087</w:t>
            </w:r>
          </w:p>
        </w:tc>
        <w:tc>
          <w:tcPr>
            <w:tcW w:w="666" w:type="pct"/>
            <w:tcBorders>
              <w:top w:val="nil"/>
              <w:left w:val="single" w:sz="4" w:space="0" w:color="auto"/>
              <w:bottom w:val="nil"/>
              <w:right w:val="nil"/>
            </w:tcBorders>
            <w:noWrap/>
            <w:vAlign w:val="center"/>
            <w:hideMark/>
          </w:tcPr>
          <w:p w14:paraId="167419A5"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57180</w:t>
            </w:r>
          </w:p>
        </w:tc>
        <w:tc>
          <w:tcPr>
            <w:tcW w:w="635" w:type="pct"/>
            <w:tcBorders>
              <w:top w:val="nil"/>
              <w:left w:val="nil"/>
              <w:bottom w:val="nil"/>
              <w:right w:val="single" w:sz="4" w:space="0" w:color="auto"/>
            </w:tcBorders>
            <w:noWrap/>
            <w:vAlign w:val="center"/>
            <w:hideMark/>
          </w:tcPr>
          <w:p w14:paraId="7F088676"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60730</w:t>
            </w:r>
          </w:p>
        </w:tc>
        <w:tc>
          <w:tcPr>
            <w:tcW w:w="446" w:type="pct"/>
            <w:tcBorders>
              <w:top w:val="nil"/>
              <w:left w:val="nil"/>
              <w:bottom w:val="nil"/>
              <w:right w:val="nil"/>
            </w:tcBorders>
            <w:noWrap/>
            <w:vAlign w:val="center"/>
            <w:hideMark/>
          </w:tcPr>
          <w:p w14:paraId="051B4D90"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117910</w:t>
            </w:r>
          </w:p>
        </w:tc>
      </w:tr>
      <w:tr w:rsidR="000C5BFD" w:rsidRPr="000C5BFD" w14:paraId="62FDF518" w14:textId="77777777" w:rsidTr="000C5BFD">
        <w:trPr>
          <w:trHeight w:val="264"/>
        </w:trPr>
        <w:tc>
          <w:tcPr>
            <w:tcW w:w="988" w:type="pct"/>
            <w:tcBorders>
              <w:top w:val="nil"/>
              <w:left w:val="nil"/>
              <w:bottom w:val="nil"/>
              <w:right w:val="nil"/>
            </w:tcBorders>
            <w:vAlign w:val="center"/>
            <w:hideMark/>
          </w:tcPr>
          <w:p w14:paraId="2B854AA4"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Total de Participantes</w:t>
            </w:r>
          </w:p>
        </w:tc>
        <w:tc>
          <w:tcPr>
            <w:tcW w:w="585" w:type="pct"/>
            <w:tcBorders>
              <w:top w:val="nil"/>
              <w:left w:val="single" w:sz="4" w:space="0" w:color="auto"/>
              <w:bottom w:val="nil"/>
              <w:right w:val="nil"/>
            </w:tcBorders>
            <w:noWrap/>
            <w:vAlign w:val="center"/>
            <w:hideMark/>
          </w:tcPr>
          <w:p w14:paraId="338D42F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46416</w:t>
            </w:r>
          </w:p>
        </w:tc>
        <w:tc>
          <w:tcPr>
            <w:tcW w:w="788" w:type="pct"/>
            <w:tcBorders>
              <w:top w:val="nil"/>
              <w:left w:val="nil"/>
              <w:bottom w:val="nil"/>
              <w:right w:val="single" w:sz="4" w:space="0" w:color="auto"/>
            </w:tcBorders>
            <w:noWrap/>
            <w:vAlign w:val="center"/>
            <w:hideMark/>
          </w:tcPr>
          <w:p w14:paraId="4D4F6303"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35772</w:t>
            </w:r>
          </w:p>
        </w:tc>
        <w:tc>
          <w:tcPr>
            <w:tcW w:w="440" w:type="pct"/>
            <w:tcBorders>
              <w:top w:val="nil"/>
              <w:left w:val="nil"/>
              <w:bottom w:val="nil"/>
              <w:right w:val="nil"/>
            </w:tcBorders>
            <w:noWrap/>
            <w:vAlign w:val="center"/>
            <w:hideMark/>
          </w:tcPr>
          <w:p w14:paraId="79963D08"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15125</w:t>
            </w:r>
          </w:p>
        </w:tc>
        <w:tc>
          <w:tcPr>
            <w:tcW w:w="452" w:type="pct"/>
            <w:tcBorders>
              <w:top w:val="nil"/>
              <w:left w:val="nil"/>
              <w:bottom w:val="nil"/>
              <w:right w:val="nil"/>
            </w:tcBorders>
            <w:noWrap/>
            <w:vAlign w:val="center"/>
            <w:hideMark/>
          </w:tcPr>
          <w:p w14:paraId="13B05F09"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67063</w:t>
            </w:r>
          </w:p>
        </w:tc>
        <w:tc>
          <w:tcPr>
            <w:tcW w:w="666" w:type="pct"/>
            <w:tcBorders>
              <w:top w:val="nil"/>
              <w:left w:val="single" w:sz="4" w:space="0" w:color="auto"/>
              <w:bottom w:val="nil"/>
              <w:right w:val="nil"/>
            </w:tcBorders>
            <w:noWrap/>
            <w:vAlign w:val="center"/>
            <w:hideMark/>
          </w:tcPr>
          <w:p w14:paraId="703A8AF2"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36512</w:t>
            </w:r>
          </w:p>
        </w:tc>
        <w:tc>
          <w:tcPr>
            <w:tcW w:w="635" w:type="pct"/>
            <w:tcBorders>
              <w:top w:val="nil"/>
              <w:left w:val="nil"/>
              <w:bottom w:val="nil"/>
              <w:right w:val="single" w:sz="4" w:space="0" w:color="auto"/>
            </w:tcBorders>
            <w:noWrap/>
            <w:vAlign w:val="center"/>
            <w:hideMark/>
          </w:tcPr>
          <w:p w14:paraId="10F16C57"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45676</w:t>
            </w:r>
          </w:p>
        </w:tc>
        <w:tc>
          <w:tcPr>
            <w:tcW w:w="446" w:type="pct"/>
            <w:tcBorders>
              <w:top w:val="nil"/>
              <w:left w:val="nil"/>
              <w:bottom w:val="nil"/>
              <w:right w:val="nil"/>
            </w:tcBorders>
            <w:noWrap/>
            <w:vAlign w:val="center"/>
            <w:hideMark/>
          </w:tcPr>
          <w:p w14:paraId="18D5F3FD"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82188</w:t>
            </w:r>
          </w:p>
        </w:tc>
      </w:tr>
      <w:tr w:rsidR="000C5BFD" w:rsidRPr="000C5BFD" w14:paraId="25A9BF09" w14:textId="77777777" w:rsidTr="000C5BFD">
        <w:trPr>
          <w:trHeight w:val="264"/>
        </w:trPr>
        <w:tc>
          <w:tcPr>
            <w:tcW w:w="988" w:type="pct"/>
            <w:tcBorders>
              <w:top w:val="nil"/>
              <w:left w:val="nil"/>
              <w:bottom w:val="nil"/>
              <w:right w:val="nil"/>
            </w:tcBorders>
            <w:vAlign w:val="center"/>
            <w:hideMark/>
          </w:tcPr>
          <w:p w14:paraId="43B07ECC"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Monitoria</w:t>
            </w:r>
          </w:p>
        </w:tc>
        <w:tc>
          <w:tcPr>
            <w:tcW w:w="585" w:type="pct"/>
            <w:tcBorders>
              <w:top w:val="nil"/>
              <w:left w:val="single" w:sz="4" w:space="0" w:color="auto"/>
              <w:bottom w:val="nil"/>
              <w:right w:val="nil"/>
            </w:tcBorders>
            <w:noWrap/>
            <w:vAlign w:val="center"/>
            <w:hideMark/>
          </w:tcPr>
          <w:p w14:paraId="64FD3338"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4,75</w:t>
            </w:r>
          </w:p>
        </w:tc>
        <w:tc>
          <w:tcPr>
            <w:tcW w:w="788" w:type="pct"/>
            <w:tcBorders>
              <w:top w:val="nil"/>
              <w:left w:val="nil"/>
              <w:bottom w:val="nil"/>
              <w:right w:val="single" w:sz="4" w:space="0" w:color="auto"/>
            </w:tcBorders>
            <w:noWrap/>
            <w:vAlign w:val="center"/>
            <w:hideMark/>
          </w:tcPr>
          <w:p w14:paraId="60A2E6C0"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4,87</w:t>
            </w:r>
          </w:p>
        </w:tc>
        <w:tc>
          <w:tcPr>
            <w:tcW w:w="440" w:type="pct"/>
            <w:tcBorders>
              <w:top w:val="nil"/>
              <w:left w:val="nil"/>
              <w:bottom w:val="nil"/>
              <w:right w:val="nil"/>
            </w:tcBorders>
            <w:noWrap/>
            <w:vAlign w:val="center"/>
            <w:hideMark/>
          </w:tcPr>
          <w:p w14:paraId="647B33CE"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4,63</w:t>
            </w:r>
          </w:p>
        </w:tc>
        <w:tc>
          <w:tcPr>
            <w:tcW w:w="452" w:type="pct"/>
            <w:tcBorders>
              <w:top w:val="nil"/>
              <w:left w:val="nil"/>
              <w:bottom w:val="nil"/>
              <w:right w:val="nil"/>
            </w:tcBorders>
            <w:noWrap/>
            <w:vAlign w:val="center"/>
            <w:hideMark/>
          </w:tcPr>
          <w:p w14:paraId="657F60C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4,88</w:t>
            </w:r>
          </w:p>
        </w:tc>
        <w:tc>
          <w:tcPr>
            <w:tcW w:w="666" w:type="pct"/>
            <w:tcBorders>
              <w:top w:val="nil"/>
              <w:left w:val="single" w:sz="4" w:space="0" w:color="auto"/>
              <w:bottom w:val="nil"/>
              <w:right w:val="nil"/>
            </w:tcBorders>
            <w:noWrap/>
            <w:vAlign w:val="center"/>
            <w:hideMark/>
          </w:tcPr>
          <w:p w14:paraId="62B1285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5,04</w:t>
            </w:r>
          </w:p>
        </w:tc>
        <w:tc>
          <w:tcPr>
            <w:tcW w:w="635" w:type="pct"/>
            <w:tcBorders>
              <w:top w:val="nil"/>
              <w:left w:val="nil"/>
              <w:bottom w:val="nil"/>
              <w:right w:val="single" w:sz="4" w:space="0" w:color="auto"/>
            </w:tcBorders>
            <w:noWrap/>
            <w:vAlign w:val="center"/>
            <w:hideMark/>
          </w:tcPr>
          <w:p w14:paraId="41661861"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4,81</w:t>
            </w:r>
          </w:p>
        </w:tc>
        <w:tc>
          <w:tcPr>
            <w:tcW w:w="446" w:type="pct"/>
            <w:tcBorders>
              <w:top w:val="nil"/>
              <w:left w:val="nil"/>
              <w:bottom w:val="nil"/>
              <w:right w:val="nil"/>
            </w:tcBorders>
            <w:noWrap/>
            <w:vAlign w:val="center"/>
            <w:hideMark/>
          </w:tcPr>
          <w:p w14:paraId="04C21B9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4,83</w:t>
            </w:r>
          </w:p>
        </w:tc>
      </w:tr>
      <w:tr w:rsidR="000C5BFD" w:rsidRPr="000C5BFD" w14:paraId="45B6D425" w14:textId="77777777" w:rsidTr="000C5BFD">
        <w:trPr>
          <w:trHeight w:val="264"/>
        </w:trPr>
        <w:tc>
          <w:tcPr>
            <w:tcW w:w="988" w:type="pct"/>
            <w:tcBorders>
              <w:top w:val="nil"/>
              <w:left w:val="nil"/>
              <w:bottom w:val="nil"/>
              <w:right w:val="nil"/>
            </w:tcBorders>
            <w:vAlign w:val="center"/>
            <w:hideMark/>
          </w:tcPr>
          <w:p w14:paraId="7C1278CF"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Nota Geral</w:t>
            </w:r>
          </w:p>
        </w:tc>
        <w:tc>
          <w:tcPr>
            <w:tcW w:w="585" w:type="pct"/>
            <w:tcBorders>
              <w:top w:val="nil"/>
              <w:left w:val="single" w:sz="4" w:space="0" w:color="auto"/>
              <w:bottom w:val="nil"/>
              <w:right w:val="nil"/>
            </w:tcBorders>
            <w:noWrap/>
            <w:vAlign w:val="center"/>
            <w:hideMark/>
          </w:tcPr>
          <w:p w14:paraId="6BB19468"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44,28</w:t>
            </w:r>
          </w:p>
        </w:tc>
        <w:tc>
          <w:tcPr>
            <w:tcW w:w="788" w:type="pct"/>
            <w:tcBorders>
              <w:top w:val="nil"/>
              <w:left w:val="nil"/>
              <w:bottom w:val="nil"/>
              <w:right w:val="single" w:sz="4" w:space="0" w:color="auto"/>
            </w:tcBorders>
            <w:noWrap/>
            <w:vAlign w:val="center"/>
            <w:hideMark/>
          </w:tcPr>
          <w:p w14:paraId="169759B0"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40,71</w:t>
            </w:r>
          </w:p>
        </w:tc>
        <w:tc>
          <w:tcPr>
            <w:tcW w:w="440" w:type="pct"/>
            <w:tcBorders>
              <w:top w:val="nil"/>
              <w:left w:val="nil"/>
              <w:bottom w:val="nil"/>
              <w:right w:val="nil"/>
            </w:tcBorders>
            <w:noWrap/>
            <w:vAlign w:val="center"/>
            <w:hideMark/>
          </w:tcPr>
          <w:p w14:paraId="47586AD0"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46,62</w:t>
            </w:r>
          </w:p>
        </w:tc>
        <w:tc>
          <w:tcPr>
            <w:tcW w:w="452" w:type="pct"/>
            <w:tcBorders>
              <w:top w:val="nil"/>
              <w:left w:val="nil"/>
              <w:bottom w:val="nil"/>
              <w:right w:val="nil"/>
            </w:tcBorders>
            <w:noWrap/>
            <w:vAlign w:val="center"/>
            <w:hideMark/>
          </w:tcPr>
          <w:p w14:paraId="2606780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40,80</w:t>
            </w:r>
          </w:p>
        </w:tc>
        <w:tc>
          <w:tcPr>
            <w:tcW w:w="666" w:type="pct"/>
            <w:tcBorders>
              <w:top w:val="nil"/>
              <w:left w:val="single" w:sz="4" w:space="0" w:color="auto"/>
              <w:bottom w:val="nil"/>
              <w:right w:val="nil"/>
            </w:tcBorders>
            <w:noWrap/>
            <w:vAlign w:val="center"/>
            <w:hideMark/>
          </w:tcPr>
          <w:p w14:paraId="6138069A"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39,23</w:t>
            </w:r>
          </w:p>
        </w:tc>
        <w:tc>
          <w:tcPr>
            <w:tcW w:w="635" w:type="pct"/>
            <w:tcBorders>
              <w:top w:val="nil"/>
              <w:left w:val="nil"/>
              <w:bottom w:val="nil"/>
              <w:right w:val="single" w:sz="4" w:space="0" w:color="auto"/>
            </w:tcBorders>
            <w:noWrap/>
            <w:vAlign w:val="center"/>
            <w:hideMark/>
          </w:tcPr>
          <w:p w14:paraId="3D621C29"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42,14</w:t>
            </w:r>
          </w:p>
        </w:tc>
        <w:tc>
          <w:tcPr>
            <w:tcW w:w="446" w:type="pct"/>
            <w:tcBorders>
              <w:top w:val="nil"/>
              <w:left w:val="nil"/>
              <w:bottom w:val="nil"/>
              <w:right w:val="nil"/>
            </w:tcBorders>
            <w:noWrap/>
            <w:vAlign w:val="center"/>
            <w:hideMark/>
          </w:tcPr>
          <w:p w14:paraId="77DF1F0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41,82</w:t>
            </w:r>
          </w:p>
        </w:tc>
      </w:tr>
      <w:tr w:rsidR="000C5BFD" w:rsidRPr="000C5BFD" w14:paraId="6DCBD495" w14:textId="77777777" w:rsidTr="000C5BFD">
        <w:trPr>
          <w:trHeight w:val="264"/>
        </w:trPr>
        <w:tc>
          <w:tcPr>
            <w:tcW w:w="988" w:type="pct"/>
            <w:tcBorders>
              <w:top w:val="nil"/>
              <w:left w:val="nil"/>
              <w:bottom w:val="nil"/>
              <w:right w:val="nil"/>
            </w:tcBorders>
            <w:vAlign w:val="center"/>
            <w:hideMark/>
          </w:tcPr>
          <w:p w14:paraId="11F55FB1"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Nota de Formação Geral</w:t>
            </w:r>
          </w:p>
        </w:tc>
        <w:tc>
          <w:tcPr>
            <w:tcW w:w="585" w:type="pct"/>
            <w:tcBorders>
              <w:top w:val="nil"/>
              <w:left w:val="single" w:sz="4" w:space="0" w:color="auto"/>
              <w:bottom w:val="nil"/>
              <w:right w:val="nil"/>
            </w:tcBorders>
            <w:noWrap/>
            <w:vAlign w:val="center"/>
            <w:hideMark/>
          </w:tcPr>
          <w:p w14:paraId="0D64D163"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53,00</w:t>
            </w:r>
          </w:p>
        </w:tc>
        <w:tc>
          <w:tcPr>
            <w:tcW w:w="788" w:type="pct"/>
            <w:tcBorders>
              <w:top w:val="nil"/>
              <w:left w:val="nil"/>
              <w:bottom w:val="nil"/>
              <w:right w:val="single" w:sz="4" w:space="0" w:color="auto"/>
            </w:tcBorders>
            <w:noWrap/>
            <w:vAlign w:val="center"/>
            <w:hideMark/>
          </w:tcPr>
          <w:p w14:paraId="6FC16C66"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49,15</w:t>
            </w:r>
          </w:p>
        </w:tc>
        <w:tc>
          <w:tcPr>
            <w:tcW w:w="440" w:type="pct"/>
            <w:tcBorders>
              <w:top w:val="nil"/>
              <w:left w:val="nil"/>
              <w:bottom w:val="nil"/>
              <w:right w:val="nil"/>
            </w:tcBorders>
            <w:noWrap/>
            <w:vAlign w:val="center"/>
            <w:hideMark/>
          </w:tcPr>
          <w:p w14:paraId="6A68700D"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55,87</w:t>
            </w:r>
          </w:p>
        </w:tc>
        <w:tc>
          <w:tcPr>
            <w:tcW w:w="452" w:type="pct"/>
            <w:tcBorders>
              <w:top w:val="nil"/>
              <w:left w:val="nil"/>
              <w:bottom w:val="nil"/>
              <w:right w:val="nil"/>
            </w:tcBorders>
            <w:noWrap/>
            <w:vAlign w:val="center"/>
            <w:hideMark/>
          </w:tcPr>
          <w:p w14:paraId="439F8B3F"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49,17</w:t>
            </w:r>
          </w:p>
        </w:tc>
        <w:tc>
          <w:tcPr>
            <w:tcW w:w="666" w:type="pct"/>
            <w:tcBorders>
              <w:top w:val="nil"/>
              <w:left w:val="single" w:sz="4" w:space="0" w:color="auto"/>
              <w:bottom w:val="nil"/>
              <w:right w:val="nil"/>
            </w:tcBorders>
            <w:noWrap/>
            <w:vAlign w:val="center"/>
            <w:hideMark/>
          </w:tcPr>
          <w:p w14:paraId="5AADD8A3"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48,22</w:t>
            </w:r>
          </w:p>
        </w:tc>
        <w:tc>
          <w:tcPr>
            <w:tcW w:w="635" w:type="pct"/>
            <w:tcBorders>
              <w:top w:val="nil"/>
              <w:left w:val="nil"/>
              <w:bottom w:val="nil"/>
              <w:right w:val="single" w:sz="4" w:space="0" w:color="auto"/>
            </w:tcBorders>
            <w:noWrap/>
            <w:vAlign w:val="center"/>
            <w:hideMark/>
          </w:tcPr>
          <w:p w14:paraId="5A5CBC81"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50,61</w:t>
            </w:r>
          </w:p>
        </w:tc>
        <w:tc>
          <w:tcPr>
            <w:tcW w:w="446" w:type="pct"/>
            <w:tcBorders>
              <w:top w:val="nil"/>
              <w:left w:val="nil"/>
              <w:bottom w:val="nil"/>
              <w:right w:val="nil"/>
            </w:tcBorders>
            <w:noWrap/>
            <w:vAlign w:val="center"/>
            <w:hideMark/>
          </w:tcPr>
          <w:p w14:paraId="32B89228"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50,35</w:t>
            </w:r>
          </w:p>
        </w:tc>
      </w:tr>
      <w:tr w:rsidR="000C5BFD" w:rsidRPr="000C5BFD" w14:paraId="58315EAC" w14:textId="77777777" w:rsidTr="000C5BFD">
        <w:trPr>
          <w:trHeight w:val="456"/>
        </w:trPr>
        <w:tc>
          <w:tcPr>
            <w:tcW w:w="988" w:type="pct"/>
            <w:tcBorders>
              <w:top w:val="nil"/>
              <w:left w:val="nil"/>
              <w:bottom w:val="single" w:sz="4" w:space="0" w:color="auto"/>
              <w:right w:val="nil"/>
            </w:tcBorders>
            <w:vAlign w:val="center"/>
            <w:hideMark/>
          </w:tcPr>
          <w:p w14:paraId="3FA73FFB"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Nota de Componente Específico</w:t>
            </w:r>
          </w:p>
        </w:tc>
        <w:tc>
          <w:tcPr>
            <w:tcW w:w="585" w:type="pct"/>
            <w:tcBorders>
              <w:top w:val="nil"/>
              <w:left w:val="single" w:sz="4" w:space="0" w:color="auto"/>
              <w:bottom w:val="single" w:sz="4" w:space="0" w:color="auto"/>
              <w:right w:val="nil"/>
            </w:tcBorders>
            <w:noWrap/>
            <w:vAlign w:val="center"/>
            <w:hideMark/>
          </w:tcPr>
          <w:p w14:paraId="0E4E50BC"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41,36</w:t>
            </w:r>
          </w:p>
        </w:tc>
        <w:tc>
          <w:tcPr>
            <w:tcW w:w="788" w:type="pct"/>
            <w:tcBorders>
              <w:top w:val="nil"/>
              <w:left w:val="nil"/>
              <w:bottom w:val="single" w:sz="4" w:space="0" w:color="auto"/>
              <w:right w:val="single" w:sz="4" w:space="0" w:color="auto"/>
            </w:tcBorders>
            <w:noWrap/>
            <w:vAlign w:val="center"/>
            <w:hideMark/>
          </w:tcPr>
          <w:p w14:paraId="6D7BF9E3"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37,88</w:t>
            </w:r>
          </w:p>
        </w:tc>
        <w:tc>
          <w:tcPr>
            <w:tcW w:w="440" w:type="pct"/>
            <w:tcBorders>
              <w:top w:val="nil"/>
              <w:left w:val="nil"/>
              <w:bottom w:val="single" w:sz="4" w:space="0" w:color="auto"/>
              <w:right w:val="nil"/>
            </w:tcBorders>
            <w:noWrap/>
            <w:vAlign w:val="center"/>
            <w:hideMark/>
          </w:tcPr>
          <w:p w14:paraId="482E5F24"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43,52</w:t>
            </w:r>
          </w:p>
        </w:tc>
        <w:tc>
          <w:tcPr>
            <w:tcW w:w="452" w:type="pct"/>
            <w:tcBorders>
              <w:top w:val="nil"/>
              <w:left w:val="nil"/>
              <w:bottom w:val="single" w:sz="4" w:space="0" w:color="auto"/>
              <w:right w:val="nil"/>
            </w:tcBorders>
            <w:noWrap/>
            <w:vAlign w:val="center"/>
            <w:hideMark/>
          </w:tcPr>
          <w:p w14:paraId="3604D4A6"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37,99</w:t>
            </w:r>
          </w:p>
        </w:tc>
        <w:tc>
          <w:tcPr>
            <w:tcW w:w="666" w:type="pct"/>
            <w:tcBorders>
              <w:top w:val="nil"/>
              <w:left w:val="single" w:sz="4" w:space="0" w:color="auto"/>
              <w:bottom w:val="single" w:sz="4" w:space="0" w:color="auto"/>
              <w:right w:val="nil"/>
            </w:tcBorders>
            <w:noWrap/>
            <w:vAlign w:val="center"/>
            <w:hideMark/>
          </w:tcPr>
          <w:p w14:paraId="725EC5B5"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36,21</w:t>
            </w:r>
          </w:p>
        </w:tc>
        <w:tc>
          <w:tcPr>
            <w:tcW w:w="635" w:type="pct"/>
            <w:tcBorders>
              <w:top w:val="nil"/>
              <w:left w:val="nil"/>
              <w:bottom w:val="single" w:sz="4" w:space="0" w:color="auto"/>
              <w:right w:val="single" w:sz="4" w:space="0" w:color="auto"/>
            </w:tcBorders>
            <w:noWrap/>
            <w:vAlign w:val="center"/>
            <w:hideMark/>
          </w:tcPr>
          <w:p w14:paraId="38D3B60D"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39,30</w:t>
            </w:r>
          </w:p>
        </w:tc>
        <w:tc>
          <w:tcPr>
            <w:tcW w:w="446" w:type="pct"/>
            <w:tcBorders>
              <w:top w:val="nil"/>
              <w:left w:val="nil"/>
              <w:bottom w:val="single" w:sz="4" w:space="0" w:color="auto"/>
              <w:right w:val="nil"/>
            </w:tcBorders>
            <w:noWrap/>
            <w:vAlign w:val="center"/>
            <w:hideMark/>
          </w:tcPr>
          <w:p w14:paraId="2CFBEFF5" w14:textId="77777777" w:rsidR="000C5BFD" w:rsidRPr="000C5BFD" w:rsidRDefault="000C5BFD" w:rsidP="000C5BFD">
            <w:pPr>
              <w:spacing w:after="0" w:line="240" w:lineRule="auto"/>
              <w:jc w:val="center"/>
              <w:rPr>
                <w:rFonts w:eastAsia="Times New Roman" w:cs="Arial"/>
                <w:color w:val="000000"/>
                <w:sz w:val="18"/>
                <w:szCs w:val="18"/>
                <w:lang w:val="pt-BR" w:eastAsia="pt-BR"/>
              </w:rPr>
            </w:pPr>
            <w:r w:rsidRPr="000C5BFD">
              <w:rPr>
                <w:rFonts w:eastAsia="Times New Roman" w:cs="Arial"/>
                <w:color w:val="000000"/>
                <w:sz w:val="18"/>
                <w:szCs w:val="18"/>
                <w:lang w:val="pt-BR" w:eastAsia="pt-BR"/>
              </w:rPr>
              <w:t>38,96</w:t>
            </w:r>
          </w:p>
        </w:tc>
      </w:tr>
    </w:tbl>
    <w:p w14:paraId="12B0F52F" w14:textId="77777777" w:rsidR="000C5BFD" w:rsidRDefault="000C5BFD" w:rsidP="000C5BFD">
      <w:pPr>
        <w:jc w:val="both"/>
        <w:rPr>
          <w:rFonts w:cs="Arial"/>
          <w:sz w:val="20"/>
          <w:szCs w:val="20"/>
          <w:lang w:val="pt-BR"/>
        </w:rPr>
      </w:pPr>
      <w:r w:rsidRPr="000C5BFD">
        <w:rPr>
          <w:rFonts w:cs="Arial"/>
          <w:sz w:val="20"/>
          <w:szCs w:val="20"/>
          <w:lang w:val="pt-BR"/>
        </w:rPr>
        <w:t>Fonte: Dados da pesquisa (2025).</w:t>
      </w:r>
    </w:p>
    <w:p w14:paraId="27FEBD39" w14:textId="77777777" w:rsidR="000C5BFD" w:rsidRPr="000C5BFD" w:rsidRDefault="000C5BFD" w:rsidP="000C5BFD">
      <w:pPr>
        <w:spacing w:after="0" w:line="240" w:lineRule="auto"/>
        <w:ind w:firstLine="720"/>
        <w:jc w:val="both"/>
        <w:rPr>
          <w:rFonts w:cs="Arial"/>
          <w:szCs w:val="24"/>
          <w:lang w:val="pt-BR"/>
        </w:rPr>
      </w:pPr>
      <w:r w:rsidRPr="000C5BFD">
        <w:rPr>
          <w:rFonts w:cs="Arial"/>
          <w:szCs w:val="24"/>
          <w:lang w:val="pt-BR"/>
        </w:rPr>
        <w:t>A Tabela 1 apresentada permite observar diferenças no desempenho e na valorização da monitoria entre distintos tipos de instituição e modalidade de ensino. Do total de 1.596 cursos, verifica-se predominância de instituições não universitárias (1.099) em relação às universidades (497), além de forte concentração no setor privado (1.316 cursos contra 280 públicos). Embora a modalidade presencial seja majoritária (1.421 cursos frente a 175 em EAD), chama atenção o volume expressivo de estudantes matriculados na educação a distância, revelando sua importância crescente no cenário atual.</w:t>
      </w:r>
    </w:p>
    <w:p w14:paraId="59E01B8F" w14:textId="25A437D5" w:rsidR="000C5BFD" w:rsidRDefault="000C5BFD" w:rsidP="000C5BFD">
      <w:pPr>
        <w:spacing w:after="0" w:line="240" w:lineRule="auto"/>
        <w:ind w:firstLine="720"/>
        <w:jc w:val="both"/>
        <w:rPr>
          <w:rFonts w:cs="Arial"/>
          <w:szCs w:val="24"/>
          <w:lang w:val="pt-BR"/>
        </w:rPr>
      </w:pPr>
      <w:r w:rsidRPr="000C5BFD">
        <w:rPr>
          <w:rFonts w:cs="Arial"/>
          <w:szCs w:val="24"/>
          <w:lang w:val="pt-BR"/>
        </w:rPr>
        <w:t>Em termos de participação, dos 117.910 inscritos, apenas 82.188 realizaram a prova, o que corresponde a uma taxa de participação em torno de 70%. A maioria dos participantes pertence a instituições privadas (67.063), o que reforça a centralidade desse segmento na educação superior brasileira.</w:t>
      </w:r>
    </w:p>
    <w:p w14:paraId="2ED46475" w14:textId="77777777" w:rsidR="000C5BFD" w:rsidRPr="000C5BFD" w:rsidRDefault="000C5BFD" w:rsidP="000C5BFD">
      <w:pPr>
        <w:spacing w:after="0" w:line="240" w:lineRule="auto"/>
        <w:ind w:firstLine="720"/>
        <w:jc w:val="both"/>
        <w:rPr>
          <w:rFonts w:cs="Arial"/>
          <w:szCs w:val="24"/>
          <w:lang w:val="pt-BR"/>
        </w:rPr>
      </w:pPr>
      <w:r w:rsidRPr="000C5BFD">
        <w:rPr>
          <w:rFonts w:cs="Arial"/>
          <w:szCs w:val="24"/>
          <w:lang w:val="pt-BR"/>
        </w:rPr>
        <w:t>As instituições privadas (4,88) e não universitárias (4,87) também atribuíram maior importância à monitoria em comparação às públicas (4,63) e universidades (4,75). Esses resultados indicam que a monitoria é valorizada de maneira transversal, mas assume papel ainda mais central quando os alunos estão em contextos com maiores desafios de acompanhamento docente, como no ensino a distância.</w:t>
      </w:r>
    </w:p>
    <w:p w14:paraId="501AA86A" w14:textId="34250994" w:rsidR="000C5BFD" w:rsidRDefault="000C5BFD" w:rsidP="000C5BFD">
      <w:pPr>
        <w:spacing w:after="0" w:line="240" w:lineRule="auto"/>
        <w:ind w:firstLine="720"/>
        <w:jc w:val="both"/>
        <w:rPr>
          <w:rFonts w:cs="Arial"/>
          <w:szCs w:val="24"/>
          <w:lang w:val="pt-BR"/>
        </w:rPr>
      </w:pPr>
      <w:r w:rsidRPr="000C5BFD">
        <w:rPr>
          <w:rFonts w:cs="Arial"/>
          <w:szCs w:val="24"/>
          <w:lang w:val="pt-BR"/>
        </w:rPr>
        <w:t>No que se refere ao desempenho, há um padrão consistente de superioridade das universidades sobre as não universitárias, das públicas sobre as privadas e do ensino presencial sobre o EAD. A nota geral média foi de 41,82 pontos, mas as universidades (44,28) superaram as não universitárias (40,71), e as públicas (46,62) superaram de forma significativa as privadas (40,80). Em relação à formação geral, os resultados reforçam a vantagem das instituições públicas (55,87) sobre as privadas (49,17), bem como das universidades (53,00) em comparação às não universitárias (49,15). Já nos componentes específicos, as diferenças também se mantêm, com destaque negativo para a modalidade EAD, que obteve a pior média (36,21).</w:t>
      </w:r>
    </w:p>
    <w:p w14:paraId="73D26677" w14:textId="77777777" w:rsidR="000C5BFD" w:rsidRDefault="000C5BFD" w:rsidP="000C5BFD">
      <w:pPr>
        <w:spacing w:after="0" w:line="240" w:lineRule="auto"/>
        <w:ind w:firstLine="720"/>
        <w:jc w:val="both"/>
        <w:rPr>
          <w:rFonts w:cs="Arial"/>
          <w:szCs w:val="24"/>
          <w:lang w:val="pt-BR"/>
        </w:rPr>
      </w:pPr>
      <w:r w:rsidRPr="000C5BFD">
        <w:rPr>
          <w:rFonts w:cs="Arial"/>
          <w:szCs w:val="24"/>
          <w:lang w:val="pt-BR"/>
        </w:rPr>
        <w:lastRenderedPageBreak/>
        <w:t>De modo geral, os dados confirmam que a monitoria é reconhecida como um recurso pedagógico relevante em todos os contextos, especialmente no ensino a distância, mas seu impacto direto sobre o desempenho acadêmico precisa ser analisado com cautela. O fato de instituições públicas e universidades apresentarem resultados sistematicamente mais altos sugere que fatores institucionais, como corpo docente, infraestrutura e políticas acadêmicas, exercem influência decisiva sobre o desempenho, ainda que a valorização da monitoria se mantenha como elemento transversal.</w:t>
      </w:r>
    </w:p>
    <w:p w14:paraId="7CCD5395" w14:textId="3DDD1780" w:rsidR="00C861AE" w:rsidRPr="00C861AE" w:rsidRDefault="000C5BFD" w:rsidP="000C5BFD">
      <w:pPr>
        <w:spacing w:after="0" w:line="240" w:lineRule="auto"/>
        <w:ind w:firstLine="720"/>
        <w:jc w:val="both"/>
        <w:rPr>
          <w:rFonts w:cs="Arial"/>
          <w:szCs w:val="24"/>
          <w:lang w:val="pt-BR"/>
        </w:rPr>
      </w:pPr>
      <w:r>
        <w:rPr>
          <w:rFonts w:cs="Arial"/>
          <w:szCs w:val="24"/>
          <w:lang w:val="pt-BR"/>
        </w:rPr>
        <w:t>Em seguida,</w:t>
      </w:r>
      <w:r w:rsidR="00C861AE" w:rsidRPr="00C861AE">
        <w:rPr>
          <w:rFonts w:cs="Arial"/>
          <w:szCs w:val="24"/>
          <w:lang w:val="pt-BR"/>
        </w:rPr>
        <w:t xml:space="preserve"> buscou</w:t>
      </w:r>
      <w:r>
        <w:rPr>
          <w:rFonts w:cs="Arial"/>
          <w:szCs w:val="24"/>
          <w:lang w:val="pt-BR"/>
        </w:rPr>
        <w:t>-se</w:t>
      </w:r>
      <w:r w:rsidR="00C861AE" w:rsidRPr="00C861AE">
        <w:rPr>
          <w:rFonts w:cs="Arial"/>
          <w:szCs w:val="24"/>
          <w:lang w:val="pt-BR"/>
        </w:rPr>
        <w:t xml:space="preserve"> identificar a relação entre a faixa do ENADE e a nota atribuída à importância da monitoria. Os resultados indicaram uma tendência positiva: quanto maior a faixa obtida pelos cursos no exame, maior a média de valorização da monitoria acadêmica</w:t>
      </w:r>
      <w:r>
        <w:rPr>
          <w:rFonts w:cs="Arial"/>
          <w:szCs w:val="24"/>
          <w:lang w:val="pt-BR"/>
        </w:rPr>
        <w:t xml:space="preserve"> (à exceção da primeira faixa)</w:t>
      </w:r>
      <w:r w:rsidR="00C861AE" w:rsidRPr="00C861AE">
        <w:rPr>
          <w:rFonts w:cs="Arial"/>
          <w:szCs w:val="24"/>
          <w:lang w:val="pt-BR"/>
        </w:rPr>
        <w:t xml:space="preserve">. Os valores descritivos estão apresentados na Tabela </w:t>
      </w:r>
      <w:r>
        <w:rPr>
          <w:rFonts w:cs="Arial"/>
          <w:szCs w:val="24"/>
          <w:lang w:val="pt-BR"/>
        </w:rPr>
        <w:t>2</w:t>
      </w:r>
      <w:r w:rsidR="00C861AE" w:rsidRPr="00C861AE">
        <w:rPr>
          <w:rFonts w:cs="Arial"/>
          <w:szCs w:val="24"/>
          <w:lang w:val="pt-BR"/>
        </w:rPr>
        <w:t>.</w:t>
      </w:r>
    </w:p>
    <w:p w14:paraId="2C4DF47A" w14:textId="77777777" w:rsidR="000C5BFD" w:rsidRDefault="000C5BFD" w:rsidP="000C5BFD">
      <w:pPr>
        <w:spacing w:after="0" w:line="240" w:lineRule="auto"/>
        <w:jc w:val="both"/>
        <w:rPr>
          <w:rFonts w:cs="Arial"/>
          <w:szCs w:val="24"/>
          <w:lang w:val="pt-BR"/>
        </w:rPr>
      </w:pPr>
    </w:p>
    <w:p w14:paraId="3679B6E7" w14:textId="75B5D0D9" w:rsidR="00C861AE" w:rsidRPr="00C861AE" w:rsidRDefault="00C861AE" w:rsidP="004A4DB3">
      <w:pPr>
        <w:spacing w:after="0" w:line="240" w:lineRule="auto"/>
        <w:jc w:val="both"/>
        <w:rPr>
          <w:rFonts w:cs="Arial"/>
          <w:szCs w:val="24"/>
          <w:lang w:val="pt-BR"/>
        </w:rPr>
      </w:pPr>
      <w:r w:rsidRPr="00C861AE">
        <w:rPr>
          <w:rFonts w:cs="Arial"/>
          <w:szCs w:val="24"/>
          <w:lang w:val="pt-BR"/>
        </w:rPr>
        <w:t xml:space="preserve">Tabela </w:t>
      </w:r>
      <w:r w:rsidR="000C5BFD">
        <w:rPr>
          <w:rFonts w:cs="Arial"/>
          <w:szCs w:val="24"/>
          <w:lang w:val="pt-BR"/>
        </w:rPr>
        <w:t>2</w:t>
      </w:r>
      <w:r w:rsidRPr="00C861AE">
        <w:rPr>
          <w:rFonts w:cs="Arial"/>
          <w:szCs w:val="24"/>
          <w:lang w:val="pt-BR"/>
        </w:rPr>
        <w:t xml:space="preserve"> – Comparação da Nota da Monitoria segundo a Faixa do ENADE</w:t>
      </w:r>
    </w:p>
    <w:tbl>
      <w:tblPr>
        <w:tblW w:w="5000" w:type="pct"/>
        <w:tblCellMar>
          <w:left w:w="70" w:type="dxa"/>
          <w:right w:w="70" w:type="dxa"/>
        </w:tblCellMar>
        <w:tblLook w:val="04A0" w:firstRow="1" w:lastRow="0" w:firstColumn="1" w:lastColumn="0" w:noHBand="0" w:noVBand="1"/>
      </w:tblPr>
      <w:tblGrid>
        <w:gridCol w:w="1437"/>
        <w:gridCol w:w="1344"/>
        <w:gridCol w:w="1871"/>
        <w:gridCol w:w="1452"/>
        <w:gridCol w:w="1265"/>
        <w:gridCol w:w="937"/>
      </w:tblGrid>
      <w:tr w:rsidR="004A4DB3" w:rsidRPr="004A4DB3" w14:paraId="35E139B1" w14:textId="77777777" w:rsidTr="004A4DB3">
        <w:trPr>
          <w:trHeight w:val="264"/>
        </w:trPr>
        <w:tc>
          <w:tcPr>
            <w:tcW w:w="929" w:type="pct"/>
            <w:tcBorders>
              <w:top w:val="single" w:sz="4" w:space="0" w:color="auto"/>
              <w:left w:val="nil"/>
              <w:bottom w:val="single" w:sz="4" w:space="0" w:color="auto"/>
              <w:right w:val="nil"/>
            </w:tcBorders>
            <w:noWrap/>
            <w:vAlign w:val="center"/>
            <w:hideMark/>
          </w:tcPr>
          <w:p w14:paraId="56B641EA"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Faixa</w:t>
            </w:r>
          </w:p>
        </w:tc>
        <w:tc>
          <w:tcPr>
            <w:tcW w:w="873" w:type="pct"/>
            <w:tcBorders>
              <w:top w:val="single" w:sz="4" w:space="0" w:color="auto"/>
              <w:left w:val="single" w:sz="4" w:space="0" w:color="auto"/>
              <w:bottom w:val="single" w:sz="4" w:space="0" w:color="auto"/>
              <w:right w:val="nil"/>
            </w:tcBorders>
            <w:noWrap/>
            <w:vAlign w:val="center"/>
            <w:hideMark/>
          </w:tcPr>
          <w:p w14:paraId="290BA4D9"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Quantidade</w:t>
            </w:r>
          </w:p>
        </w:tc>
        <w:tc>
          <w:tcPr>
            <w:tcW w:w="1190" w:type="pct"/>
            <w:tcBorders>
              <w:top w:val="single" w:sz="4" w:space="0" w:color="auto"/>
              <w:left w:val="nil"/>
              <w:bottom w:val="single" w:sz="4" w:space="0" w:color="auto"/>
              <w:right w:val="nil"/>
            </w:tcBorders>
            <w:noWrap/>
            <w:vAlign w:val="center"/>
            <w:hideMark/>
          </w:tcPr>
          <w:p w14:paraId="3EBFCF75"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Média</w:t>
            </w:r>
          </w:p>
        </w:tc>
        <w:tc>
          <w:tcPr>
            <w:tcW w:w="556" w:type="pct"/>
            <w:tcBorders>
              <w:top w:val="single" w:sz="4" w:space="0" w:color="auto"/>
              <w:left w:val="nil"/>
              <w:bottom w:val="single" w:sz="4" w:space="0" w:color="auto"/>
              <w:right w:val="nil"/>
            </w:tcBorders>
            <w:noWrap/>
            <w:vAlign w:val="center"/>
            <w:hideMark/>
          </w:tcPr>
          <w:p w14:paraId="5F867EF0"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Desvio Padrão</w:t>
            </w:r>
          </w:p>
        </w:tc>
        <w:tc>
          <w:tcPr>
            <w:tcW w:w="825" w:type="pct"/>
            <w:tcBorders>
              <w:top w:val="single" w:sz="4" w:space="0" w:color="auto"/>
              <w:left w:val="nil"/>
              <w:bottom w:val="single" w:sz="4" w:space="0" w:color="auto"/>
              <w:right w:val="single" w:sz="4" w:space="0" w:color="auto"/>
            </w:tcBorders>
            <w:noWrap/>
            <w:vAlign w:val="center"/>
            <w:hideMark/>
          </w:tcPr>
          <w:p w14:paraId="45C0A94F"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Erro Padrão</w:t>
            </w:r>
          </w:p>
        </w:tc>
        <w:tc>
          <w:tcPr>
            <w:tcW w:w="627" w:type="pct"/>
            <w:tcBorders>
              <w:top w:val="single" w:sz="4" w:space="0" w:color="auto"/>
              <w:left w:val="nil"/>
              <w:bottom w:val="single" w:sz="4" w:space="0" w:color="auto"/>
              <w:right w:val="nil"/>
            </w:tcBorders>
            <w:noWrap/>
            <w:vAlign w:val="center"/>
            <w:hideMark/>
          </w:tcPr>
          <w:p w14:paraId="2021554B" w14:textId="77777777" w:rsid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ANOVA</w:t>
            </w:r>
          </w:p>
          <w:p w14:paraId="0B2C19AA" w14:textId="39662EE2"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(valor p)</w:t>
            </w:r>
          </w:p>
        </w:tc>
      </w:tr>
      <w:tr w:rsidR="004A4DB3" w:rsidRPr="004A4DB3" w14:paraId="1C78BF81" w14:textId="77777777" w:rsidTr="004A4DB3">
        <w:trPr>
          <w:trHeight w:val="264"/>
        </w:trPr>
        <w:tc>
          <w:tcPr>
            <w:tcW w:w="929" w:type="pct"/>
            <w:tcBorders>
              <w:top w:val="nil"/>
              <w:left w:val="nil"/>
              <w:bottom w:val="nil"/>
              <w:right w:val="nil"/>
            </w:tcBorders>
            <w:noWrap/>
            <w:vAlign w:val="center"/>
            <w:hideMark/>
          </w:tcPr>
          <w:p w14:paraId="1C6F1837"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1</w:t>
            </w:r>
          </w:p>
        </w:tc>
        <w:tc>
          <w:tcPr>
            <w:tcW w:w="873" w:type="pct"/>
            <w:tcBorders>
              <w:top w:val="nil"/>
              <w:left w:val="single" w:sz="4" w:space="0" w:color="auto"/>
              <w:bottom w:val="nil"/>
              <w:right w:val="nil"/>
            </w:tcBorders>
            <w:noWrap/>
            <w:vAlign w:val="center"/>
            <w:hideMark/>
          </w:tcPr>
          <w:p w14:paraId="6D00B272"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18</w:t>
            </w:r>
          </w:p>
        </w:tc>
        <w:tc>
          <w:tcPr>
            <w:tcW w:w="1190" w:type="pct"/>
            <w:tcBorders>
              <w:top w:val="nil"/>
              <w:left w:val="nil"/>
              <w:bottom w:val="nil"/>
              <w:right w:val="nil"/>
            </w:tcBorders>
            <w:noWrap/>
            <w:vAlign w:val="center"/>
            <w:hideMark/>
          </w:tcPr>
          <w:p w14:paraId="4ECAAFA8"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5,07</w:t>
            </w:r>
          </w:p>
        </w:tc>
        <w:tc>
          <w:tcPr>
            <w:tcW w:w="556" w:type="pct"/>
            <w:tcBorders>
              <w:top w:val="nil"/>
              <w:left w:val="nil"/>
              <w:bottom w:val="nil"/>
              <w:right w:val="nil"/>
            </w:tcBorders>
            <w:noWrap/>
            <w:vAlign w:val="center"/>
            <w:hideMark/>
          </w:tcPr>
          <w:p w14:paraId="50C19DC4"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0,82</w:t>
            </w:r>
          </w:p>
        </w:tc>
        <w:tc>
          <w:tcPr>
            <w:tcW w:w="825" w:type="pct"/>
            <w:tcBorders>
              <w:top w:val="nil"/>
              <w:left w:val="nil"/>
              <w:bottom w:val="nil"/>
              <w:right w:val="single" w:sz="4" w:space="0" w:color="auto"/>
            </w:tcBorders>
            <w:noWrap/>
            <w:vAlign w:val="center"/>
            <w:hideMark/>
          </w:tcPr>
          <w:p w14:paraId="2ECE4AF6"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0,19</w:t>
            </w:r>
          </w:p>
        </w:tc>
        <w:tc>
          <w:tcPr>
            <w:tcW w:w="627" w:type="pct"/>
            <w:vMerge w:val="restart"/>
            <w:tcBorders>
              <w:top w:val="nil"/>
              <w:left w:val="single" w:sz="4" w:space="0" w:color="auto"/>
              <w:bottom w:val="single" w:sz="4" w:space="0" w:color="000000"/>
              <w:right w:val="nil"/>
            </w:tcBorders>
            <w:noWrap/>
            <w:vAlign w:val="center"/>
            <w:hideMark/>
          </w:tcPr>
          <w:p w14:paraId="41489699" w14:textId="77777777" w:rsid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7,95</w:t>
            </w:r>
          </w:p>
          <w:p w14:paraId="3B1E8247" w14:textId="18C63F0E"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(&lt; 0,01)</w:t>
            </w:r>
          </w:p>
        </w:tc>
      </w:tr>
      <w:tr w:rsidR="004A4DB3" w:rsidRPr="004A4DB3" w14:paraId="7EA964C4" w14:textId="77777777" w:rsidTr="004A4DB3">
        <w:trPr>
          <w:trHeight w:val="264"/>
        </w:trPr>
        <w:tc>
          <w:tcPr>
            <w:tcW w:w="929" w:type="pct"/>
            <w:tcBorders>
              <w:top w:val="nil"/>
              <w:left w:val="nil"/>
              <w:bottom w:val="nil"/>
              <w:right w:val="nil"/>
            </w:tcBorders>
            <w:noWrap/>
            <w:vAlign w:val="center"/>
            <w:hideMark/>
          </w:tcPr>
          <w:p w14:paraId="5F5765F1"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2</w:t>
            </w:r>
          </w:p>
        </w:tc>
        <w:tc>
          <w:tcPr>
            <w:tcW w:w="873" w:type="pct"/>
            <w:tcBorders>
              <w:top w:val="nil"/>
              <w:left w:val="single" w:sz="4" w:space="0" w:color="auto"/>
              <w:bottom w:val="nil"/>
              <w:right w:val="nil"/>
            </w:tcBorders>
            <w:noWrap/>
            <w:vAlign w:val="center"/>
            <w:hideMark/>
          </w:tcPr>
          <w:p w14:paraId="36EEC397"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402</w:t>
            </w:r>
          </w:p>
        </w:tc>
        <w:tc>
          <w:tcPr>
            <w:tcW w:w="1190" w:type="pct"/>
            <w:tcBorders>
              <w:top w:val="nil"/>
              <w:left w:val="nil"/>
              <w:bottom w:val="nil"/>
              <w:right w:val="nil"/>
            </w:tcBorders>
            <w:noWrap/>
            <w:vAlign w:val="center"/>
            <w:hideMark/>
          </w:tcPr>
          <w:p w14:paraId="00D2470F"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4,74</w:t>
            </w:r>
          </w:p>
        </w:tc>
        <w:tc>
          <w:tcPr>
            <w:tcW w:w="556" w:type="pct"/>
            <w:tcBorders>
              <w:top w:val="nil"/>
              <w:left w:val="nil"/>
              <w:bottom w:val="nil"/>
              <w:right w:val="nil"/>
            </w:tcBorders>
            <w:noWrap/>
            <w:vAlign w:val="center"/>
            <w:hideMark/>
          </w:tcPr>
          <w:p w14:paraId="1DFCBDB4"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0,74</w:t>
            </w:r>
          </w:p>
        </w:tc>
        <w:tc>
          <w:tcPr>
            <w:tcW w:w="825" w:type="pct"/>
            <w:tcBorders>
              <w:top w:val="nil"/>
              <w:left w:val="nil"/>
              <w:bottom w:val="nil"/>
              <w:right w:val="single" w:sz="4" w:space="0" w:color="auto"/>
            </w:tcBorders>
            <w:noWrap/>
            <w:vAlign w:val="center"/>
            <w:hideMark/>
          </w:tcPr>
          <w:p w14:paraId="04065F2A"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0,04</w:t>
            </w:r>
          </w:p>
        </w:tc>
        <w:tc>
          <w:tcPr>
            <w:tcW w:w="627" w:type="pct"/>
            <w:vMerge/>
            <w:tcBorders>
              <w:top w:val="nil"/>
              <w:left w:val="single" w:sz="4" w:space="0" w:color="auto"/>
              <w:bottom w:val="single" w:sz="4" w:space="0" w:color="000000"/>
              <w:right w:val="nil"/>
            </w:tcBorders>
            <w:vAlign w:val="center"/>
            <w:hideMark/>
          </w:tcPr>
          <w:p w14:paraId="037D72CA" w14:textId="77777777" w:rsidR="004A4DB3" w:rsidRPr="004A4DB3" w:rsidRDefault="004A4DB3" w:rsidP="004A4DB3">
            <w:pPr>
              <w:spacing w:after="0" w:line="240" w:lineRule="auto"/>
              <w:rPr>
                <w:rFonts w:eastAsia="Times New Roman" w:cs="Arial"/>
                <w:color w:val="000000"/>
                <w:sz w:val="20"/>
                <w:szCs w:val="20"/>
                <w:lang w:val="pt-BR" w:eastAsia="pt-BR"/>
              </w:rPr>
            </w:pPr>
          </w:p>
        </w:tc>
      </w:tr>
      <w:tr w:rsidR="004A4DB3" w:rsidRPr="004A4DB3" w14:paraId="0B9A0873" w14:textId="77777777" w:rsidTr="004A4DB3">
        <w:trPr>
          <w:trHeight w:val="264"/>
        </w:trPr>
        <w:tc>
          <w:tcPr>
            <w:tcW w:w="929" w:type="pct"/>
            <w:tcBorders>
              <w:top w:val="nil"/>
              <w:left w:val="nil"/>
              <w:bottom w:val="nil"/>
              <w:right w:val="nil"/>
            </w:tcBorders>
            <w:noWrap/>
            <w:vAlign w:val="center"/>
            <w:hideMark/>
          </w:tcPr>
          <w:p w14:paraId="438BB04C"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3</w:t>
            </w:r>
          </w:p>
        </w:tc>
        <w:tc>
          <w:tcPr>
            <w:tcW w:w="873" w:type="pct"/>
            <w:tcBorders>
              <w:top w:val="nil"/>
              <w:left w:val="single" w:sz="4" w:space="0" w:color="auto"/>
              <w:bottom w:val="nil"/>
              <w:right w:val="nil"/>
            </w:tcBorders>
            <w:noWrap/>
            <w:vAlign w:val="center"/>
            <w:hideMark/>
          </w:tcPr>
          <w:p w14:paraId="60F723DB"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792</w:t>
            </w:r>
          </w:p>
        </w:tc>
        <w:tc>
          <w:tcPr>
            <w:tcW w:w="1190" w:type="pct"/>
            <w:tcBorders>
              <w:top w:val="nil"/>
              <w:left w:val="nil"/>
              <w:bottom w:val="nil"/>
              <w:right w:val="nil"/>
            </w:tcBorders>
            <w:noWrap/>
            <w:vAlign w:val="center"/>
            <w:hideMark/>
          </w:tcPr>
          <w:p w14:paraId="04277702"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4,81</w:t>
            </w:r>
          </w:p>
        </w:tc>
        <w:tc>
          <w:tcPr>
            <w:tcW w:w="556" w:type="pct"/>
            <w:tcBorders>
              <w:top w:val="nil"/>
              <w:left w:val="nil"/>
              <w:bottom w:val="nil"/>
              <w:right w:val="nil"/>
            </w:tcBorders>
            <w:noWrap/>
            <w:vAlign w:val="center"/>
            <w:hideMark/>
          </w:tcPr>
          <w:p w14:paraId="790D3129"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0,68</w:t>
            </w:r>
          </w:p>
        </w:tc>
        <w:tc>
          <w:tcPr>
            <w:tcW w:w="825" w:type="pct"/>
            <w:tcBorders>
              <w:top w:val="nil"/>
              <w:left w:val="nil"/>
              <w:bottom w:val="nil"/>
              <w:right w:val="single" w:sz="4" w:space="0" w:color="auto"/>
            </w:tcBorders>
            <w:noWrap/>
            <w:vAlign w:val="center"/>
            <w:hideMark/>
          </w:tcPr>
          <w:p w14:paraId="0A23DCE5"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0,02</w:t>
            </w:r>
          </w:p>
        </w:tc>
        <w:tc>
          <w:tcPr>
            <w:tcW w:w="627" w:type="pct"/>
            <w:vMerge/>
            <w:tcBorders>
              <w:top w:val="nil"/>
              <w:left w:val="single" w:sz="4" w:space="0" w:color="auto"/>
              <w:bottom w:val="single" w:sz="4" w:space="0" w:color="000000"/>
              <w:right w:val="nil"/>
            </w:tcBorders>
            <w:vAlign w:val="center"/>
            <w:hideMark/>
          </w:tcPr>
          <w:p w14:paraId="1CDDFF5B" w14:textId="77777777" w:rsidR="004A4DB3" w:rsidRPr="004A4DB3" w:rsidRDefault="004A4DB3" w:rsidP="004A4DB3">
            <w:pPr>
              <w:spacing w:after="0" w:line="240" w:lineRule="auto"/>
              <w:rPr>
                <w:rFonts w:eastAsia="Times New Roman" w:cs="Arial"/>
                <w:color w:val="000000"/>
                <w:sz w:val="20"/>
                <w:szCs w:val="20"/>
                <w:lang w:val="pt-BR" w:eastAsia="pt-BR"/>
              </w:rPr>
            </w:pPr>
          </w:p>
        </w:tc>
      </w:tr>
      <w:tr w:rsidR="004A4DB3" w:rsidRPr="004A4DB3" w14:paraId="604263CE" w14:textId="77777777" w:rsidTr="004A4DB3">
        <w:trPr>
          <w:trHeight w:val="264"/>
        </w:trPr>
        <w:tc>
          <w:tcPr>
            <w:tcW w:w="929" w:type="pct"/>
            <w:tcBorders>
              <w:top w:val="nil"/>
              <w:left w:val="nil"/>
              <w:bottom w:val="nil"/>
              <w:right w:val="nil"/>
            </w:tcBorders>
            <w:noWrap/>
            <w:vAlign w:val="center"/>
            <w:hideMark/>
          </w:tcPr>
          <w:p w14:paraId="2F42D4B5"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4</w:t>
            </w:r>
          </w:p>
        </w:tc>
        <w:tc>
          <w:tcPr>
            <w:tcW w:w="873" w:type="pct"/>
            <w:tcBorders>
              <w:top w:val="nil"/>
              <w:left w:val="single" w:sz="4" w:space="0" w:color="auto"/>
              <w:bottom w:val="nil"/>
              <w:right w:val="nil"/>
            </w:tcBorders>
            <w:noWrap/>
            <w:vAlign w:val="center"/>
            <w:hideMark/>
          </w:tcPr>
          <w:p w14:paraId="31E6EEAF"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307</w:t>
            </w:r>
          </w:p>
        </w:tc>
        <w:tc>
          <w:tcPr>
            <w:tcW w:w="1190" w:type="pct"/>
            <w:tcBorders>
              <w:top w:val="nil"/>
              <w:left w:val="nil"/>
              <w:bottom w:val="nil"/>
              <w:right w:val="nil"/>
            </w:tcBorders>
            <w:noWrap/>
            <w:vAlign w:val="center"/>
            <w:hideMark/>
          </w:tcPr>
          <w:p w14:paraId="035F7BA1"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4,92</w:t>
            </w:r>
          </w:p>
        </w:tc>
        <w:tc>
          <w:tcPr>
            <w:tcW w:w="556" w:type="pct"/>
            <w:tcBorders>
              <w:top w:val="nil"/>
              <w:left w:val="nil"/>
              <w:bottom w:val="nil"/>
              <w:right w:val="nil"/>
            </w:tcBorders>
            <w:noWrap/>
            <w:vAlign w:val="center"/>
            <w:hideMark/>
          </w:tcPr>
          <w:p w14:paraId="011690FB"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0,72</w:t>
            </w:r>
          </w:p>
        </w:tc>
        <w:tc>
          <w:tcPr>
            <w:tcW w:w="825" w:type="pct"/>
            <w:tcBorders>
              <w:top w:val="nil"/>
              <w:left w:val="nil"/>
              <w:bottom w:val="nil"/>
              <w:right w:val="single" w:sz="4" w:space="0" w:color="auto"/>
            </w:tcBorders>
            <w:noWrap/>
            <w:vAlign w:val="center"/>
            <w:hideMark/>
          </w:tcPr>
          <w:p w14:paraId="59C49738"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0,04</w:t>
            </w:r>
          </w:p>
        </w:tc>
        <w:tc>
          <w:tcPr>
            <w:tcW w:w="627" w:type="pct"/>
            <w:vMerge/>
            <w:tcBorders>
              <w:top w:val="nil"/>
              <w:left w:val="single" w:sz="4" w:space="0" w:color="auto"/>
              <w:bottom w:val="single" w:sz="4" w:space="0" w:color="000000"/>
              <w:right w:val="nil"/>
            </w:tcBorders>
            <w:vAlign w:val="center"/>
            <w:hideMark/>
          </w:tcPr>
          <w:p w14:paraId="65EA155C" w14:textId="77777777" w:rsidR="004A4DB3" w:rsidRPr="004A4DB3" w:rsidRDefault="004A4DB3" w:rsidP="004A4DB3">
            <w:pPr>
              <w:spacing w:after="0" w:line="240" w:lineRule="auto"/>
              <w:rPr>
                <w:rFonts w:eastAsia="Times New Roman" w:cs="Arial"/>
                <w:color w:val="000000"/>
                <w:sz w:val="20"/>
                <w:szCs w:val="20"/>
                <w:lang w:val="pt-BR" w:eastAsia="pt-BR"/>
              </w:rPr>
            </w:pPr>
          </w:p>
        </w:tc>
      </w:tr>
      <w:tr w:rsidR="004A4DB3" w:rsidRPr="004A4DB3" w14:paraId="1045D38C" w14:textId="77777777" w:rsidTr="004A4DB3">
        <w:trPr>
          <w:trHeight w:val="264"/>
        </w:trPr>
        <w:tc>
          <w:tcPr>
            <w:tcW w:w="929" w:type="pct"/>
            <w:tcBorders>
              <w:top w:val="nil"/>
              <w:left w:val="nil"/>
              <w:bottom w:val="nil"/>
              <w:right w:val="nil"/>
            </w:tcBorders>
            <w:noWrap/>
            <w:vAlign w:val="center"/>
            <w:hideMark/>
          </w:tcPr>
          <w:p w14:paraId="6DFBB990"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5</w:t>
            </w:r>
          </w:p>
        </w:tc>
        <w:tc>
          <w:tcPr>
            <w:tcW w:w="873" w:type="pct"/>
            <w:tcBorders>
              <w:top w:val="nil"/>
              <w:left w:val="single" w:sz="4" w:space="0" w:color="auto"/>
              <w:bottom w:val="nil"/>
              <w:right w:val="nil"/>
            </w:tcBorders>
            <w:noWrap/>
            <w:vAlign w:val="center"/>
            <w:hideMark/>
          </w:tcPr>
          <w:p w14:paraId="6D0AC072"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77</w:t>
            </w:r>
          </w:p>
        </w:tc>
        <w:tc>
          <w:tcPr>
            <w:tcW w:w="1190" w:type="pct"/>
            <w:tcBorders>
              <w:top w:val="nil"/>
              <w:left w:val="nil"/>
              <w:bottom w:val="nil"/>
              <w:right w:val="nil"/>
            </w:tcBorders>
            <w:noWrap/>
            <w:vAlign w:val="center"/>
            <w:hideMark/>
          </w:tcPr>
          <w:p w14:paraId="5085CE6C"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5,15</w:t>
            </w:r>
          </w:p>
        </w:tc>
        <w:tc>
          <w:tcPr>
            <w:tcW w:w="556" w:type="pct"/>
            <w:tcBorders>
              <w:top w:val="nil"/>
              <w:left w:val="nil"/>
              <w:bottom w:val="nil"/>
              <w:right w:val="nil"/>
            </w:tcBorders>
            <w:noWrap/>
            <w:vAlign w:val="center"/>
            <w:hideMark/>
          </w:tcPr>
          <w:p w14:paraId="384CEC90"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0,64</w:t>
            </w:r>
          </w:p>
        </w:tc>
        <w:tc>
          <w:tcPr>
            <w:tcW w:w="825" w:type="pct"/>
            <w:tcBorders>
              <w:top w:val="nil"/>
              <w:left w:val="nil"/>
              <w:bottom w:val="nil"/>
              <w:right w:val="single" w:sz="4" w:space="0" w:color="auto"/>
            </w:tcBorders>
            <w:noWrap/>
            <w:vAlign w:val="center"/>
            <w:hideMark/>
          </w:tcPr>
          <w:p w14:paraId="7A1C164B"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0,07</w:t>
            </w:r>
          </w:p>
        </w:tc>
        <w:tc>
          <w:tcPr>
            <w:tcW w:w="627" w:type="pct"/>
            <w:vMerge/>
            <w:tcBorders>
              <w:top w:val="nil"/>
              <w:left w:val="single" w:sz="4" w:space="0" w:color="auto"/>
              <w:bottom w:val="single" w:sz="4" w:space="0" w:color="000000"/>
              <w:right w:val="nil"/>
            </w:tcBorders>
            <w:vAlign w:val="center"/>
            <w:hideMark/>
          </w:tcPr>
          <w:p w14:paraId="22902E1D" w14:textId="77777777" w:rsidR="004A4DB3" w:rsidRPr="004A4DB3" w:rsidRDefault="004A4DB3" w:rsidP="004A4DB3">
            <w:pPr>
              <w:spacing w:after="0" w:line="240" w:lineRule="auto"/>
              <w:rPr>
                <w:rFonts w:eastAsia="Times New Roman" w:cs="Arial"/>
                <w:color w:val="000000"/>
                <w:sz w:val="20"/>
                <w:szCs w:val="20"/>
                <w:lang w:val="pt-BR" w:eastAsia="pt-BR"/>
              </w:rPr>
            </w:pPr>
          </w:p>
        </w:tc>
      </w:tr>
      <w:tr w:rsidR="004A4DB3" w:rsidRPr="004A4DB3" w14:paraId="4F5C14BC" w14:textId="77777777" w:rsidTr="004A4DB3">
        <w:trPr>
          <w:trHeight w:val="264"/>
        </w:trPr>
        <w:tc>
          <w:tcPr>
            <w:tcW w:w="929" w:type="pct"/>
            <w:tcBorders>
              <w:top w:val="single" w:sz="4" w:space="0" w:color="auto"/>
              <w:left w:val="nil"/>
              <w:bottom w:val="single" w:sz="4" w:space="0" w:color="auto"/>
              <w:right w:val="nil"/>
            </w:tcBorders>
            <w:noWrap/>
            <w:vAlign w:val="center"/>
            <w:hideMark/>
          </w:tcPr>
          <w:p w14:paraId="61D1607F"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Total</w:t>
            </w:r>
          </w:p>
        </w:tc>
        <w:tc>
          <w:tcPr>
            <w:tcW w:w="873" w:type="pct"/>
            <w:tcBorders>
              <w:top w:val="single" w:sz="4" w:space="0" w:color="auto"/>
              <w:left w:val="single" w:sz="4" w:space="0" w:color="auto"/>
              <w:bottom w:val="single" w:sz="4" w:space="0" w:color="auto"/>
              <w:right w:val="nil"/>
            </w:tcBorders>
            <w:noWrap/>
            <w:vAlign w:val="center"/>
            <w:hideMark/>
          </w:tcPr>
          <w:p w14:paraId="386FE2A5"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1596</w:t>
            </w:r>
          </w:p>
        </w:tc>
        <w:tc>
          <w:tcPr>
            <w:tcW w:w="1190" w:type="pct"/>
            <w:tcBorders>
              <w:top w:val="single" w:sz="4" w:space="0" w:color="auto"/>
              <w:left w:val="nil"/>
              <w:bottom w:val="single" w:sz="4" w:space="0" w:color="auto"/>
              <w:right w:val="nil"/>
            </w:tcBorders>
            <w:noWrap/>
            <w:vAlign w:val="center"/>
            <w:hideMark/>
          </w:tcPr>
          <w:p w14:paraId="3756AD1B"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4,83</w:t>
            </w:r>
          </w:p>
        </w:tc>
        <w:tc>
          <w:tcPr>
            <w:tcW w:w="556" w:type="pct"/>
            <w:tcBorders>
              <w:top w:val="single" w:sz="4" w:space="0" w:color="auto"/>
              <w:left w:val="nil"/>
              <w:bottom w:val="single" w:sz="4" w:space="0" w:color="auto"/>
              <w:right w:val="nil"/>
            </w:tcBorders>
            <w:noWrap/>
            <w:vAlign w:val="center"/>
            <w:hideMark/>
          </w:tcPr>
          <w:p w14:paraId="133BC47F"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0,71</w:t>
            </w:r>
          </w:p>
        </w:tc>
        <w:tc>
          <w:tcPr>
            <w:tcW w:w="825" w:type="pct"/>
            <w:tcBorders>
              <w:top w:val="single" w:sz="4" w:space="0" w:color="auto"/>
              <w:left w:val="nil"/>
              <w:bottom w:val="single" w:sz="4" w:space="0" w:color="auto"/>
              <w:right w:val="single" w:sz="4" w:space="0" w:color="auto"/>
            </w:tcBorders>
            <w:noWrap/>
            <w:vAlign w:val="center"/>
            <w:hideMark/>
          </w:tcPr>
          <w:p w14:paraId="76EDEDE3" w14:textId="77777777" w:rsidR="004A4DB3" w:rsidRPr="004A4DB3" w:rsidRDefault="004A4DB3" w:rsidP="004A4DB3">
            <w:pPr>
              <w:spacing w:after="0" w:line="240" w:lineRule="auto"/>
              <w:jc w:val="center"/>
              <w:rPr>
                <w:rFonts w:eastAsia="Times New Roman" w:cs="Arial"/>
                <w:color w:val="000000"/>
                <w:sz w:val="20"/>
                <w:szCs w:val="20"/>
                <w:lang w:val="pt-BR" w:eastAsia="pt-BR"/>
              </w:rPr>
            </w:pPr>
            <w:r w:rsidRPr="004A4DB3">
              <w:rPr>
                <w:rFonts w:eastAsia="Times New Roman" w:cs="Arial"/>
                <w:color w:val="000000"/>
                <w:sz w:val="20"/>
                <w:szCs w:val="20"/>
                <w:lang w:val="pt-BR" w:eastAsia="pt-BR"/>
              </w:rPr>
              <w:t>0,02</w:t>
            </w:r>
          </w:p>
        </w:tc>
        <w:tc>
          <w:tcPr>
            <w:tcW w:w="627" w:type="pct"/>
            <w:vMerge/>
            <w:tcBorders>
              <w:top w:val="nil"/>
              <w:left w:val="single" w:sz="4" w:space="0" w:color="auto"/>
              <w:bottom w:val="single" w:sz="4" w:space="0" w:color="000000"/>
              <w:right w:val="nil"/>
            </w:tcBorders>
            <w:vAlign w:val="center"/>
            <w:hideMark/>
          </w:tcPr>
          <w:p w14:paraId="20CC0EAF" w14:textId="77777777" w:rsidR="004A4DB3" w:rsidRPr="004A4DB3" w:rsidRDefault="004A4DB3" w:rsidP="004A4DB3">
            <w:pPr>
              <w:spacing w:after="0" w:line="240" w:lineRule="auto"/>
              <w:rPr>
                <w:rFonts w:eastAsia="Times New Roman" w:cs="Arial"/>
                <w:color w:val="000000"/>
                <w:sz w:val="20"/>
                <w:szCs w:val="20"/>
                <w:lang w:val="pt-BR" w:eastAsia="pt-BR"/>
              </w:rPr>
            </w:pPr>
          </w:p>
        </w:tc>
      </w:tr>
    </w:tbl>
    <w:p w14:paraId="56577DCE" w14:textId="0FE9ABD6" w:rsidR="00C861AE" w:rsidRPr="004A4DB3" w:rsidRDefault="00C861AE" w:rsidP="00C861AE">
      <w:pPr>
        <w:jc w:val="both"/>
        <w:rPr>
          <w:rFonts w:cs="Arial"/>
          <w:sz w:val="20"/>
          <w:szCs w:val="20"/>
          <w:lang w:val="pt-BR"/>
        </w:rPr>
      </w:pPr>
      <w:r w:rsidRPr="004A4DB3">
        <w:rPr>
          <w:rFonts w:cs="Arial"/>
          <w:sz w:val="20"/>
          <w:szCs w:val="20"/>
          <w:lang w:val="pt-BR"/>
        </w:rPr>
        <w:t>Fonte: Dados da pesquisa (2025).</w:t>
      </w:r>
    </w:p>
    <w:p w14:paraId="75821981" w14:textId="592A19EC" w:rsidR="00C861AE" w:rsidRPr="00C861AE" w:rsidRDefault="00C861AE" w:rsidP="008D3A40">
      <w:pPr>
        <w:spacing w:after="0" w:line="240" w:lineRule="auto"/>
        <w:ind w:firstLine="720"/>
        <w:jc w:val="both"/>
        <w:rPr>
          <w:rFonts w:cs="Arial"/>
          <w:szCs w:val="24"/>
          <w:lang w:val="pt-BR"/>
        </w:rPr>
      </w:pPr>
      <w:r w:rsidRPr="00C861AE">
        <w:rPr>
          <w:rFonts w:cs="Arial"/>
          <w:szCs w:val="24"/>
          <w:lang w:val="pt-BR"/>
        </w:rPr>
        <w:t xml:space="preserve">Os cursos posicionados na Faixa 5 apresentaram a maior média de nota da monitoria (M = </w:t>
      </w:r>
      <w:r w:rsidR="004A4DB3">
        <w:rPr>
          <w:rFonts w:cs="Arial"/>
          <w:szCs w:val="24"/>
          <w:lang w:val="pt-BR"/>
        </w:rPr>
        <w:t>5,15</w:t>
      </w:r>
      <w:r w:rsidRPr="00C861AE">
        <w:rPr>
          <w:rFonts w:cs="Arial"/>
          <w:szCs w:val="24"/>
          <w:lang w:val="pt-BR"/>
        </w:rPr>
        <w:t>; DP = 0,6</w:t>
      </w:r>
      <w:r w:rsidR="004A4DB3">
        <w:rPr>
          <w:rFonts w:cs="Arial"/>
          <w:szCs w:val="24"/>
          <w:lang w:val="pt-BR"/>
        </w:rPr>
        <w:t>4</w:t>
      </w:r>
      <w:r w:rsidRPr="00C861AE">
        <w:rPr>
          <w:rFonts w:cs="Arial"/>
          <w:szCs w:val="24"/>
          <w:lang w:val="pt-BR"/>
        </w:rPr>
        <w:t>)</w:t>
      </w:r>
      <w:r w:rsidR="004A4DB3">
        <w:rPr>
          <w:rFonts w:cs="Arial"/>
          <w:szCs w:val="24"/>
          <w:lang w:val="pt-BR"/>
        </w:rPr>
        <w:t xml:space="preserve">. A segunda faixa com maior importância para monitoria, são os cursos da Faixa 1 </w:t>
      </w:r>
      <w:r w:rsidR="004A4DB3" w:rsidRPr="00C861AE">
        <w:rPr>
          <w:rFonts w:cs="Arial"/>
          <w:szCs w:val="24"/>
          <w:lang w:val="pt-BR"/>
        </w:rPr>
        <w:t xml:space="preserve">(M = </w:t>
      </w:r>
      <w:r w:rsidR="004A4DB3">
        <w:rPr>
          <w:rFonts w:cs="Arial"/>
          <w:szCs w:val="24"/>
          <w:lang w:val="pt-BR"/>
        </w:rPr>
        <w:t>5,07</w:t>
      </w:r>
      <w:r w:rsidR="004A4DB3" w:rsidRPr="00C861AE">
        <w:rPr>
          <w:rFonts w:cs="Arial"/>
          <w:szCs w:val="24"/>
          <w:lang w:val="pt-BR"/>
        </w:rPr>
        <w:t>; DP = 0,</w:t>
      </w:r>
      <w:r w:rsidR="004A4DB3">
        <w:rPr>
          <w:rFonts w:cs="Arial"/>
          <w:szCs w:val="24"/>
          <w:lang w:val="pt-BR"/>
        </w:rPr>
        <w:t>82</w:t>
      </w:r>
      <w:r w:rsidR="004A4DB3" w:rsidRPr="00C861AE">
        <w:rPr>
          <w:rFonts w:cs="Arial"/>
          <w:szCs w:val="24"/>
          <w:lang w:val="pt-BR"/>
        </w:rPr>
        <w:t>)</w:t>
      </w:r>
      <w:r w:rsidR="004A4DB3">
        <w:rPr>
          <w:rFonts w:cs="Arial"/>
          <w:szCs w:val="24"/>
          <w:lang w:val="pt-BR"/>
        </w:rPr>
        <w:t>, no entanto, o erro padrão da média para esta faixa é consideravelmente maior em comparação com as demais faixas (0,19), indicando maior incerteza associada a esta média</w:t>
      </w:r>
      <w:r w:rsidRPr="00C861AE">
        <w:rPr>
          <w:rFonts w:cs="Arial"/>
          <w:szCs w:val="24"/>
          <w:lang w:val="pt-BR"/>
        </w:rPr>
        <w:t xml:space="preserve">. </w:t>
      </w:r>
      <w:r w:rsidR="004A4DB3">
        <w:rPr>
          <w:rFonts w:cs="Arial"/>
          <w:szCs w:val="24"/>
          <w:lang w:val="pt-BR"/>
        </w:rPr>
        <w:t xml:space="preserve">Em seguida, percebe-se que os cursos nas faixas 2, 3 e 4 apresentam uma tendência de crescimento entre as médias, entre 4,74 e 4,92. </w:t>
      </w:r>
    </w:p>
    <w:p w14:paraId="1F8DB4DF" w14:textId="77777777" w:rsidR="008D3A40" w:rsidRDefault="00C861AE" w:rsidP="008D3A40">
      <w:pPr>
        <w:spacing w:after="0" w:line="240" w:lineRule="auto"/>
        <w:ind w:firstLine="720"/>
        <w:jc w:val="both"/>
        <w:rPr>
          <w:rFonts w:cs="Arial"/>
          <w:szCs w:val="24"/>
          <w:lang w:val="pt-BR"/>
        </w:rPr>
      </w:pPr>
      <w:r w:rsidRPr="00C861AE">
        <w:rPr>
          <w:rFonts w:cs="Arial"/>
          <w:szCs w:val="24"/>
          <w:lang w:val="pt-BR"/>
        </w:rPr>
        <w:t xml:space="preserve">Embora as diferenças entre as médias não sejam expressivas em termos absolutos, o movimento ascendente entre as faixas revela uma associação preliminar entre a valorização da monitoria e o desempenho no ENADE. Esses achados fornecem suporte inicial à hipótese de que cursos com melhores programas de monitoria tendem a apresentar </w:t>
      </w:r>
      <w:proofErr w:type="gramStart"/>
      <w:r w:rsidRPr="00C861AE">
        <w:rPr>
          <w:rFonts w:cs="Arial"/>
          <w:szCs w:val="24"/>
          <w:lang w:val="pt-BR"/>
        </w:rPr>
        <w:t>melhores</w:t>
      </w:r>
      <w:proofErr w:type="gramEnd"/>
      <w:r w:rsidRPr="00C861AE">
        <w:rPr>
          <w:rFonts w:cs="Arial"/>
          <w:szCs w:val="24"/>
          <w:lang w:val="pt-BR"/>
        </w:rPr>
        <w:t xml:space="preserve"> resultados no exame. No entanto, ressalta-se que a análise descritiva não permite afirmar causalidade, sendo necessária a realização de testes inferenciais subsequentes para verificar a significância estatística dessa relação.</w:t>
      </w:r>
    </w:p>
    <w:p w14:paraId="46390A5D" w14:textId="77777777" w:rsidR="008D3A40" w:rsidRDefault="00C861AE" w:rsidP="008D3A40">
      <w:pPr>
        <w:spacing w:after="0" w:line="240" w:lineRule="auto"/>
        <w:ind w:firstLine="720"/>
        <w:jc w:val="both"/>
        <w:rPr>
          <w:rFonts w:cs="Arial"/>
          <w:szCs w:val="24"/>
          <w:lang w:val="pt-BR"/>
        </w:rPr>
      </w:pPr>
      <w:r w:rsidRPr="00C861AE">
        <w:rPr>
          <w:rFonts w:cs="Arial"/>
          <w:szCs w:val="24"/>
          <w:lang w:val="pt-BR"/>
        </w:rPr>
        <w:t xml:space="preserve">A análise de variância (ANOVA de </w:t>
      </w:r>
      <w:proofErr w:type="spellStart"/>
      <w:r w:rsidRPr="00C861AE">
        <w:rPr>
          <w:rFonts w:cs="Arial"/>
          <w:szCs w:val="24"/>
          <w:lang w:val="pt-BR"/>
        </w:rPr>
        <w:t>Welch</w:t>
      </w:r>
      <w:proofErr w:type="spellEnd"/>
      <w:r w:rsidRPr="00C861AE">
        <w:rPr>
          <w:rFonts w:cs="Arial"/>
          <w:szCs w:val="24"/>
          <w:lang w:val="pt-BR"/>
        </w:rPr>
        <w:t xml:space="preserve">) foi utilizada para verificar se a valorização da monitoria difere de modo significativo entre os grupos de cursos classificados nas distintas faixas do ENADE. Os resultados indicaram efeito estatisticamente significante da variável Faixa do ENADE sobre a nota atribuída à monitoria (F = </w:t>
      </w:r>
      <w:r w:rsidR="008D3A40">
        <w:rPr>
          <w:rFonts w:cs="Arial"/>
          <w:szCs w:val="24"/>
          <w:lang w:val="pt-BR"/>
        </w:rPr>
        <w:t>7,95</w:t>
      </w:r>
      <w:r w:rsidRPr="00C861AE">
        <w:rPr>
          <w:rFonts w:cs="Arial"/>
          <w:szCs w:val="24"/>
          <w:lang w:val="pt-BR"/>
        </w:rPr>
        <w:t xml:space="preserve">; p &lt; 0,01). Esse achado demonstra que as médias de monitoria variam de forma estatisticamente significativa entre os grupos. Estes resultados também são apresentados na Tabela </w:t>
      </w:r>
      <w:r w:rsidR="008D3A40">
        <w:rPr>
          <w:rFonts w:cs="Arial"/>
          <w:szCs w:val="24"/>
          <w:lang w:val="pt-BR"/>
        </w:rPr>
        <w:t>2</w:t>
      </w:r>
      <w:r w:rsidRPr="00C861AE">
        <w:rPr>
          <w:rFonts w:cs="Arial"/>
          <w:szCs w:val="24"/>
          <w:lang w:val="pt-BR"/>
        </w:rPr>
        <w:t>.</w:t>
      </w:r>
    </w:p>
    <w:p w14:paraId="4B091E9B" w14:textId="4584DD1A" w:rsidR="00C861AE" w:rsidRPr="00C861AE" w:rsidRDefault="00C861AE" w:rsidP="008D3A40">
      <w:pPr>
        <w:spacing w:after="0" w:line="240" w:lineRule="auto"/>
        <w:ind w:firstLine="720"/>
        <w:jc w:val="both"/>
        <w:rPr>
          <w:rFonts w:cs="Arial"/>
          <w:szCs w:val="24"/>
          <w:lang w:val="pt-BR"/>
        </w:rPr>
      </w:pPr>
      <w:r w:rsidRPr="00C861AE">
        <w:rPr>
          <w:rFonts w:cs="Arial"/>
          <w:szCs w:val="24"/>
          <w:lang w:val="pt-BR"/>
        </w:rPr>
        <w:t>Para investigar a associação linear entre a valorização da monitoria e o desempenho no ENADE</w:t>
      </w:r>
      <w:r w:rsidR="008D3A40">
        <w:rPr>
          <w:rFonts w:cs="Arial"/>
          <w:szCs w:val="24"/>
          <w:lang w:val="pt-BR"/>
        </w:rPr>
        <w:t xml:space="preserve"> dos cursos de Administração</w:t>
      </w:r>
      <w:r w:rsidRPr="00C861AE">
        <w:rPr>
          <w:rFonts w:cs="Arial"/>
          <w:szCs w:val="24"/>
          <w:lang w:val="pt-BR"/>
        </w:rPr>
        <w:t xml:space="preserve">, foi realizada a correlação de Pearson. Os resultados, apresentados na Tabela </w:t>
      </w:r>
      <w:r w:rsidR="008D3A40">
        <w:rPr>
          <w:rFonts w:cs="Arial"/>
          <w:szCs w:val="24"/>
          <w:lang w:val="pt-BR"/>
        </w:rPr>
        <w:t>3</w:t>
      </w:r>
      <w:r w:rsidRPr="00C861AE">
        <w:rPr>
          <w:rFonts w:cs="Arial"/>
          <w:szCs w:val="24"/>
          <w:lang w:val="pt-BR"/>
        </w:rPr>
        <w:t>, indicaram uma relação positiva</w:t>
      </w:r>
      <w:r w:rsidR="008D3A40">
        <w:rPr>
          <w:rFonts w:cs="Arial"/>
          <w:szCs w:val="24"/>
          <w:lang w:val="pt-BR"/>
        </w:rPr>
        <w:t xml:space="preserve"> e significativa entre a pontuação da monitoria e as notas </w:t>
      </w:r>
      <w:r w:rsidR="008D3A40">
        <w:rPr>
          <w:rFonts w:cs="Arial"/>
          <w:szCs w:val="24"/>
          <w:lang w:val="pt-BR"/>
        </w:rPr>
        <w:lastRenderedPageBreak/>
        <w:t>de componentes específicos (FE) e a nota geral (GER).</w:t>
      </w:r>
      <w:r w:rsidRPr="00C861AE">
        <w:rPr>
          <w:rFonts w:cs="Arial"/>
          <w:szCs w:val="24"/>
          <w:lang w:val="pt-BR"/>
        </w:rPr>
        <w:t xml:space="preserve"> Esse achado sugere que cursos </w:t>
      </w:r>
      <w:r w:rsidR="008D3A40">
        <w:rPr>
          <w:rFonts w:cs="Arial"/>
          <w:szCs w:val="24"/>
          <w:lang w:val="pt-BR"/>
        </w:rPr>
        <w:t xml:space="preserve">de Administração </w:t>
      </w:r>
      <w:r w:rsidRPr="00C861AE">
        <w:rPr>
          <w:rFonts w:cs="Arial"/>
          <w:szCs w:val="24"/>
          <w:lang w:val="pt-BR"/>
        </w:rPr>
        <w:t xml:space="preserve">que atribuem maior importância à monitoria apresentam, em média, notas superiores no ENADE, em todos </w:t>
      </w:r>
      <w:r w:rsidR="008D3A40">
        <w:rPr>
          <w:rFonts w:cs="Arial"/>
          <w:szCs w:val="24"/>
          <w:lang w:val="pt-BR"/>
        </w:rPr>
        <w:t>dois</w:t>
      </w:r>
      <w:r w:rsidRPr="00C861AE">
        <w:rPr>
          <w:rFonts w:cs="Arial"/>
          <w:szCs w:val="24"/>
          <w:lang w:val="pt-BR"/>
        </w:rPr>
        <w:t xml:space="preserve"> componentes (componente específico e nota geral).</w:t>
      </w:r>
    </w:p>
    <w:p w14:paraId="1A4DF1AE" w14:textId="77777777" w:rsidR="008D3A40" w:rsidRDefault="008D3A40" w:rsidP="008D3A40">
      <w:pPr>
        <w:spacing w:after="0" w:line="240" w:lineRule="auto"/>
        <w:jc w:val="both"/>
        <w:rPr>
          <w:rFonts w:cs="Arial"/>
          <w:szCs w:val="24"/>
          <w:lang w:val="pt-BR"/>
        </w:rPr>
      </w:pPr>
    </w:p>
    <w:p w14:paraId="5A90E8AC" w14:textId="1A2BB866" w:rsidR="00C861AE" w:rsidRPr="00C861AE" w:rsidRDefault="00C861AE" w:rsidP="008D3A40">
      <w:pPr>
        <w:spacing w:after="0" w:line="240" w:lineRule="auto"/>
        <w:jc w:val="both"/>
        <w:rPr>
          <w:rFonts w:cs="Arial"/>
          <w:szCs w:val="24"/>
          <w:lang w:val="pt-BR"/>
        </w:rPr>
      </w:pPr>
      <w:r w:rsidRPr="00C861AE">
        <w:rPr>
          <w:rFonts w:cs="Arial"/>
          <w:szCs w:val="24"/>
          <w:lang w:val="pt-BR"/>
        </w:rPr>
        <w:t xml:space="preserve">Tabela </w:t>
      </w:r>
      <w:r w:rsidR="008D3A40">
        <w:rPr>
          <w:rFonts w:cs="Arial"/>
          <w:szCs w:val="24"/>
          <w:lang w:val="pt-BR"/>
        </w:rPr>
        <w:t>3</w:t>
      </w:r>
      <w:r w:rsidRPr="00C861AE">
        <w:rPr>
          <w:rFonts w:cs="Arial"/>
          <w:szCs w:val="24"/>
          <w:lang w:val="pt-BR"/>
        </w:rPr>
        <w:t xml:space="preserve"> – Correlação de Pearson entre Nota da Monitoria e Notas do ENADE</w:t>
      </w:r>
    </w:p>
    <w:tbl>
      <w:tblPr>
        <w:tblW w:w="5000" w:type="pct"/>
        <w:tblCellMar>
          <w:left w:w="70" w:type="dxa"/>
          <w:right w:w="70" w:type="dxa"/>
        </w:tblCellMar>
        <w:tblLook w:val="04A0" w:firstRow="1" w:lastRow="0" w:firstColumn="1" w:lastColumn="0" w:noHBand="0" w:noVBand="1"/>
      </w:tblPr>
      <w:tblGrid>
        <w:gridCol w:w="1697"/>
        <w:gridCol w:w="2151"/>
        <w:gridCol w:w="2917"/>
        <w:gridCol w:w="1541"/>
      </w:tblGrid>
      <w:tr w:rsidR="008D3A40" w:rsidRPr="008D3A40" w14:paraId="389FAED7" w14:textId="77777777" w:rsidTr="008D3A40">
        <w:trPr>
          <w:trHeight w:val="264"/>
        </w:trPr>
        <w:tc>
          <w:tcPr>
            <w:tcW w:w="1016" w:type="pct"/>
            <w:tcBorders>
              <w:top w:val="single" w:sz="4" w:space="0" w:color="auto"/>
              <w:left w:val="nil"/>
              <w:bottom w:val="single" w:sz="4" w:space="0" w:color="auto"/>
              <w:right w:val="single" w:sz="4" w:space="0" w:color="auto"/>
            </w:tcBorders>
            <w:noWrap/>
            <w:vAlign w:val="bottom"/>
            <w:hideMark/>
          </w:tcPr>
          <w:p w14:paraId="09F9D56D" w14:textId="7D9442DC" w:rsidR="008D3A40" w:rsidRPr="008D3A40" w:rsidRDefault="00C861AE" w:rsidP="008D3A40">
            <w:pPr>
              <w:spacing w:after="0" w:line="240" w:lineRule="auto"/>
              <w:rPr>
                <w:rFonts w:eastAsia="Times New Roman" w:cs="Arial"/>
                <w:color w:val="000000"/>
                <w:sz w:val="20"/>
                <w:szCs w:val="20"/>
                <w:lang w:val="pt-BR" w:eastAsia="pt-BR"/>
              </w:rPr>
            </w:pPr>
            <w:r w:rsidRPr="00C861AE">
              <w:rPr>
                <w:rFonts w:cs="Arial"/>
                <w:szCs w:val="24"/>
                <w:lang w:val="pt-BR"/>
              </w:rPr>
              <w:t xml:space="preserve"> </w:t>
            </w:r>
            <w:r w:rsidR="008D3A40" w:rsidRPr="008D3A40">
              <w:rPr>
                <w:rFonts w:eastAsia="Times New Roman" w:cs="Arial"/>
                <w:color w:val="000000"/>
                <w:sz w:val="20"/>
                <w:szCs w:val="20"/>
                <w:lang w:val="pt-BR" w:eastAsia="pt-BR"/>
              </w:rPr>
              <w:t> </w:t>
            </w:r>
          </w:p>
        </w:tc>
        <w:tc>
          <w:tcPr>
            <w:tcW w:w="1300" w:type="pct"/>
            <w:tcBorders>
              <w:top w:val="single" w:sz="4" w:space="0" w:color="auto"/>
              <w:left w:val="nil"/>
              <w:bottom w:val="single" w:sz="4" w:space="0" w:color="auto"/>
              <w:right w:val="nil"/>
            </w:tcBorders>
            <w:noWrap/>
            <w:vAlign w:val="center"/>
            <w:hideMark/>
          </w:tcPr>
          <w:p w14:paraId="507D5B9D"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Monitoria</w:t>
            </w:r>
          </w:p>
        </w:tc>
        <w:tc>
          <w:tcPr>
            <w:tcW w:w="1761" w:type="pct"/>
            <w:tcBorders>
              <w:top w:val="single" w:sz="4" w:space="0" w:color="auto"/>
              <w:left w:val="nil"/>
              <w:bottom w:val="single" w:sz="4" w:space="0" w:color="auto"/>
              <w:right w:val="nil"/>
            </w:tcBorders>
            <w:noWrap/>
            <w:vAlign w:val="center"/>
            <w:hideMark/>
          </w:tcPr>
          <w:p w14:paraId="74306588" w14:textId="1CFEC772" w:rsidR="008D3A40" w:rsidRPr="008D3A40" w:rsidRDefault="008D3A40" w:rsidP="008D3A40">
            <w:pPr>
              <w:spacing w:after="0" w:line="240" w:lineRule="auto"/>
              <w:jc w:val="center"/>
              <w:rPr>
                <w:rFonts w:eastAsia="Times New Roman" w:cs="Arial"/>
                <w:color w:val="000000"/>
                <w:sz w:val="20"/>
                <w:szCs w:val="20"/>
                <w:lang w:val="pt-BR" w:eastAsia="pt-BR"/>
              </w:rPr>
            </w:pPr>
            <w:proofErr w:type="spellStart"/>
            <w:r w:rsidRPr="008D3A40">
              <w:rPr>
                <w:rFonts w:eastAsia="Times New Roman" w:cs="Arial"/>
                <w:color w:val="000000"/>
                <w:sz w:val="20"/>
                <w:szCs w:val="20"/>
                <w:lang w:val="pt-BR" w:eastAsia="pt-BR"/>
              </w:rPr>
              <w:t>Nota</w:t>
            </w:r>
            <w:proofErr w:type="gramStart"/>
            <w:r w:rsidRPr="008D3A40">
              <w:rPr>
                <w:rFonts w:eastAsia="Times New Roman" w:cs="Arial"/>
                <w:color w:val="000000"/>
                <w:sz w:val="20"/>
                <w:szCs w:val="20"/>
                <w:lang w:val="pt-BR" w:eastAsia="pt-BR"/>
              </w:rPr>
              <w:t>_Bruta</w:t>
            </w:r>
            <w:proofErr w:type="gramEnd"/>
            <w:r w:rsidRPr="008D3A40">
              <w:rPr>
                <w:rFonts w:eastAsia="Times New Roman" w:cs="Arial"/>
                <w:color w:val="000000"/>
                <w:sz w:val="20"/>
                <w:szCs w:val="20"/>
                <w:lang w:val="pt-BR" w:eastAsia="pt-BR"/>
              </w:rPr>
              <w:t>_</w:t>
            </w:r>
            <w:r>
              <w:rPr>
                <w:rFonts w:eastAsia="Times New Roman" w:cs="Arial"/>
                <w:color w:val="000000"/>
                <w:sz w:val="20"/>
                <w:szCs w:val="20"/>
                <w:lang w:val="pt-BR" w:eastAsia="pt-BR"/>
              </w:rPr>
              <w:t>FG</w:t>
            </w:r>
            <w:proofErr w:type="spellEnd"/>
          </w:p>
        </w:tc>
        <w:tc>
          <w:tcPr>
            <w:tcW w:w="923" w:type="pct"/>
            <w:tcBorders>
              <w:top w:val="single" w:sz="4" w:space="0" w:color="auto"/>
              <w:left w:val="nil"/>
              <w:bottom w:val="single" w:sz="4" w:space="0" w:color="auto"/>
              <w:right w:val="nil"/>
            </w:tcBorders>
            <w:noWrap/>
            <w:vAlign w:val="center"/>
            <w:hideMark/>
          </w:tcPr>
          <w:p w14:paraId="7FB407E4" w14:textId="6BE4E577" w:rsidR="008D3A40" w:rsidRPr="008D3A40" w:rsidRDefault="008D3A40" w:rsidP="008D3A40">
            <w:pPr>
              <w:spacing w:after="0" w:line="240" w:lineRule="auto"/>
              <w:jc w:val="center"/>
              <w:rPr>
                <w:rFonts w:eastAsia="Times New Roman" w:cs="Arial"/>
                <w:color w:val="000000"/>
                <w:sz w:val="20"/>
                <w:szCs w:val="20"/>
                <w:lang w:val="pt-BR" w:eastAsia="pt-BR"/>
              </w:rPr>
            </w:pPr>
            <w:proofErr w:type="spellStart"/>
            <w:r w:rsidRPr="008D3A40">
              <w:rPr>
                <w:rFonts w:eastAsia="Times New Roman" w:cs="Arial"/>
                <w:color w:val="000000"/>
                <w:sz w:val="20"/>
                <w:szCs w:val="20"/>
                <w:lang w:val="pt-BR" w:eastAsia="pt-BR"/>
              </w:rPr>
              <w:t>Nota</w:t>
            </w:r>
            <w:proofErr w:type="gramStart"/>
            <w:r w:rsidRPr="008D3A40">
              <w:rPr>
                <w:rFonts w:eastAsia="Times New Roman" w:cs="Arial"/>
                <w:color w:val="000000"/>
                <w:sz w:val="20"/>
                <w:szCs w:val="20"/>
                <w:lang w:val="pt-BR" w:eastAsia="pt-BR"/>
              </w:rPr>
              <w:t>_Bruta</w:t>
            </w:r>
            <w:proofErr w:type="gramEnd"/>
            <w:r w:rsidRPr="008D3A40">
              <w:rPr>
                <w:rFonts w:eastAsia="Times New Roman" w:cs="Arial"/>
                <w:color w:val="000000"/>
                <w:sz w:val="20"/>
                <w:szCs w:val="20"/>
                <w:lang w:val="pt-BR" w:eastAsia="pt-BR"/>
              </w:rPr>
              <w:t>_</w:t>
            </w:r>
            <w:r>
              <w:rPr>
                <w:rFonts w:eastAsia="Times New Roman" w:cs="Arial"/>
                <w:color w:val="000000"/>
                <w:sz w:val="20"/>
                <w:szCs w:val="20"/>
                <w:lang w:val="pt-BR" w:eastAsia="pt-BR"/>
              </w:rPr>
              <w:t>CE</w:t>
            </w:r>
            <w:proofErr w:type="spellEnd"/>
          </w:p>
        </w:tc>
      </w:tr>
      <w:tr w:rsidR="008D3A40" w:rsidRPr="008D3A40" w14:paraId="349D1AC3" w14:textId="77777777" w:rsidTr="008D3A40">
        <w:trPr>
          <w:trHeight w:val="264"/>
        </w:trPr>
        <w:tc>
          <w:tcPr>
            <w:tcW w:w="1016" w:type="pct"/>
            <w:tcBorders>
              <w:top w:val="nil"/>
              <w:left w:val="nil"/>
              <w:bottom w:val="nil"/>
              <w:right w:val="single" w:sz="4" w:space="0" w:color="auto"/>
            </w:tcBorders>
            <w:noWrap/>
            <w:vAlign w:val="bottom"/>
            <w:hideMark/>
          </w:tcPr>
          <w:p w14:paraId="61032F11" w14:textId="6EDDCF00" w:rsidR="008D3A40" w:rsidRPr="008D3A40" w:rsidRDefault="008D3A40" w:rsidP="008D3A40">
            <w:pPr>
              <w:spacing w:after="0" w:line="240" w:lineRule="auto"/>
              <w:rPr>
                <w:rFonts w:eastAsia="Times New Roman" w:cs="Arial"/>
                <w:color w:val="000000"/>
                <w:sz w:val="20"/>
                <w:szCs w:val="20"/>
                <w:lang w:val="pt-BR" w:eastAsia="pt-BR"/>
              </w:rPr>
            </w:pPr>
            <w:proofErr w:type="spellStart"/>
            <w:r w:rsidRPr="008D3A40">
              <w:rPr>
                <w:rFonts w:eastAsia="Times New Roman" w:cs="Arial"/>
                <w:color w:val="000000"/>
                <w:sz w:val="20"/>
                <w:szCs w:val="20"/>
                <w:lang w:val="pt-BR" w:eastAsia="pt-BR"/>
              </w:rPr>
              <w:t>Nota</w:t>
            </w:r>
            <w:proofErr w:type="gramStart"/>
            <w:r w:rsidRPr="008D3A40">
              <w:rPr>
                <w:rFonts w:eastAsia="Times New Roman" w:cs="Arial"/>
                <w:color w:val="000000"/>
                <w:sz w:val="20"/>
                <w:szCs w:val="20"/>
                <w:lang w:val="pt-BR" w:eastAsia="pt-BR"/>
              </w:rPr>
              <w:t>_Bruta</w:t>
            </w:r>
            <w:proofErr w:type="gramEnd"/>
            <w:r w:rsidRPr="008D3A40">
              <w:rPr>
                <w:rFonts w:eastAsia="Times New Roman" w:cs="Arial"/>
                <w:color w:val="000000"/>
                <w:sz w:val="20"/>
                <w:szCs w:val="20"/>
                <w:lang w:val="pt-BR" w:eastAsia="pt-BR"/>
              </w:rPr>
              <w:t>_</w:t>
            </w:r>
            <w:r>
              <w:rPr>
                <w:rFonts w:eastAsia="Times New Roman" w:cs="Arial"/>
                <w:color w:val="000000"/>
                <w:sz w:val="20"/>
                <w:szCs w:val="20"/>
                <w:lang w:val="pt-BR" w:eastAsia="pt-BR"/>
              </w:rPr>
              <w:t>FG</w:t>
            </w:r>
            <w:proofErr w:type="spellEnd"/>
          </w:p>
        </w:tc>
        <w:tc>
          <w:tcPr>
            <w:tcW w:w="1300" w:type="pct"/>
            <w:tcBorders>
              <w:top w:val="nil"/>
              <w:left w:val="nil"/>
              <w:bottom w:val="nil"/>
              <w:right w:val="nil"/>
            </w:tcBorders>
            <w:noWrap/>
            <w:vAlign w:val="center"/>
            <w:hideMark/>
          </w:tcPr>
          <w:p w14:paraId="52318B85"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0,032</w:t>
            </w:r>
          </w:p>
        </w:tc>
        <w:tc>
          <w:tcPr>
            <w:tcW w:w="1761" w:type="pct"/>
            <w:tcBorders>
              <w:top w:val="nil"/>
              <w:left w:val="nil"/>
              <w:bottom w:val="nil"/>
              <w:right w:val="nil"/>
            </w:tcBorders>
            <w:noWrap/>
            <w:vAlign w:val="center"/>
            <w:hideMark/>
          </w:tcPr>
          <w:p w14:paraId="51C2602E"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 </w:t>
            </w:r>
          </w:p>
        </w:tc>
        <w:tc>
          <w:tcPr>
            <w:tcW w:w="923" w:type="pct"/>
            <w:tcBorders>
              <w:top w:val="nil"/>
              <w:left w:val="nil"/>
              <w:bottom w:val="nil"/>
              <w:right w:val="nil"/>
            </w:tcBorders>
            <w:noWrap/>
            <w:vAlign w:val="center"/>
            <w:hideMark/>
          </w:tcPr>
          <w:p w14:paraId="28F0B003"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 </w:t>
            </w:r>
          </w:p>
        </w:tc>
      </w:tr>
      <w:tr w:rsidR="008D3A40" w:rsidRPr="008D3A40" w14:paraId="6D48F800" w14:textId="77777777" w:rsidTr="008D3A40">
        <w:trPr>
          <w:trHeight w:val="264"/>
        </w:trPr>
        <w:tc>
          <w:tcPr>
            <w:tcW w:w="1016" w:type="pct"/>
            <w:tcBorders>
              <w:top w:val="nil"/>
              <w:left w:val="nil"/>
              <w:bottom w:val="nil"/>
              <w:right w:val="single" w:sz="4" w:space="0" w:color="auto"/>
            </w:tcBorders>
            <w:noWrap/>
            <w:vAlign w:val="bottom"/>
            <w:hideMark/>
          </w:tcPr>
          <w:p w14:paraId="0A18831C" w14:textId="60F52B5C" w:rsidR="008D3A40" w:rsidRPr="008D3A40" w:rsidRDefault="008D3A40" w:rsidP="008D3A40">
            <w:pPr>
              <w:spacing w:after="0" w:line="240" w:lineRule="auto"/>
              <w:rPr>
                <w:rFonts w:eastAsia="Times New Roman" w:cs="Arial"/>
                <w:color w:val="000000"/>
                <w:sz w:val="20"/>
                <w:szCs w:val="20"/>
                <w:lang w:val="pt-BR" w:eastAsia="pt-BR"/>
              </w:rPr>
            </w:pPr>
            <w:proofErr w:type="spellStart"/>
            <w:r w:rsidRPr="008D3A40">
              <w:rPr>
                <w:rFonts w:eastAsia="Times New Roman" w:cs="Arial"/>
                <w:color w:val="000000"/>
                <w:sz w:val="20"/>
                <w:szCs w:val="20"/>
                <w:lang w:val="pt-BR" w:eastAsia="pt-BR"/>
              </w:rPr>
              <w:t>Nota</w:t>
            </w:r>
            <w:proofErr w:type="gramStart"/>
            <w:r w:rsidRPr="008D3A40">
              <w:rPr>
                <w:rFonts w:eastAsia="Times New Roman" w:cs="Arial"/>
                <w:color w:val="000000"/>
                <w:sz w:val="20"/>
                <w:szCs w:val="20"/>
                <w:lang w:val="pt-BR" w:eastAsia="pt-BR"/>
              </w:rPr>
              <w:t>_Bruta</w:t>
            </w:r>
            <w:proofErr w:type="gramEnd"/>
            <w:r w:rsidRPr="008D3A40">
              <w:rPr>
                <w:rFonts w:eastAsia="Times New Roman" w:cs="Arial"/>
                <w:color w:val="000000"/>
                <w:sz w:val="20"/>
                <w:szCs w:val="20"/>
                <w:lang w:val="pt-BR" w:eastAsia="pt-BR"/>
              </w:rPr>
              <w:t>_</w:t>
            </w:r>
            <w:r>
              <w:rPr>
                <w:rFonts w:eastAsia="Times New Roman" w:cs="Arial"/>
                <w:color w:val="000000"/>
                <w:sz w:val="20"/>
                <w:szCs w:val="20"/>
                <w:lang w:val="pt-BR" w:eastAsia="pt-BR"/>
              </w:rPr>
              <w:t>CE</w:t>
            </w:r>
            <w:proofErr w:type="spellEnd"/>
          </w:p>
        </w:tc>
        <w:tc>
          <w:tcPr>
            <w:tcW w:w="1300" w:type="pct"/>
            <w:tcBorders>
              <w:top w:val="nil"/>
              <w:left w:val="nil"/>
              <w:bottom w:val="nil"/>
              <w:right w:val="nil"/>
            </w:tcBorders>
            <w:noWrap/>
            <w:vAlign w:val="center"/>
            <w:hideMark/>
          </w:tcPr>
          <w:p w14:paraId="696A7B99"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0,142*</w:t>
            </w:r>
          </w:p>
        </w:tc>
        <w:tc>
          <w:tcPr>
            <w:tcW w:w="1761" w:type="pct"/>
            <w:tcBorders>
              <w:top w:val="nil"/>
              <w:left w:val="nil"/>
              <w:bottom w:val="nil"/>
              <w:right w:val="nil"/>
            </w:tcBorders>
            <w:noWrap/>
            <w:vAlign w:val="center"/>
            <w:hideMark/>
          </w:tcPr>
          <w:p w14:paraId="35147FCA"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0,785*</w:t>
            </w:r>
          </w:p>
        </w:tc>
        <w:tc>
          <w:tcPr>
            <w:tcW w:w="923" w:type="pct"/>
            <w:tcBorders>
              <w:top w:val="nil"/>
              <w:left w:val="nil"/>
              <w:bottom w:val="nil"/>
              <w:right w:val="nil"/>
            </w:tcBorders>
            <w:noWrap/>
            <w:vAlign w:val="center"/>
            <w:hideMark/>
          </w:tcPr>
          <w:p w14:paraId="6E772EBD" w14:textId="77777777" w:rsidR="008D3A40" w:rsidRPr="008D3A40" w:rsidRDefault="008D3A40" w:rsidP="008D3A40">
            <w:pPr>
              <w:spacing w:after="0" w:line="240" w:lineRule="auto"/>
              <w:jc w:val="center"/>
              <w:rPr>
                <w:rFonts w:eastAsia="Times New Roman" w:cs="Arial"/>
                <w:color w:val="000000"/>
                <w:sz w:val="20"/>
                <w:szCs w:val="20"/>
                <w:lang w:val="pt-BR" w:eastAsia="pt-BR"/>
              </w:rPr>
            </w:pPr>
          </w:p>
        </w:tc>
      </w:tr>
      <w:tr w:rsidR="008D3A40" w:rsidRPr="008D3A40" w14:paraId="3E5EA698" w14:textId="77777777" w:rsidTr="008D3A40">
        <w:trPr>
          <w:trHeight w:val="264"/>
        </w:trPr>
        <w:tc>
          <w:tcPr>
            <w:tcW w:w="1016" w:type="pct"/>
            <w:tcBorders>
              <w:top w:val="nil"/>
              <w:left w:val="nil"/>
              <w:bottom w:val="single" w:sz="4" w:space="0" w:color="auto"/>
              <w:right w:val="single" w:sz="4" w:space="0" w:color="auto"/>
            </w:tcBorders>
            <w:noWrap/>
            <w:vAlign w:val="bottom"/>
            <w:hideMark/>
          </w:tcPr>
          <w:p w14:paraId="235F1535" w14:textId="00B4AC74" w:rsidR="008D3A40" w:rsidRPr="008D3A40" w:rsidRDefault="008D3A40" w:rsidP="008D3A40">
            <w:pPr>
              <w:spacing w:after="0" w:line="240" w:lineRule="auto"/>
              <w:rPr>
                <w:rFonts w:eastAsia="Times New Roman" w:cs="Arial"/>
                <w:color w:val="000000"/>
                <w:sz w:val="20"/>
                <w:szCs w:val="20"/>
                <w:lang w:val="pt-BR" w:eastAsia="pt-BR"/>
              </w:rPr>
            </w:pPr>
            <w:proofErr w:type="spellStart"/>
            <w:r w:rsidRPr="008D3A40">
              <w:rPr>
                <w:rFonts w:eastAsia="Times New Roman" w:cs="Arial"/>
                <w:color w:val="000000"/>
                <w:sz w:val="20"/>
                <w:szCs w:val="20"/>
                <w:lang w:val="pt-BR" w:eastAsia="pt-BR"/>
              </w:rPr>
              <w:t>Nota</w:t>
            </w:r>
            <w:proofErr w:type="gramStart"/>
            <w:r w:rsidRPr="008D3A40">
              <w:rPr>
                <w:rFonts w:eastAsia="Times New Roman" w:cs="Arial"/>
                <w:color w:val="000000"/>
                <w:sz w:val="20"/>
                <w:szCs w:val="20"/>
                <w:lang w:val="pt-BR" w:eastAsia="pt-BR"/>
              </w:rPr>
              <w:t>_Bruta</w:t>
            </w:r>
            <w:proofErr w:type="gramEnd"/>
            <w:r w:rsidRPr="008D3A40">
              <w:rPr>
                <w:rFonts w:eastAsia="Times New Roman" w:cs="Arial"/>
                <w:color w:val="000000"/>
                <w:sz w:val="20"/>
                <w:szCs w:val="20"/>
                <w:lang w:val="pt-BR" w:eastAsia="pt-BR"/>
              </w:rPr>
              <w:t>_GER</w:t>
            </w:r>
            <w:proofErr w:type="spellEnd"/>
          </w:p>
        </w:tc>
        <w:tc>
          <w:tcPr>
            <w:tcW w:w="1300" w:type="pct"/>
            <w:tcBorders>
              <w:top w:val="nil"/>
              <w:left w:val="nil"/>
              <w:bottom w:val="single" w:sz="4" w:space="0" w:color="auto"/>
              <w:right w:val="nil"/>
            </w:tcBorders>
            <w:noWrap/>
            <w:vAlign w:val="center"/>
            <w:hideMark/>
          </w:tcPr>
          <w:p w14:paraId="11BD59D0"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0,120*</w:t>
            </w:r>
          </w:p>
        </w:tc>
        <w:tc>
          <w:tcPr>
            <w:tcW w:w="1761" w:type="pct"/>
            <w:tcBorders>
              <w:top w:val="nil"/>
              <w:left w:val="nil"/>
              <w:bottom w:val="single" w:sz="4" w:space="0" w:color="auto"/>
              <w:right w:val="nil"/>
            </w:tcBorders>
            <w:noWrap/>
            <w:vAlign w:val="center"/>
            <w:hideMark/>
          </w:tcPr>
          <w:p w14:paraId="282B45F3"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0,871*</w:t>
            </w:r>
          </w:p>
        </w:tc>
        <w:tc>
          <w:tcPr>
            <w:tcW w:w="923" w:type="pct"/>
            <w:tcBorders>
              <w:top w:val="nil"/>
              <w:left w:val="nil"/>
              <w:bottom w:val="single" w:sz="4" w:space="0" w:color="auto"/>
              <w:right w:val="nil"/>
            </w:tcBorders>
            <w:noWrap/>
            <w:vAlign w:val="center"/>
            <w:hideMark/>
          </w:tcPr>
          <w:p w14:paraId="1F273666" w14:textId="77777777" w:rsidR="008D3A40" w:rsidRPr="008D3A40" w:rsidRDefault="008D3A40" w:rsidP="008D3A40">
            <w:pPr>
              <w:spacing w:after="0" w:line="240" w:lineRule="auto"/>
              <w:jc w:val="center"/>
              <w:rPr>
                <w:rFonts w:eastAsia="Times New Roman" w:cs="Arial"/>
                <w:color w:val="000000"/>
                <w:sz w:val="20"/>
                <w:szCs w:val="20"/>
                <w:lang w:val="pt-BR" w:eastAsia="pt-BR"/>
              </w:rPr>
            </w:pPr>
            <w:r w:rsidRPr="008D3A40">
              <w:rPr>
                <w:rFonts w:eastAsia="Times New Roman" w:cs="Arial"/>
                <w:color w:val="000000"/>
                <w:sz w:val="20"/>
                <w:szCs w:val="20"/>
                <w:lang w:val="pt-BR" w:eastAsia="pt-BR"/>
              </w:rPr>
              <w:t>0,988*</w:t>
            </w:r>
          </w:p>
        </w:tc>
      </w:tr>
    </w:tbl>
    <w:p w14:paraId="789D391F" w14:textId="5EF0E99F" w:rsidR="00014CBD" w:rsidRDefault="00014CBD" w:rsidP="00014CBD">
      <w:pPr>
        <w:spacing w:after="0" w:line="240" w:lineRule="auto"/>
        <w:jc w:val="both"/>
        <w:rPr>
          <w:rFonts w:cs="Arial"/>
          <w:sz w:val="20"/>
          <w:szCs w:val="20"/>
          <w:lang w:val="pt-BR"/>
        </w:rPr>
      </w:pPr>
      <w:r>
        <w:rPr>
          <w:rFonts w:cs="Arial"/>
          <w:sz w:val="20"/>
          <w:szCs w:val="20"/>
          <w:lang w:val="pt-BR"/>
        </w:rPr>
        <w:t>Nota: * - p-valor &lt;0,01.</w:t>
      </w:r>
    </w:p>
    <w:p w14:paraId="36394BE9" w14:textId="6BBE24F8" w:rsidR="00C861AE" w:rsidRPr="00014CBD" w:rsidRDefault="00C861AE" w:rsidP="00C861AE">
      <w:pPr>
        <w:jc w:val="both"/>
        <w:rPr>
          <w:rFonts w:cs="Arial"/>
          <w:sz w:val="20"/>
          <w:szCs w:val="20"/>
          <w:lang w:val="pt-BR"/>
        </w:rPr>
      </w:pPr>
      <w:r w:rsidRPr="00014CBD">
        <w:rPr>
          <w:rFonts w:cs="Arial"/>
          <w:sz w:val="20"/>
          <w:szCs w:val="20"/>
          <w:lang w:val="pt-BR"/>
        </w:rPr>
        <w:t>Fonte: Dados da pesquisa (2025).</w:t>
      </w:r>
    </w:p>
    <w:p w14:paraId="4F220462" w14:textId="32EDCAE0" w:rsidR="00C861AE" w:rsidRDefault="00C861AE" w:rsidP="00A710EE">
      <w:pPr>
        <w:spacing w:after="0" w:line="240" w:lineRule="auto"/>
        <w:jc w:val="both"/>
        <w:rPr>
          <w:rFonts w:cs="Arial"/>
          <w:szCs w:val="24"/>
          <w:lang w:val="pt-BR"/>
        </w:rPr>
      </w:pPr>
      <w:r w:rsidRPr="00C861AE">
        <w:rPr>
          <w:rFonts w:cs="Arial"/>
          <w:szCs w:val="24"/>
          <w:lang w:val="pt-BR"/>
        </w:rPr>
        <w:tab/>
        <w:t xml:space="preserve">A regressão linear múltipla foi aplicada para avaliar o efeito da monitoria sobre as notas do ENADE, controlando características institucionais, acadêmicas e contextuais. Todos os modelos apresentaram ajustamento </w:t>
      </w:r>
      <w:r w:rsidR="00A710EE">
        <w:rPr>
          <w:rFonts w:cs="Arial"/>
          <w:szCs w:val="24"/>
          <w:lang w:val="pt-BR"/>
        </w:rPr>
        <w:t xml:space="preserve">mediano </w:t>
      </w:r>
      <w:r w:rsidRPr="00C861AE">
        <w:rPr>
          <w:rFonts w:cs="Arial"/>
          <w:szCs w:val="24"/>
          <w:lang w:val="pt-BR"/>
        </w:rPr>
        <w:t>(R² entre 0,</w:t>
      </w:r>
      <w:r w:rsidR="00A710EE">
        <w:rPr>
          <w:rFonts w:cs="Arial"/>
          <w:szCs w:val="24"/>
          <w:lang w:val="pt-BR"/>
        </w:rPr>
        <w:t>15</w:t>
      </w:r>
      <w:r w:rsidRPr="00C861AE">
        <w:rPr>
          <w:rFonts w:cs="Arial"/>
          <w:szCs w:val="24"/>
          <w:lang w:val="pt-BR"/>
        </w:rPr>
        <w:t xml:space="preserve"> para nota de </w:t>
      </w:r>
      <w:r w:rsidR="00A710EE">
        <w:rPr>
          <w:rFonts w:cs="Arial"/>
          <w:szCs w:val="24"/>
          <w:lang w:val="pt-BR"/>
        </w:rPr>
        <w:t>Componentes Específicos</w:t>
      </w:r>
      <w:r w:rsidRPr="00C861AE">
        <w:rPr>
          <w:rFonts w:cs="Arial"/>
          <w:szCs w:val="24"/>
          <w:lang w:val="pt-BR"/>
        </w:rPr>
        <w:t xml:space="preserve"> e 0,</w:t>
      </w:r>
      <w:r w:rsidR="00A710EE">
        <w:rPr>
          <w:rFonts w:cs="Arial"/>
          <w:szCs w:val="24"/>
          <w:lang w:val="pt-BR"/>
        </w:rPr>
        <w:t>17</w:t>
      </w:r>
      <w:r w:rsidRPr="00C861AE">
        <w:rPr>
          <w:rFonts w:cs="Arial"/>
          <w:szCs w:val="24"/>
          <w:lang w:val="pt-BR"/>
        </w:rPr>
        <w:t xml:space="preserve"> para a nota de </w:t>
      </w:r>
      <w:r w:rsidR="00A710EE">
        <w:rPr>
          <w:rFonts w:cs="Arial"/>
          <w:szCs w:val="24"/>
          <w:lang w:val="pt-BR"/>
        </w:rPr>
        <w:t>Formação Geral</w:t>
      </w:r>
      <w:r w:rsidRPr="00C861AE">
        <w:rPr>
          <w:rFonts w:cs="Arial"/>
          <w:szCs w:val="24"/>
          <w:lang w:val="pt-BR"/>
        </w:rPr>
        <w:t xml:space="preserve">). O teste global confirmou a significância estatística de todos os modelos, com p-valor &lt; 0,001. Destaca-se ainda que não houve problema de </w:t>
      </w:r>
      <w:proofErr w:type="spellStart"/>
      <w:r w:rsidRPr="00C861AE">
        <w:rPr>
          <w:rFonts w:cs="Arial"/>
          <w:szCs w:val="24"/>
          <w:lang w:val="pt-BR"/>
        </w:rPr>
        <w:t>multicolinearidade</w:t>
      </w:r>
      <w:proofErr w:type="spellEnd"/>
      <w:r w:rsidRPr="00C861AE">
        <w:rPr>
          <w:rFonts w:cs="Arial"/>
          <w:szCs w:val="24"/>
          <w:lang w:val="pt-BR"/>
        </w:rPr>
        <w:t xml:space="preserve"> entre as variáveis independentes (VIF &lt; 5). Os resultados detalhados encontram-se na Tabela 3. </w:t>
      </w:r>
    </w:p>
    <w:p w14:paraId="01D373B4" w14:textId="77777777" w:rsidR="00A710EE" w:rsidRPr="00C861AE" w:rsidRDefault="00A710EE" w:rsidP="00A710EE">
      <w:pPr>
        <w:spacing w:after="0" w:line="240" w:lineRule="auto"/>
        <w:jc w:val="both"/>
        <w:rPr>
          <w:rFonts w:cs="Arial"/>
          <w:szCs w:val="24"/>
          <w:lang w:val="pt-BR"/>
        </w:rPr>
      </w:pPr>
    </w:p>
    <w:p w14:paraId="44ECCBEC" w14:textId="77777777" w:rsidR="00C861AE" w:rsidRPr="00C861AE" w:rsidRDefault="00C861AE" w:rsidP="00A710EE">
      <w:pPr>
        <w:spacing w:after="0"/>
        <w:jc w:val="both"/>
        <w:rPr>
          <w:rFonts w:cs="Arial"/>
          <w:szCs w:val="24"/>
          <w:lang w:val="pt-BR"/>
        </w:rPr>
      </w:pPr>
      <w:r w:rsidRPr="00C861AE">
        <w:rPr>
          <w:rFonts w:cs="Arial"/>
          <w:szCs w:val="24"/>
          <w:lang w:val="pt-BR"/>
        </w:rPr>
        <w:t>Tabela 3 – Resultados da Regressão Linear para as Notas do ENADE</w:t>
      </w:r>
    </w:p>
    <w:tbl>
      <w:tblPr>
        <w:tblW w:w="8120" w:type="dxa"/>
        <w:tblCellMar>
          <w:left w:w="70" w:type="dxa"/>
          <w:right w:w="70" w:type="dxa"/>
        </w:tblCellMar>
        <w:tblLook w:val="04A0" w:firstRow="1" w:lastRow="0" w:firstColumn="1" w:lastColumn="0" w:noHBand="0" w:noVBand="1"/>
      </w:tblPr>
      <w:tblGrid>
        <w:gridCol w:w="2980"/>
        <w:gridCol w:w="1480"/>
        <w:gridCol w:w="2080"/>
        <w:gridCol w:w="1580"/>
      </w:tblGrid>
      <w:tr w:rsidR="00A710EE" w:rsidRPr="00A710EE" w14:paraId="0FFC7765" w14:textId="77777777" w:rsidTr="00A710EE">
        <w:trPr>
          <w:trHeight w:val="264"/>
        </w:trPr>
        <w:tc>
          <w:tcPr>
            <w:tcW w:w="2980" w:type="dxa"/>
            <w:tcBorders>
              <w:top w:val="single" w:sz="4" w:space="0" w:color="auto"/>
              <w:left w:val="nil"/>
              <w:bottom w:val="single" w:sz="4" w:space="0" w:color="auto"/>
              <w:right w:val="single" w:sz="4" w:space="0" w:color="auto"/>
            </w:tcBorders>
            <w:vAlign w:val="center"/>
            <w:hideMark/>
          </w:tcPr>
          <w:p w14:paraId="791E54AD" w14:textId="77777777" w:rsidR="00A710EE" w:rsidRPr="00A710EE" w:rsidRDefault="00A710EE" w:rsidP="00A710EE">
            <w:pPr>
              <w:spacing w:after="0" w:line="240" w:lineRule="auto"/>
              <w:jc w:val="center"/>
              <w:rPr>
                <w:rFonts w:eastAsia="Times New Roman" w:cs="Arial"/>
                <w:b/>
                <w:bCs/>
                <w:color w:val="000000"/>
                <w:sz w:val="20"/>
                <w:szCs w:val="20"/>
                <w:lang w:val="pt-BR" w:eastAsia="pt-BR"/>
              </w:rPr>
            </w:pPr>
            <w:r w:rsidRPr="00A710EE">
              <w:rPr>
                <w:rFonts w:eastAsia="Times New Roman" w:cs="Arial"/>
                <w:b/>
                <w:bCs/>
                <w:color w:val="000000"/>
                <w:sz w:val="20"/>
                <w:szCs w:val="20"/>
                <w:lang w:val="pt-BR" w:eastAsia="pt-BR"/>
              </w:rPr>
              <w:t>Variáveis</w:t>
            </w:r>
          </w:p>
        </w:tc>
        <w:tc>
          <w:tcPr>
            <w:tcW w:w="1480" w:type="dxa"/>
            <w:tcBorders>
              <w:top w:val="single" w:sz="4" w:space="0" w:color="auto"/>
              <w:left w:val="nil"/>
              <w:bottom w:val="single" w:sz="4" w:space="0" w:color="auto"/>
              <w:right w:val="nil"/>
            </w:tcBorders>
            <w:vAlign w:val="center"/>
            <w:hideMark/>
          </w:tcPr>
          <w:p w14:paraId="1BA36CDB" w14:textId="77777777" w:rsidR="00A710EE" w:rsidRPr="00A710EE" w:rsidRDefault="00A710EE" w:rsidP="00A710EE">
            <w:pPr>
              <w:spacing w:after="0" w:line="240" w:lineRule="auto"/>
              <w:jc w:val="center"/>
              <w:rPr>
                <w:rFonts w:eastAsia="Times New Roman" w:cs="Arial"/>
                <w:b/>
                <w:bCs/>
                <w:color w:val="000000"/>
                <w:sz w:val="20"/>
                <w:szCs w:val="20"/>
                <w:lang w:val="pt-BR" w:eastAsia="pt-BR"/>
              </w:rPr>
            </w:pPr>
            <w:proofErr w:type="spellStart"/>
            <w:r w:rsidRPr="00A710EE">
              <w:rPr>
                <w:rFonts w:eastAsia="Times New Roman" w:cs="Arial"/>
                <w:b/>
                <w:bCs/>
                <w:color w:val="000000"/>
                <w:sz w:val="20"/>
                <w:szCs w:val="20"/>
                <w:lang w:val="pt-BR" w:eastAsia="pt-BR"/>
              </w:rPr>
              <w:t>Nota_FG</w:t>
            </w:r>
            <w:proofErr w:type="spellEnd"/>
          </w:p>
        </w:tc>
        <w:tc>
          <w:tcPr>
            <w:tcW w:w="2080" w:type="dxa"/>
            <w:tcBorders>
              <w:top w:val="single" w:sz="4" w:space="0" w:color="auto"/>
              <w:left w:val="nil"/>
              <w:bottom w:val="single" w:sz="4" w:space="0" w:color="auto"/>
              <w:right w:val="nil"/>
            </w:tcBorders>
            <w:vAlign w:val="center"/>
            <w:hideMark/>
          </w:tcPr>
          <w:p w14:paraId="6793D8B6" w14:textId="77777777" w:rsidR="00A710EE" w:rsidRPr="00A710EE" w:rsidRDefault="00A710EE" w:rsidP="00A710EE">
            <w:pPr>
              <w:spacing w:after="0" w:line="240" w:lineRule="auto"/>
              <w:jc w:val="center"/>
              <w:rPr>
                <w:rFonts w:eastAsia="Times New Roman" w:cs="Arial"/>
                <w:b/>
                <w:bCs/>
                <w:color w:val="000000"/>
                <w:sz w:val="20"/>
                <w:szCs w:val="20"/>
                <w:lang w:val="pt-BR" w:eastAsia="pt-BR"/>
              </w:rPr>
            </w:pPr>
            <w:proofErr w:type="spellStart"/>
            <w:r w:rsidRPr="00A710EE">
              <w:rPr>
                <w:rFonts w:eastAsia="Times New Roman" w:cs="Arial"/>
                <w:b/>
                <w:bCs/>
                <w:color w:val="000000"/>
                <w:sz w:val="20"/>
                <w:szCs w:val="20"/>
                <w:lang w:val="pt-BR" w:eastAsia="pt-BR"/>
              </w:rPr>
              <w:t>Nota_CE</w:t>
            </w:r>
            <w:proofErr w:type="spellEnd"/>
          </w:p>
        </w:tc>
        <w:tc>
          <w:tcPr>
            <w:tcW w:w="1580" w:type="dxa"/>
            <w:tcBorders>
              <w:top w:val="single" w:sz="4" w:space="0" w:color="auto"/>
              <w:left w:val="nil"/>
              <w:bottom w:val="single" w:sz="4" w:space="0" w:color="auto"/>
              <w:right w:val="nil"/>
            </w:tcBorders>
            <w:vAlign w:val="center"/>
            <w:hideMark/>
          </w:tcPr>
          <w:p w14:paraId="2DED9F13" w14:textId="77777777" w:rsidR="00A710EE" w:rsidRPr="00A710EE" w:rsidRDefault="00A710EE" w:rsidP="00A710EE">
            <w:pPr>
              <w:spacing w:after="0" w:line="240" w:lineRule="auto"/>
              <w:jc w:val="center"/>
              <w:rPr>
                <w:rFonts w:eastAsia="Times New Roman" w:cs="Arial"/>
                <w:b/>
                <w:bCs/>
                <w:color w:val="000000"/>
                <w:sz w:val="20"/>
                <w:szCs w:val="20"/>
                <w:lang w:val="pt-BR" w:eastAsia="pt-BR"/>
              </w:rPr>
            </w:pPr>
            <w:proofErr w:type="spellStart"/>
            <w:r w:rsidRPr="00A710EE">
              <w:rPr>
                <w:rFonts w:eastAsia="Times New Roman" w:cs="Arial"/>
                <w:b/>
                <w:bCs/>
                <w:color w:val="000000"/>
                <w:sz w:val="20"/>
                <w:szCs w:val="20"/>
                <w:lang w:val="pt-BR" w:eastAsia="pt-BR"/>
              </w:rPr>
              <w:t>Nota_Ger</w:t>
            </w:r>
            <w:proofErr w:type="spellEnd"/>
          </w:p>
        </w:tc>
      </w:tr>
      <w:tr w:rsidR="00A710EE" w:rsidRPr="00A710EE" w14:paraId="0E7A3DD9" w14:textId="77777777" w:rsidTr="00A710EE">
        <w:trPr>
          <w:trHeight w:val="264"/>
        </w:trPr>
        <w:tc>
          <w:tcPr>
            <w:tcW w:w="2980" w:type="dxa"/>
            <w:tcBorders>
              <w:top w:val="nil"/>
              <w:left w:val="nil"/>
              <w:bottom w:val="nil"/>
              <w:right w:val="single" w:sz="4" w:space="0" w:color="auto"/>
            </w:tcBorders>
            <w:vAlign w:val="center"/>
            <w:hideMark/>
          </w:tcPr>
          <w:p w14:paraId="637D08D9"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Intercepto</w:t>
            </w:r>
          </w:p>
        </w:tc>
        <w:tc>
          <w:tcPr>
            <w:tcW w:w="1480" w:type="dxa"/>
            <w:tcBorders>
              <w:top w:val="nil"/>
              <w:left w:val="nil"/>
              <w:bottom w:val="nil"/>
              <w:right w:val="nil"/>
            </w:tcBorders>
            <w:vAlign w:val="center"/>
            <w:hideMark/>
          </w:tcPr>
          <w:p w14:paraId="4EC95EA6"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57,437**</w:t>
            </w:r>
          </w:p>
        </w:tc>
        <w:tc>
          <w:tcPr>
            <w:tcW w:w="2080" w:type="dxa"/>
            <w:tcBorders>
              <w:top w:val="nil"/>
              <w:left w:val="nil"/>
              <w:bottom w:val="nil"/>
              <w:right w:val="nil"/>
            </w:tcBorders>
            <w:vAlign w:val="center"/>
            <w:hideMark/>
          </w:tcPr>
          <w:p w14:paraId="1E40DCC6"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35,695**</w:t>
            </w:r>
          </w:p>
        </w:tc>
        <w:tc>
          <w:tcPr>
            <w:tcW w:w="1580" w:type="dxa"/>
            <w:tcBorders>
              <w:top w:val="nil"/>
              <w:left w:val="nil"/>
              <w:bottom w:val="nil"/>
              <w:right w:val="nil"/>
            </w:tcBorders>
            <w:vAlign w:val="center"/>
            <w:hideMark/>
          </w:tcPr>
          <w:p w14:paraId="396262EF"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39,532**</w:t>
            </w:r>
          </w:p>
        </w:tc>
      </w:tr>
      <w:tr w:rsidR="00A710EE" w:rsidRPr="00A710EE" w14:paraId="2B9F0E33" w14:textId="77777777" w:rsidTr="00A710EE">
        <w:trPr>
          <w:trHeight w:val="264"/>
        </w:trPr>
        <w:tc>
          <w:tcPr>
            <w:tcW w:w="2980" w:type="dxa"/>
            <w:tcBorders>
              <w:top w:val="nil"/>
              <w:left w:val="nil"/>
              <w:bottom w:val="nil"/>
              <w:right w:val="single" w:sz="4" w:space="0" w:color="auto"/>
            </w:tcBorders>
            <w:vAlign w:val="center"/>
            <w:hideMark/>
          </w:tcPr>
          <w:p w14:paraId="02A36B34"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Monitoria</w:t>
            </w:r>
          </w:p>
        </w:tc>
        <w:tc>
          <w:tcPr>
            <w:tcW w:w="1480" w:type="dxa"/>
            <w:tcBorders>
              <w:top w:val="nil"/>
              <w:left w:val="nil"/>
              <w:bottom w:val="nil"/>
              <w:right w:val="nil"/>
            </w:tcBorders>
            <w:vAlign w:val="center"/>
            <w:hideMark/>
          </w:tcPr>
          <w:p w14:paraId="5254544D"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1,242**</w:t>
            </w:r>
          </w:p>
        </w:tc>
        <w:tc>
          <w:tcPr>
            <w:tcW w:w="2080" w:type="dxa"/>
            <w:tcBorders>
              <w:top w:val="nil"/>
              <w:left w:val="nil"/>
              <w:bottom w:val="nil"/>
              <w:right w:val="nil"/>
            </w:tcBorders>
            <w:vAlign w:val="center"/>
            <w:hideMark/>
          </w:tcPr>
          <w:p w14:paraId="0832E07A"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1,539**</w:t>
            </w:r>
          </w:p>
        </w:tc>
        <w:tc>
          <w:tcPr>
            <w:tcW w:w="1580" w:type="dxa"/>
            <w:tcBorders>
              <w:top w:val="nil"/>
              <w:left w:val="nil"/>
              <w:bottom w:val="nil"/>
              <w:right w:val="nil"/>
            </w:tcBorders>
            <w:vAlign w:val="center"/>
            <w:hideMark/>
          </w:tcPr>
          <w:p w14:paraId="22DA4BEA"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1,465**</w:t>
            </w:r>
          </w:p>
        </w:tc>
      </w:tr>
      <w:tr w:rsidR="00A710EE" w:rsidRPr="00A710EE" w14:paraId="51889E92" w14:textId="77777777" w:rsidTr="00A710EE">
        <w:trPr>
          <w:trHeight w:val="264"/>
        </w:trPr>
        <w:tc>
          <w:tcPr>
            <w:tcW w:w="2980" w:type="dxa"/>
            <w:tcBorders>
              <w:top w:val="nil"/>
              <w:left w:val="nil"/>
              <w:bottom w:val="nil"/>
              <w:right w:val="single" w:sz="4" w:space="0" w:color="auto"/>
            </w:tcBorders>
            <w:vAlign w:val="center"/>
            <w:hideMark/>
          </w:tcPr>
          <w:p w14:paraId="0FF08B3A"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Percentual de Participação</w:t>
            </w:r>
          </w:p>
        </w:tc>
        <w:tc>
          <w:tcPr>
            <w:tcW w:w="1480" w:type="dxa"/>
            <w:tcBorders>
              <w:top w:val="nil"/>
              <w:left w:val="nil"/>
              <w:bottom w:val="nil"/>
              <w:right w:val="nil"/>
            </w:tcBorders>
            <w:vAlign w:val="center"/>
            <w:hideMark/>
          </w:tcPr>
          <w:p w14:paraId="1A19FB9A"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0,912*</w:t>
            </w:r>
          </w:p>
        </w:tc>
        <w:tc>
          <w:tcPr>
            <w:tcW w:w="2080" w:type="dxa"/>
            <w:tcBorders>
              <w:top w:val="nil"/>
              <w:left w:val="nil"/>
              <w:bottom w:val="nil"/>
              <w:right w:val="nil"/>
            </w:tcBorders>
            <w:vAlign w:val="center"/>
            <w:hideMark/>
          </w:tcPr>
          <w:p w14:paraId="71D5FA04"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2,521**</w:t>
            </w:r>
          </w:p>
        </w:tc>
        <w:tc>
          <w:tcPr>
            <w:tcW w:w="1580" w:type="dxa"/>
            <w:tcBorders>
              <w:top w:val="nil"/>
              <w:left w:val="nil"/>
              <w:bottom w:val="nil"/>
              <w:right w:val="nil"/>
            </w:tcBorders>
            <w:vAlign w:val="center"/>
            <w:hideMark/>
          </w:tcPr>
          <w:p w14:paraId="38E558B3"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2,118**</w:t>
            </w:r>
          </w:p>
        </w:tc>
      </w:tr>
      <w:tr w:rsidR="00A710EE" w:rsidRPr="00A710EE" w14:paraId="5EFD7699" w14:textId="77777777" w:rsidTr="00A710EE">
        <w:trPr>
          <w:trHeight w:val="264"/>
        </w:trPr>
        <w:tc>
          <w:tcPr>
            <w:tcW w:w="2980" w:type="dxa"/>
            <w:tcBorders>
              <w:top w:val="nil"/>
              <w:left w:val="nil"/>
              <w:bottom w:val="nil"/>
              <w:right w:val="single" w:sz="4" w:space="0" w:color="auto"/>
            </w:tcBorders>
            <w:vAlign w:val="center"/>
            <w:hideMark/>
          </w:tcPr>
          <w:p w14:paraId="01383530"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Número de Participantes</w:t>
            </w:r>
          </w:p>
        </w:tc>
        <w:tc>
          <w:tcPr>
            <w:tcW w:w="1480" w:type="dxa"/>
            <w:tcBorders>
              <w:top w:val="nil"/>
              <w:left w:val="nil"/>
              <w:bottom w:val="nil"/>
              <w:right w:val="nil"/>
            </w:tcBorders>
            <w:vAlign w:val="center"/>
            <w:hideMark/>
          </w:tcPr>
          <w:p w14:paraId="645D265C"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-0,001*</w:t>
            </w:r>
          </w:p>
        </w:tc>
        <w:tc>
          <w:tcPr>
            <w:tcW w:w="2080" w:type="dxa"/>
            <w:tcBorders>
              <w:top w:val="nil"/>
              <w:left w:val="nil"/>
              <w:bottom w:val="nil"/>
              <w:right w:val="nil"/>
            </w:tcBorders>
            <w:vAlign w:val="center"/>
            <w:hideMark/>
          </w:tcPr>
          <w:p w14:paraId="649592E7"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-0,002**</w:t>
            </w:r>
          </w:p>
        </w:tc>
        <w:tc>
          <w:tcPr>
            <w:tcW w:w="1580" w:type="dxa"/>
            <w:tcBorders>
              <w:top w:val="nil"/>
              <w:left w:val="nil"/>
              <w:bottom w:val="nil"/>
              <w:right w:val="nil"/>
            </w:tcBorders>
            <w:vAlign w:val="center"/>
            <w:hideMark/>
          </w:tcPr>
          <w:p w14:paraId="59319A68"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-0,001**</w:t>
            </w:r>
          </w:p>
        </w:tc>
      </w:tr>
      <w:tr w:rsidR="00A710EE" w:rsidRPr="00A710EE" w14:paraId="4A8B4702" w14:textId="77777777" w:rsidTr="00A710EE">
        <w:trPr>
          <w:trHeight w:val="264"/>
        </w:trPr>
        <w:tc>
          <w:tcPr>
            <w:tcW w:w="2980" w:type="dxa"/>
            <w:tcBorders>
              <w:top w:val="nil"/>
              <w:left w:val="nil"/>
              <w:bottom w:val="nil"/>
              <w:right w:val="single" w:sz="4" w:space="0" w:color="auto"/>
            </w:tcBorders>
            <w:vAlign w:val="center"/>
            <w:hideMark/>
          </w:tcPr>
          <w:p w14:paraId="3CBBBE39"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Privada = Sim</w:t>
            </w:r>
          </w:p>
        </w:tc>
        <w:tc>
          <w:tcPr>
            <w:tcW w:w="1480" w:type="dxa"/>
            <w:tcBorders>
              <w:top w:val="nil"/>
              <w:left w:val="nil"/>
              <w:bottom w:val="nil"/>
              <w:right w:val="nil"/>
            </w:tcBorders>
            <w:vAlign w:val="center"/>
            <w:hideMark/>
          </w:tcPr>
          <w:p w14:paraId="097D671A"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-6,843**</w:t>
            </w:r>
          </w:p>
        </w:tc>
        <w:tc>
          <w:tcPr>
            <w:tcW w:w="2080" w:type="dxa"/>
            <w:tcBorders>
              <w:top w:val="nil"/>
              <w:left w:val="nil"/>
              <w:bottom w:val="nil"/>
              <w:right w:val="nil"/>
            </w:tcBorders>
            <w:vAlign w:val="center"/>
            <w:hideMark/>
          </w:tcPr>
          <w:p w14:paraId="2AE9147B"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-5,536**</w:t>
            </w:r>
          </w:p>
        </w:tc>
        <w:tc>
          <w:tcPr>
            <w:tcW w:w="1580" w:type="dxa"/>
            <w:tcBorders>
              <w:top w:val="nil"/>
              <w:left w:val="nil"/>
              <w:bottom w:val="nil"/>
              <w:right w:val="nil"/>
            </w:tcBorders>
            <w:vAlign w:val="center"/>
            <w:hideMark/>
          </w:tcPr>
          <w:p w14:paraId="4AC389D3"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-5,863**</w:t>
            </w:r>
          </w:p>
        </w:tc>
      </w:tr>
      <w:tr w:rsidR="00A710EE" w:rsidRPr="00A710EE" w14:paraId="55CB9BC5" w14:textId="77777777" w:rsidTr="00A710EE">
        <w:trPr>
          <w:trHeight w:val="264"/>
        </w:trPr>
        <w:tc>
          <w:tcPr>
            <w:tcW w:w="2980" w:type="dxa"/>
            <w:tcBorders>
              <w:top w:val="nil"/>
              <w:left w:val="nil"/>
              <w:bottom w:val="nil"/>
              <w:right w:val="single" w:sz="4" w:space="0" w:color="auto"/>
            </w:tcBorders>
            <w:vAlign w:val="center"/>
            <w:hideMark/>
          </w:tcPr>
          <w:p w14:paraId="5C2FEC05"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Modalidade (</w:t>
            </w:r>
            <w:proofErr w:type="spellStart"/>
            <w:r w:rsidRPr="00A710EE">
              <w:rPr>
                <w:rFonts w:eastAsia="Times New Roman" w:cs="Arial"/>
                <w:color w:val="000000"/>
                <w:sz w:val="20"/>
                <w:szCs w:val="20"/>
                <w:lang w:val="pt-BR" w:eastAsia="pt-BR"/>
              </w:rPr>
              <w:t>EaD</w:t>
            </w:r>
            <w:proofErr w:type="spellEnd"/>
            <w:r w:rsidRPr="00A710EE">
              <w:rPr>
                <w:rFonts w:eastAsia="Times New Roman" w:cs="Arial"/>
                <w:color w:val="000000"/>
                <w:sz w:val="20"/>
                <w:szCs w:val="20"/>
                <w:lang w:val="pt-BR" w:eastAsia="pt-BR"/>
              </w:rPr>
              <w:t>)</w:t>
            </w:r>
          </w:p>
        </w:tc>
        <w:tc>
          <w:tcPr>
            <w:tcW w:w="1480" w:type="dxa"/>
            <w:tcBorders>
              <w:top w:val="nil"/>
              <w:left w:val="nil"/>
              <w:bottom w:val="nil"/>
              <w:right w:val="nil"/>
            </w:tcBorders>
            <w:vAlign w:val="center"/>
            <w:hideMark/>
          </w:tcPr>
          <w:p w14:paraId="357E62EB"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-1,840**</w:t>
            </w:r>
          </w:p>
        </w:tc>
        <w:tc>
          <w:tcPr>
            <w:tcW w:w="2080" w:type="dxa"/>
            <w:tcBorders>
              <w:top w:val="nil"/>
              <w:left w:val="nil"/>
              <w:bottom w:val="nil"/>
              <w:right w:val="nil"/>
            </w:tcBorders>
            <w:vAlign w:val="center"/>
            <w:hideMark/>
          </w:tcPr>
          <w:p w14:paraId="4CA5A8D0"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-2,213**</w:t>
            </w:r>
          </w:p>
        </w:tc>
        <w:tc>
          <w:tcPr>
            <w:tcW w:w="1580" w:type="dxa"/>
            <w:tcBorders>
              <w:top w:val="nil"/>
              <w:left w:val="nil"/>
              <w:bottom w:val="nil"/>
              <w:right w:val="nil"/>
            </w:tcBorders>
            <w:vAlign w:val="center"/>
            <w:hideMark/>
          </w:tcPr>
          <w:p w14:paraId="0A4A0C6E"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-2,12**</w:t>
            </w:r>
          </w:p>
        </w:tc>
      </w:tr>
      <w:tr w:rsidR="00A710EE" w:rsidRPr="00A710EE" w14:paraId="10ADAF31" w14:textId="77777777" w:rsidTr="00A710EE">
        <w:trPr>
          <w:trHeight w:val="528"/>
        </w:trPr>
        <w:tc>
          <w:tcPr>
            <w:tcW w:w="2980" w:type="dxa"/>
            <w:tcBorders>
              <w:top w:val="nil"/>
              <w:left w:val="nil"/>
              <w:bottom w:val="single" w:sz="4" w:space="0" w:color="auto"/>
              <w:right w:val="single" w:sz="4" w:space="0" w:color="auto"/>
            </w:tcBorders>
            <w:vAlign w:val="center"/>
            <w:hideMark/>
          </w:tcPr>
          <w:p w14:paraId="7F23BD2A" w14:textId="77777777" w:rsidR="00A710EE" w:rsidRPr="00A710EE" w:rsidRDefault="00A710EE" w:rsidP="00A710EE">
            <w:pPr>
              <w:spacing w:after="0" w:line="240" w:lineRule="auto"/>
              <w:rPr>
                <w:rFonts w:eastAsia="Times New Roman" w:cs="Arial"/>
                <w:color w:val="000000"/>
                <w:sz w:val="20"/>
                <w:szCs w:val="20"/>
                <w:lang w:val="pt-BR" w:eastAsia="pt-BR"/>
              </w:rPr>
            </w:pPr>
            <w:r w:rsidRPr="00A710EE">
              <w:rPr>
                <w:rFonts w:eastAsia="Times New Roman" w:cs="Arial"/>
                <w:color w:val="000000"/>
                <w:sz w:val="20"/>
                <w:szCs w:val="20"/>
                <w:lang w:val="pt-BR" w:eastAsia="pt-BR"/>
              </w:rPr>
              <w:t>Organização Acadêmica (Universidade)</w:t>
            </w:r>
          </w:p>
        </w:tc>
        <w:tc>
          <w:tcPr>
            <w:tcW w:w="1480" w:type="dxa"/>
            <w:tcBorders>
              <w:top w:val="nil"/>
              <w:left w:val="nil"/>
              <w:bottom w:val="single" w:sz="4" w:space="0" w:color="auto"/>
              <w:right w:val="nil"/>
            </w:tcBorders>
            <w:vAlign w:val="center"/>
            <w:hideMark/>
          </w:tcPr>
          <w:p w14:paraId="191CE3FB"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2,13**</w:t>
            </w:r>
          </w:p>
        </w:tc>
        <w:tc>
          <w:tcPr>
            <w:tcW w:w="2080" w:type="dxa"/>
            <w:tcBorders>
              <w:top w:val="nil"/>
              <w:left w:val="nil"/>
              <w:bottom w:val="single" w:sz="4" w:space="0" w:color="auto"/>
              <w:right w:val="nil"/>
            </w:tcBorders>
            <w:vAlign w:val="center"/>
            <w:hideMark/>
          </w:tcPr>
          <w:p w14:paraId="0462C112"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2,36**</w:t>
            </w:r>
          </w:p>
        </w:tc>
        <w:tc>
          <w:tcPr>
            <w:tcW w:w="1580" w:type="dxa"/>
            <w:tcBorders>
              <w:top w:val="nil"/>
              <w:left w:val="nil"/>
              <w:bottom w:val="single" w:sz="4" w:space="0" w:color="auto"/>
              <w:right w:val="nil"/>
            </w:tcBorders>
            <w:vAlign w:val="center"/>
            <w:hideMark/>
          </w:tcPr>
          <w:p w14:paraId="5B957B72"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2,30**</w:t>
            </w:r>
          </w:p>
        </w:tc>
      </w:tr>
      <w:tr w:rsidR="00A710EE" w:rsidRPr="00A710EE" w14:paraId="380AADED" w14:textId="77777777" w:rsidTr="00A710EE">
        <w:trPr>
          <w:trHeight w:val="264"/>
        </w:trPr>
        <w:tc>
          <w:tcPr>
            <w:tcW w:w="2980" w:type="dxa"/>
            <w:tcBorders>
              <w:top w:val="nil"/>
              <w:left w:val="nil"/>
              <w:bottom w:val="nil"/>
              <w:right w:val="single" w:sz="4" w:space="0" w:color="auto"/>
            </w:tcBorders>
            <w:vAlign w:val="center"/>
            <w:hideMark/>
          </w:tcPr>
          <w:p w14:paraId="7226980E" w14:textId="77777777" w:rsidR="00A710EE" w:rsidRPr="00A710EE" w:rsidRDefault="00A710EE" w:rsidP="00A710EE">
            <w:pPr>
              <w:spacing w:after="0" w:line="240" w:lineRule="auto"/>
              <w:jc w:val="right"/>
              <w:rPr>
                <w:rFonts w:eastAsia="Times New Roman" w:cs="Arial"/>
                <w:color w:val="000000"/>
                <w:sz w:val="20"/>
                <w:szCs w:val="20"/>
                <w:lang w:val="pt-BR" w:eastAsia="pt-BR"/>
              </w:rPr>
            </w:pPr>
            <w:r w:rsidRPr="00A710EE">
              <w:rPr>
                <w:rFonts w:eastAsia="Times New Roman" w:cs="Arial"/>
                <w:color w:val="000000"/>
                <w:sz w:val="20"/>
                <w:szCs w:val="20"/>
                <w:lang w:val="pt-BR" w:eastAsia="pt-BR"/>
              </w:rPr>
              <w:t>R²</w:t>
            </w:r>
          </w:p>
        </w:tc>
        <w:tc>
          <w:tcPr>
            <w:tcW w:w="1480" w:type="dxa"/>
            <w:tcBorders>
              <w:top w:val="nil"/>
              <w:left w:val="nil"/>
              <w:bottom w:val="nil"/>
              <w:right w:val="nil"/>
            </w:tcBorders>
            <w:vAlign w:val="center"/>
            <w:hideMark/>
          </w:tcPr>
          <w:p w14:paraId="4DA44633" w14:textId="54E220DB"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w:t>
            </w:r>
            <w:r>
              <w:rPr>
                <w:rFonts w:eastAsia="Times New Roman" w:cs="Arial"/>
                <w:color w:val="000000"/>
                <w:sz w:val="20"/>
                <w:szCs w:val="20"/>
                <w:lang w:val="pt-BR" w:eastAsia="pt-BR"/>
              </w:rPr>
              <w:t>17</w:t>
            </w:r>
          </w:p>
        </w:tc>
        <w:tc>
          <w:tcPr>
            <w:tcW w:w="2080" w:type="dxa"/>
            <w:tcBorders>
              <w:top w:val="nil"/>
              <w:left w:val="nil"/>
              <w:bottom w:val="nil"/>
              <w:right w:val="nil"/>
            </w:tcBorders>
            <w:vAlign w:val="center"/>
            <w:hideMark/>
          </w:tcPr>
          <w:p w14:paraId="3225E8C5" w14:textId="61E1DC43"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w:t>
            </w:r>
            <w:r>
              <w:rPr>
                <w:rFonts w:eastAsia="Times New Roman" w:cs="Arial"/>
                <w:color w:val="000000"/>
                <w:sz w:val="20"/>
                <w:szCs w:val="20"/>
                <w:lang w:val="pt-BR" w:eastAsia="pt-BR"/>
              </w:rPr>
              <w:t>15</w:t>
            </w:r>
          </w:p>
        </w:tc>
        <w:tc>
          <w:tcPr>
            <w:tcW w:w="1580" w:type="dxa"/>
            <w:tcBorders>
              <w:top w:val="nil"/>
              <w:left w:val="nil"/>
              <w:bottom w:val="nil"/>
              <w:right w:val="nil"/>
            </w:tcBorders>
            <w:vAlign w:val="center"/>
            <w:hideMark/>
          </w:tcPr>
          <w:p w14:paraId="735FAA06" w14:textId="5AF4D686"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0,</w:t>
            </w:r>
            <w:r>
              <w:rPr>
                <w:rFonts w:eastAsia="Times New Roman" w:cs="Arial"/>
                <w:color w:val="000000"/>
                <w:sz w:val="20"/>
                <w:szCs w:val="20"/>
                <w:lang w:val="pt-BR" w:eastAsia="pt-BR"/>
              </w:rPr>
              <w:t>16</w:t>
            </w:r>
          </w:p>
        </w:tc>
      </w:tr>
      <w:tr w:rsidR="00A710EE" w:rsidRPr="00A710EE" w14:paraId="5BADFE2D" w14:textId="77777777" w:rsidTr="00A710EE">
        <w:trPr>
          <w:trHeight w:val="264"/>
        </w:trPr>
        <w:tc>
          <w:tcPr>
            <w:tcW w:w="2980" w:type="dxa"/>
            <w:vMerge w:val="restart"/>
            <w:tcBorders>
              <w:top w:val="nil"/>
              <w:left w:val="nil"/>
              <w:bottom w:val="nil"/>
              <w:right w:val="single" w:sz="4" w:space="0" w:color="auto"/>
            </w:tcBorders>
            <w:vAlign w:val="center"/>
            <w:hideMark/>
          </w:tcPr>
          <w:p w14:paraId="0CBF3FC8" w14:textId="77777777" w:rsidR="00A710EE" w:rsidRPr="00A710EE" w:rsidRDefault="00A710EE" w:rsidP="00A710EE">
            <w:pPr>
              <w:spacing w:after="0" w:line="240" w:lineRule="auto"/>
              <w:jc w:val="right"/>
              <w:rPr>
                <w:rFonts w:eastAsia="Times New Roman" w:cs="Arial"/>
                <w:color w:val="000000"/>
                <w:sz w:val="20"/>
                <w:szCs w:val="20"/>
                <w:lang w:val="pt-BR" w:eastAsia="pt-BR"/>
              </w:rPr>
            </w:pPr>
            <w:r w:rsidRPr="00A710EE">
              <w:rPr>
                <w:rFonts w:eastAsia="Times New Roman" w:cs="Arial"/>
                <w:color w:val="000000"/>
                <w:sz w:val="20"/>
                <w:szCs w:val="20"/>
                <w:lang w:val="pt-BR" w:eastAsia="pt-BR"/>
              </w:rPr>
              <w:t>Teste F (p-valor)</w:t>
            </w:r>
          </w:p>
        </w:tc>
        <w:tc>
          <w:tcPr>
            <w:tcW w:w="1480" w:type="dxa"/>
            <w:tcBorders>
              <w:top w:val="nil"/>
              <w:left w:val="nil"/>
              <w:bottom w:val="nil"/>
              <w:right w:val="nil"/>
            </w:tcBorders>
            <w:vAlign w:val="center"/>
            <w:hideMark/>
          </w:tcPr>
          <w:p w14:paraId="1FFE979A" w14:textId="1F6688FD" w:rsidR="00A710EE" w:rsidRPr="00A710EE" w:rsidRDefault="00A710EE" w:rsidP="00A710EE">
            <w:pPr>
              <w:spacing w:after="0" w:line="240" w:lineRule="auto"/>
              <w:jc w:val="center"/>
              <w:rPr>
                <w:rFonts w:eastAsia="Times New Roman" w:cs="Arial"/>
                <w:color w:val="000000"/>
                <w:sz w:val="20"/>
                <w:szCs w:val="20"/>
                <w:lang w:val="pt-BR" w:eastAsia="pt-BR"/>
              </w:rPr>
            </w:pPr>
            <w:r>
              <w:rPr>
                <w:rFonts w:eastAsia="Times New Roman" w:cs="Arial"/>
                <w:color w:val="000000"/>
                <w:sz w:val="20"/>
                <w:szCs w:val="20"/>
                <w:lang w:val="pt-BR" w:eastAsia="pt-BR"/>
              </w:rPr>
              <w:t>53,04</w:t>
            </w:r>
          </w:p>
        </w:tc>
        <w:tc>
          <w:tcPr>
            <w:tcW w:w="2080" w:type="dxa"/>
            <w:tcBorders>
              <w:top w:val="nil"/>
              <w:left w:val="nil"/>
              <w:bottom w:val="nil"/>
              <w:right w:val="nil"/>
            </w:tcBorders>
            <w:vAlign w:val="center"/>
            <w:hideMark/>
          </w:tcPr>
          <w:p w14:paraId="050AAE6A" w14:textId="0F2D4457" w:rsidR="00A710EE" w:rsidRPr="00A710EE" w:rsidRDefault="00A710EE" w:rsidP="00A710EE">
            <w:pPr>
              <w:spacing w:after="0" w:line="240" w:lineRule="auto"/>
              <w:jc w:val="center"/>
              <w:rPr>
                <w:rFonts w:eastAsia="Times New Roman" w:cs="Arial"/>
                <w:color w:val="000000"/>
                <w:sz w:val="20"/>
                <w:szCs w:val="20"/>
                <w:lang w:val="pt-BR" w:eastAsia="pt-BR"/>
              </w:rPr>
            </w:pPr>
            <w:r>
              <w:rPr>
                <w:rFonts w:eastAsia="Times New Roman" w:cs="Arial"/>
                <w:color w:val="000000"/>
                <w:sz w:val="20"/>
                <w:szCs w:val="20"/>
                <w:lang w:val="pt-BR" w:eastAsia="pt-BR"/>
              </w:rPr>
              <w:t>45,04</w:t>
            </w:r>
          </w:p>
        </w:tc>
        <w:tc>
          <w:tcPr>
            <w:tcW w:w="1580" w:type="dxa"/>
            <w:tcBorders>
              <w:top w:val="nil"/>
              <w:left w:val="nil"/>
              <w:bottom w:val="nil"/>
              <w:right w:val="nil"/>
            </w:tcBorders>
            <w:vAlign w:val="center"/>
            <w:hideMark/>
          </w:tcPr>
          <w:p w14:paraId="05D1C638" w14:textId="03499C73" w:rsidR="00A710EE" w:rsidRPr="00A710EE" w:rsidRDefault="00A710EE" w:rsidP="00A710EE">
            <w:pPr>
              <w:spacing w:after="0" w:line="240" w:lineRule="auto"/>
              <w:jc w:val="center"/>
              <w:rPr>
                <w:rFonts w:eastAsia="Times New Roman" w:cs="Arial"/>
                <w:color w:val="000000"/>
                <w:sz w:val="20"/>
                <w:szCs w:val="20"/>
                <w:lang w:val="pt-BR" w:eastAsia="pt-BR"/>
              </w:rPr>
            </w:pPr>
            <w:r>
              <w:rPr>
                <w:rFonts w:eastAsia="Times New Roman" w:cs="Arial"/>
                <w:color w:val="000000"/>
                <w:sz w:val="20"/>
                <w:szCs w:val="20"/>
                <w:lang w:val="pt-BR" w:eastAsia="pt-BR"/>
              </w:rPr>
              <w:t>50,13</w:t>
            </w:r>
          </w:p>
        </w:tc>
      </w:tr>
      <w:tr w:rsidR="00A710EE" w:rsidRPr="00A710EE" w14:paraId="77BAE7F5" w14:textId="77777777" w:rsidTr="00A710EE">
        <w:trPr>
          <w:trHeight w:val="264"/>
        </w:trPr>
        <w:tc>
          <w:tcPr>
            <w:tcW w:w="2980" w:type="dxa"/>
            <w:vMerge/>
            <w:tcBorders>
              <w:top w:val="nil"/>
              <w:left w:val="nil"/>
              <w:bottom w:val="nil"/>
              <w:right w:val="single" w:sz="4" w:space="0" w:color="auto"/>
            </w:tcBorders>
            <w:vAlign w:val="center"/>
            <w:hideMark/>
          </w:tcPr>
          <w:p w14:paraId="3CFCE827" w14:textId="77777777" w:rsidR="00A710EE" w:rsidRPr="00A710EE" w:rsidRDefault="00A710EE" w:rsidP="00A710EE">
            <w:pPr>
              <w:spacing w:after="0" w:line="240" w:lineRule="auto"/>
              <w:rPr>
                <w:rFonts w:eastAsia="Times New Roman" w:cs="Arial"/>
                <w:color w:val="000000"/>
                <w:sz w:val="20"/>
                <w:szCs w:val="20"/>
                <w:lang w:val="pt-BR" w:eastAsia="pt-BR"/>
              </w:rPr>
            </w:pPr>
          </w:p>
        </w:tc>
        <w:tc>
          <w:tcPr>
            <w:tcW w:w="1480" w:type="dxa"/>
            <w:tcBorders>
              <w:top w:val="nil"/>
              <w:left w:val="nil"/>
              <w:bottom w:val="nil"/>
              <w:right w:val="nil"/>
            </w:tcBorders>
            <w:vAlign w:val="center"/>
            <w:hideMark/>
          </w:tcPr>
          <w:p w14:paraId="4D62F7E9"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(&lt; 0,001)</w:t>
            </w:r>
          </w:p>
        </w:tc>
        <w:tc>
          <w:tcPr>
            <w:tcW w:w="2080" w:type="dxa"/>
            <w:tcBorders>
              <w:top w:val="nil"/>
              <w:left w:val="nil"/>
              <w:bottom w:val="nil"/>
              <w:right w:val="nil"/>
            </w:tcBorders>
            <w:vAlign w:val="center"/>
            <w:hideMark/>
          </w:tcPr>
          <w:p w14:paraId="68CD7404"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(&lt; 0,001)</w:t>
            </w:r>
          </w:p>
        </w:tc>
        <w:tc>
          <w:tcPr>
            <w:tcW w:w="1580" w:type="dxa"/>
            <w:tcBorders>
              <w:top w:val="nil"/>
              <w:left w:val="nil"/>
              <w:bottom w:val="nil"/>
              <w:right w:val="nil"/>
            </w:tcBorders>
            <w:vAlign w:val="center"/>
            <w:hideMark/>
          </w:tcPr>
          <w:p w14:paraId="2CE8BD82"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(&lt; 0,001)</w:t>
            </w:r>
          </w:p>
        </w:tc>
      </w:tr>
      <w:tr w:rsidR="00A710EE" w:rsidRPr="00A710EE" w14:paraId="1E10DD8C" w14:textId="77777777" w:rsidTr="00A710EE">
        <w:trPr>
          <w:trHeight w:val="264"/>
        </w:trPr>
        <w:tc>
          <w:tcPr>
            <w:tcW w:w="2980" w:type="dxa"/>
            <w:tcBorders>
              <w:top w:val="nil"/>
              <w:left w:val="nil"/>
              <w:bottom w:val="single" w:sz="4" w:space="0" w:color="auto"/>
              <w:right w:val="single" w:sz="4" w:space="0" w:color="auto"/>
            </w:tcBorders>
            <w:vAlign w:val="center"/>
            <w:hideMark/>
          </w:tcPr>
          <w:p w14:paraId="5861A9FF" w14:textId="77777777" w:rsidR="00A710EE" w:rsidRPr="00A710EE" w:rsidRDefault="00A710EE" w:rsidP="00A710EE">
            <w:pPr>
              <w:spacing w:after="0" w:line="240" w:lineRule="auto"/>
              <w:jc w:val="right"/>
              <w:rPr>
                <w:rFonts w:eastAsia="Times New Roman" w:cs="Arial"/>
                <w:color w:val="000000"/>
                <w:sz w:val="20"/>
                <w:szCs w:val="20"/>
                <w:lang w:val="pt-BR" w:eastAsia="pt-BR"/>
              </w:rPr>
            </w:pPr>
            <w:r w:rsidRPr="00A710EE">
              <w:rPr>
                <w:rFonts w:eastAsia="Times New Roman" w:cs="Arial"/>
                <w:color w:val="000000"/>
                <w:sz w:val="20"/>
                <w:szCs w:val="20"/>
                <w:lang w:val="pt-BR" w:eastAsia="pt-BR"/>
              </w:rPr>
              <w:t>VIF</w:t>
            </w:r>
          </w:p>
        </w:tc>
        <w:tc>
          <w:tcPr>
            <w:tcW w:w="1480" w:type="dxa"/>
            <w:tcBorders>
              <w:top w:val="nil"/>
              <w:left w:val="nil"/>
              <w:bottom w:val="single" w:sz="4" w:space="0" w:color="auto"/>
              <w:right w:val="nil"/>
            </w:tcBorders>
            <w:vAlign w:val="center"/>
            <w:hideMark/>
          </w:tcPr>
          <w:p w14:paraId="35C38F8D"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&lt; 1,271</w:t>
            </w:r>
          </w:p>
        </w:tc>
        <w:tc>
          <w:tcPr>
            <w:tcW w:w="2080" w:type="dxa"/>
            <w:tcBorders>
              <w:top w:val="nil"/>
              <w:left w:val="nil"/>
              <w:bottom w:val="single" w:sz="4" w:space="0" w:color="auto"/>
              <w:right w:val="nil"/>
            </w:tcBorders>
            <w:vAlign w:val="center"/>
            <w:hideMark/>
          </w:tcPr>
          <w:p w14:paraId="2A66EDFD"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&lt; 1,271</w:t>
            </w:r>
          </w:p>
        </w:tc>
        <w:tc>
          <w:tcPr>
            <w:tcW w:w="1580" w:type="dxa"/>
            <w:tcBorders>
              <w:top w:val="nil"/>
              <w:left w:val="nil"/>
              <w:bottom w:val="single" w:sz="4" w:space="0" w:color="auto"/>
              <w:right w:val="nil"/>
            </w:tcBorders>
            <w:vAlign w:val="center"/>
            <w:hideMark/>
          </w:tcPr>
          <w:p w14:paraId="49C4CD9D" w14:textId="77777777" w:rsidR="00A710EE" w:rsidRPr="00A710EE" w:rsidRDefault="00A710EE" w:rsidP="00A710EE">
            <w:pPr>
              <w:spacing w:after="0" w:line="240" w:lineRule="auto"/>
              <w:jc w:val="center"/>
              <w:rPr>
                <w:rFonts w:eastAsia="Times New Roman" w:cs="Arial"/>
                <w:color w:val="000000"/>
                <w:sz w:val="20"/>
                <w:szCs w:val="20"/>
                <w:lang w:val="pt-BR" w:eastAsia="pt-BR"/>
              </w:rPr>
            </w:pPr>
            <w:r w:rsidRPr="00A710EE">
              <w:rPr>
                <w:rFonts w:eastAsia="Times New Roman" w:cs="Arial"/>
                <w:color w:val="000000"/>
                <w:sz w:val="20"/>
                <w:szCs w:val="20"/>
                <w:lang w:val="pt-BR" w:eastAsia="pt-BR"/>
              </w:rPr>
              <w:t>&lt; 1,271</w:t>
            </w:r>
          </w:p>
        </w:tc>
      </w:tr>
    </w:tbl>
    <w:p w14:paraId="411E762A" w14:textId="23469F86" w:rsidR="00014CBD" w:rsidRDefault="00014CBD" w:rsidP="00014CBD">
      <w:pPr>
        <w:spacing w:after="0" w:line="240" w:lineRule="auto"/>
        <w:jc w:val="both"/>
        <w:rPr>
          <w:rFonts w:cs="Arial"/>
          <w:sz w:val="20"/>
          <w:szCs w:val="20"/>
          <w:lang w:val="pt-BR"/>
        </w:rPr>
      </w:pPr>
      <w:r>
        <w:rPr>
          <w:rFonts w:cs="Arial"/>
          <w:sz w:val="20"/>
          <w:szCs w:val="20"/>
          <w:lang w:val="pt-BR"/>
        </w:rPr>
        <w:t>Nota: * - p-valor &lt;0,0</w:t>
      </w:r>
      <w:r>
        <w:rPr>
          <w:rFonts w:cs="Arial"/>
          <w:sz w:val="20"/>
          <w:szCs w:val="20"/>
          <w:lang w:val="pt-BR"/>
        </w:rPr>
        <w:t xml:space="preserve">5; </w:t>
      </w:r>
      <w:r>
        <w:rPr>
          <w:rFonts w:cs="Arial"/>
          <w:sz w:val="20"/>
          <w:szCs w:val="20"/>
          <w:lang w:val="pt-BR"/>
        </w:rPr>
        <w:t>*</w:t>
      </w:r>
      <w:r>
        <w:rPr>
          <w:rFonts w:cs="Arial"/>
          <w:sz w:val="20"/>
          <w:szCs w:val="20"/>
          <w:lang w:val="pt-BR"/>
        </w:rPr>
        <w:t>*</w:t>
      </w:r>
      <w:r>
        <w:rPr>
          <w:rFonts w:cs="Arial"/>
          <w:sz w:val="20"/>
          <w:szCs w:val="20"/>
          <w:lang w:val="pt-BR"/>
        </w:rPr>
        <w:t xml:space="preserve"> - p-valor &lt;0,0</w:t>
      </w:r>
      <w:r>
        <w:rPr>
          <w:rFonts w:cs="Arial"/>
          <w:sz w:val="20"/>
          <w:szCs w:val="20"/>
          <w:lang w:val="pt-BR"/>
        </w:rPr>
        <w:t>1.</w:t>
      </w:r>
    </w:p>
    <w:p w14:paraId="48A7FEFA" w14:textId="77777777" w:rsidR="00014CBD" w:rsidRPr="00014CBD" w:rsidRDefault="00014CBD" w:rsidP="00014CBD">
      <w:pPr>
        <w:jc w:val="both"/>
        <w:rPr>
          <w:rFonts w:cs="Arial"/>
          <w:sz w:val="20"/>
          <w:szCs w:val="20"/>
          <w:lang w:val="pt-BR"/>
        </w:rPr>
      </w:pPr>
      <w:r w:rsidRPr="00014CBD">
        <w:rPr>
          <w:rFonts w:cs="Arial"/>
          <w:sz w:val="20"/>
          <w:szCs w:val="20"/>
          <w:lang w:val="pt-BR"/>
        </w:rPr>
        <w:t>Fonte: Dados da pesquisa (2025).</w:t>
      </w:r>
    </w:p>
    <w:p w14:paraId="50937A65" w14:textId="0C7184BF" w:rsidR="00E461A6" w:rsidRPr="00247E43" w:rsidRDefault="00C861AE" w:rsidP="000311EE">
      <w:pPr>
        <w:jc w:val="both"/>
        <w:rPr>
          <w:rFonts w:cs="Arial"/>
          <w:szCs w:val="24"/>
          <w:lang w:val="pt-BR"/>
        </w:rPr>
      </w:pPr>
      <w:r w:rsidRPr="00C861AE">
        <w:rPr>
          <w:rFonts w:cs="Arial"/>
          <w:szCs w:val="24"/>
          <w:lang w:val="pt-BR"/>
        </w:rPr>
        <w:tab/>
        <w:t>Especificamente, a variável monitoria apresentou efeito positivo e estatisticamente significante para todas as notas do ENADE (valores de β entre 1,242 e 1,539, com p-valor &lt; 0,01 para todos os casos). Isso indica que, mantendo constantes as demais variáveis, a cada ponto adicional atribuído à monitoria, a nota geral do ENADE tende a aumentar em aproximadamente 1,242 pontos para a Formação Geral, 1,539 para o Componente Específico e 1,465 para a Nota Geral da prova. Esse resultado reforça a hipótese de que cursos em que os alunos que atribuem maior importância à monitoria alcançam desempenhos superiores no exame.</w:t>
      </w:r>
    </w:p>
    <w:p w14:paraId="4727290C" w14:textId="77777777" w:rsidR="00572D56" w:rsidRPr="00247E43" w:rsidRDefault="006949C4" w:rsidP="00C72A84">
      <w:pPr>
        <w:pStyle w:val="Ttulo1"/>
        <w:jc w:val="both"/>
        <w:rPr>
          <w:rFonts w:ascii="Arial" w:hAnsi="Arial" w:cs="Arial"/>
          <w:color w:val="auto"/>
          <w:sz w:val="24"/>
          <w:szCs w:val="24"/>
          <w:lang w:val="pt-BR"/>
        </w:rPr>
      </w:pPr>
      <w:r w:rsidRPr="00247E43">
        <w:rPr>
          <w:rFonts w:ascii="Arial" w:hAnsi="Arial" w:cs="Arial"/>
          <w:color w:val="auto"/>
          <w:sz w:val="24"/>
          <w:szCs w:val="24"/>
          <w:lang w:val="pt-BR"/>
        </w:rPr>
        <w:lastRenderedPageBreak/>
        <w:t>5. Conclusão e Contribuições</w:t>
      </w:r>
    </w:p>
    <w:p w14:paraId="08E2AEC9" w14:textId="77777777" w:rsidR="00F4307D" w:rsidRPr="00F4307D" w:rsidRDefault="00F4307D" w:rsidP="00F4307D">
      <w:pPr>
        <w:spacing w:after="0" w:line="240" w:lineRule="auto"/>
        <w:ind w:firstLine="720"/>
        <w:jc w:val="both"/>
        <w:rPr>
          <w:rFonts w:cs="Arial"/>
          <w:szCs w:val="24"/>
          <w:lang w:val="pt-BR"/>
        </w:rPr>
      </w:pPr>
      <w:r w:rsidRPr="00F4307D">
        <w:rPr>
          <w:rFonts w:cs="Arial"/>
          <w:szCs w:val="24"/>
          <w:lang w:val="pt-BR"/>
        </w:rPr>
        <w:t>O objetivo deste estudo foi analisar a relação entre a valorização da monitoria acadêmica e o desempenho dos cursos de Administração no Exame Nacional de Desempenho dos Estudantes (ENADE) de 2022. A investigação buscou compreender em que medida a monitoria, entendida como prática pedagógica de apoio ao processo de ensino-aprendizagem, pode estar associada a melhores resultados institucionais mensurados em larga escala.</w:t>
      </w:r>
    </w:p>
    <w:p w14:paraId="7A0E9008" w14:textId="3A49B46C" w:rsidR="00F4307D" w:rsidRPr="00F4307D" w:rsidRDefault="00F4307D" w:rsidP="00F4307D">
      <w:pPr>
        <w:spacing w:after="0" w:line="240" w:lineRule="auto"/>
        <w:ind w:firstLine="720"/>
        <w:jc w:val="both"/>
        <w:rPr>
          <w:rFonts w:cs="Arial"/>
          <w:szCs w:val="24"/>
          <w:lang w:val="pt-BR"/>
        </w:rPr>
      </w:pPr>
      <w:r w:rsidRPr="00F4307D">
        <w:rPr>
          <w:rFonts w:cs="Arial"/>
          <w:szCs w:val="24"/>
          <w:lang w:val="pt-BR"/>
        </w:rPr>
        <w:t>Os resultados evidenciaram que a monitoria é amplamente valorizada pelos estudantes, com médias elevadas em todos os segmentos analisados. As análises também apontaram diferenças entre grupos institucionais, destacando que universidades e instituições públicas tendem a obter melhores resultados, embora a importância atribuída à monitoria seja transversal a todos os perfis de cursos e modalidades.</w:t>
      </w:r>
      <w:r w:rsidR="00AC3392">
        <w:rPr>
          <w:rFonts w:cs="Arial"/>
          <w:szCs w:val="24"/>
          <w:lang w:val="pt-BR"/>
        </w:rPr>
        <w:t xml:space="preserve"> Além disso, a</w:t>
      </w:r>
      <w:r w:rsidR="00AC3392" w:rsidRPr="00AC3392">
        <w:rPr>
          <w:rFonts w:cs="Arial"/>
          <w:szCs w:val="24"/>
          <w:lang w:val="pt-BR"/>
        </w:rPr>
        <w:t>s regressões lineares confirmaram que a valorização da monitoria apresenta efeito positivo e estatisticamente significativo sobre todas as notas do ENADE, mesmo quando controladas variáveis institucionais e acadêmicas.</w:t>
      </w:r>
    </w:p>
    <w:p w14:paraId="0F6B27DB" w14:textId="3FFC121A" w:rsidR="00F4307D" w:rsidRPr="00F4307D" w:rsidRDefault="00F4307D" w:rsidP="00F4307D">
      <w:pPr>
        <w:spacing w:after="0" w:line="240" w:lineRule="auto"/>
        <w:ind w:firstLine="720"/>
        <w:jc w:val="both"/>
        <w:rPr>
          <w:rFonts w:cs="Arial"/>
          <w:szCs w:val="24"/>
          <w:lang w:val="pt-BR"/>
        </w:rPr>
      </w:pPr>
      <w:r w:rsidRPr="00F4307D">
        <w:rPr>
          <w:rFonts w:cs="Arial"/>
          <w:szCs w:val="24"/>
          <w:lang w:val="pt-BR"/>
        </w:rPr>
        <w:t xml:space="preserve">Do ponto de vista teórico, a pesquisa contribui ao consolidar a literatura nacional sobre monitoria acadêmica e ao dialogar com evidências internacionais de </w:t>
      </w:r>
      <w:proofErr w:type="spellStart"/>
      <w:r w:rsidRPr="00AC3392">
        <w:rPr>
          <w:rFonts w:cs="Arial"/>
          <w:i/>
          <w:iCs/>
          <w:szCs w:val="24"/>
          <w:lang w:val="pt-BR"/>
        </w:rPr>
        <w:t>peer</w:t>
      </w:r>
      <w:proofErr w:type="spellEnd"/>
      <w:r w:rsidRPr="00AC3392">
        <w:rPr>
          <w:rFonts w:cs="Arial"/>
          <w:i/>
          <w:iCs/>
          <w:szCs w:val="24"/>
          <w:lang w:val="pt-BR"/>
        </w:rPr>
        <w:t xml:space="preserve"> </w:t>
      </w:r>
      <w:proofErr w:type="spellStart"/>
      <w:r w:rsidRPr="00AC3392">
        <w:rPr>
          <w:rFonts w:cs="Arial"/>
          <w:i/>
          <w:iCs/>
          <w:szCs w:val="24"/>
          <w:lang w:val="pt-BR"/>
        </w:rPr>
        <w:t>tutoring</w:t>
      </w:r>
      <w:proofErr w:type="spellEnd"/>
      <w:r w:rsidRPr="00F4307D">
        <w:rPr>
          <w:rFonts w:cs="Arial"/>
          <w:szCs w:val="24"/>
          <w:lang w:val="pt-BR"/>
        </w:rPr>
        <w:t xml:space="preserve"> e </w:t>
      </w:r>
      <w:proofErr w:type="spellStart"/>
      <w:r w:rsidR="00AC3392">
        <w:rPr>
          <w:rFonts w:cs="Arial"/>
          <w:i/>
          <w:iCs/>
          <w:szCs w:val="24"/>
          <w:lang w:val="pt-BR"/>
        </w:rPr>
        <w:t>u</w:t>
      </w:r>
      <w:r w:rsidRPr="00AC3392">
        <w:rPr>
          <w:rFonts w:cs="Arial"/>
          <w:i/>
          <w:iCs/>
          <w:szCs w:val="24"/>
          <w:lang w:val="pt-BR"/>
        </w:rPr>
        <w:t>ndergraduate</w:t>
      </w:r>
      <w:proofErr w:type="spellEnd"/>
      <w:r w:rsidRPr="00AC3392">
        <w:rPr>
          <w:rFonts w:cs="Arial"/>
          <w:i/>
          <w:iCs/>
          <w:szCs w:val="24"/>
          <w:lang w:val="pt-BR"/>
        </w:rPr>
        <w:t xml:space="preserve"> </w:t>
      </w:r>
      <w:proofErr w:type="spellStart"/>
      <w:r w:rsidR="00AC3392">
        <w:rPr>
          <w:rFonts w:cs="Arial"/>
          <w:i/>
          <w:iCs/>
          <w:szCs w:val="24"/>
          <w:lang w:val="pt-BR"/>
        </w:rPr>
        <w:t>t</w:t>
      </w:r>
      <w:r w:rsidRPr="00AC3392">
        <w:rPr>
          <w:rFonts w:cs="Arial"/>
          <w:i/>
          <w:iCs/>
          <w:szCs w:val="24"/>
          <w:lang w:val="pt-BR"/>
        </w:rPr>
        <w:t>eaching</w:t>
      </w:r>
      <w:proofErr w:type="spellEnd"/>
      <w:r w:rsidRPr="00AC3392">
        <w:rPr>
          <w:rFonts w:cs="Arial"/>
          <w:i/>
          <w:iCs/>
          <w:szCs w:val="24"/>
          <w:lang w:val="pt-BR"/>
        </w:rPr>
        <w:t xml:space="preserve"> </w:t>
      </w:r>
      <w:proofErr w:type="spellStart"/>
      <w:r w:rsidR="00AC3392">
        <w:rPr>
          <w:rFonts w:cs="Arial"/>
          <w:i/>
          <w:iCs/>
          <w:szCs w:val="24"/>
          <w:lang w:val="pt-BR"/>
        </w:rPr>
        <w:t>a</w:t>
      </w:r>
      <w:r w:rsidRPr="00AC3392">
        <w:rPr>
          <w:rFonts w:cs="Arial"/>
          <w:i/>
          <w:iCs/>
          <w:szCs w:val="24"/>
          <w:lang w:val="pt-BR"/>
        </w:rPr>
        <w:t>ssistants</w:t>
      </w:r>
      <w:proofErr w:type="spellEnd"/>
      <w:r w:rsidRPr="00F4307D">
        <w:rPr>
          <w:rFonts w:cs="Arial"/>
          <w:szCs w:val="24"/>
          <w:lang w:val="pt-BR"/>
        </w:rPr>
        <w:t>, reforçando que práticas de baixo custo podem produzir efeitos relevantes sobre aprendizagem e desempenho. No campo prático, os achados oferecem subsídios para gestores de cursos e instituições de ensino superior, indicando que políticas institucionais de fortalecimento da monitoria</w:t>
      </w:r>
      <w:r w:rsidR="00AC3392">
        <w:rPr>
          <w:rFonts w:cs="Arial"/>
          <w:szCs w:val="24"/>
          <w:lang w:val="pt-BR"/>
        </w:rPr>
        <w:t xml:space="preserve"> (</w:t>
      </w:r>
      <w:r w:rsidRPr="00F4307D">
        <w:rPr>
          <w:rFonts w:cs="Arial"/>
          <w:szCs w:val="24"/>
          <w:lang w:val="pt-BR"/>
        </w:rPr>
        <w:t>envolvendo seleção criteriosa de monitores, formação pedagógica, clareza de atribuições e estímulo à participação discent</w:t>
      </w:r>
      <w:r w:rsidR="00AC3392">
        <w:rPr>
          <w:rFonts w:cs="Arial"/>
          <w:szCs w:val="24"/>
          <w:lang w:val="pt-BR"/>
        </w:rPr>
        <w:t>e)</w:t>
      </w:r>
      <w:r w:rsidRPr="00F4307D">
        <w:rPr>
          <w:rFonts w:cs="Arial"/>
          <w:szCs w:val="24"/>
          <w:lang w:val="pt-BR"/>
        </w:rPr>
        <w:t xml:space="preserve"> podem se converter em estratégias eficazes para melhorar o desempenho em avaliações externas, como o ENADE. No aspecto social, a monitoria apresenta-se como instrumento de democratização do ensino, capaz de reduzir desigualdades e ampliar a permanência de estudantes em contextos desafiadores, especialmente na educação a distância e em instituições privadas.</w:t>
      </w:r>
    </w:p>
    <w:p w14:paraId="0BC0C0C4" w14:textId="77777777" w:rsidR="00F4307D" w:rsidRPr="00F4307D" w:rsidRDefault="00F4307D" w:rsidP="00F4307D">
      <w:pPr>
        <w:spacing w:after="0" w:line="240" w:lineRule="auto"/>
        <w:ind w:firstLine="720"/>
        <w:jc w:val="both"/>
        <w:rPr>
          <w:rFonts w:cs="Arial"/>
          <w:szCs w:val="24"/>
          <w:lang w:val="pt-BR"/>
        </w:rPr>
      </w:pPr>
      <w:r w:rsidRPr="00F4307D">
        <w:rPr>
          <w:rFonts w:cs="Arial"/>
          <w:szCs w:val="24"/>
          <w:lang w:val="pt-BR"/>
        </w:rPr>
        <w:t>Como limitações, ressalta-se a natureza transversal da análise, que não permite estabelecer relações de causalidade, bem como a dependência de dados autorrelatados pelos estudantes. Pesquisas futuras podem avançar por meio de abordagens longitudinais ou quase-experimentais, explorando em maior profundidade os mecanismos pelos quais a monitoria impacta o desempenho acadêmico. Também se sugere a realização de estudos qualitativos em cursos de Administração, de modo a capturar percepções de estudantes, monitores e docentes sobre o valor e os desafios dessa prática.</w:t>
      </w:r>
    </w:p>
    <w:p w14:paraId="2727973E" w14:textId="6D35C983" w:rsidR="00E461A6" w:rsidRPr="00247E43" w:rsidRDefault="00F4307D" w:rsidP="00F4307D">
      <w:pPr>
        <w:spacing w:after="0" w:line="240" w:lineRule="auto"/>
        <w:ind w:firstLine="720"/>
        <w:jc w:val="both"/>
        <w:rPr>
          <w:rFonts w:cs="Arial"/>
          <w:szCs w:val="24"/>
          <w:lang w:val="pt-BR"/>
        </w:rPr>
      </w:pPr>
      <w:r w:rsidRPr="00F4307D">
        <w:rPr>
          <w:rFonts w:cs="Arial"/>
          <w:szCs w:val="24"/>
          <w:lang w:val="pt-BR"/>
        </w:rPr>
        <w:t xml:space="preserve">Em síntese, os achados deste trabalho reforçam que a monitoria acadêmica deve ser consolidada como política pedagógica estratégica no ensino superior brasileiro, não apenas por sua contribuição à aprendizagem individual, mas também por seu potencial de fortalecer a qualidade institucional e reduzir desigualdades em um sistema educacional cada vez mais </w:t>
      </w:r>
      <w:proofErr w:type="spellStart"/>
      <w:r w:rsidRPr="00F4307D">
        <w:rPr>
          <w:rFonts w:cs="Arial"/>
          <w:szCs w:val="24"/>
          <w:lang w:val="pt-BR"/>
        </w:rPr>
        <w:t>diverso</w:t>
      </w:r>
      <w:proofErr w:type="spellEnd"/>
      <w:r w:rsidRPr="00F4307D">
        <w:rPr>
          <w:rFonts w:cs="Arial"/>
          <w:szCs w:val="24"/>
          <w:lang w:val="pt-BR"/>
        </w:rPr>
        <w:t xml:space="preserve"> e desafiador.</w:t>
      </w:r>
    </w:p>
    <w:p w14:paraId="794B7DFD" w14:textId="77777777" w:rsidR="00572D56" w:rsidRPr="00AC3392" w:rsidRDefault="006949C4" w:rsidP="00C72A84">
      <w:pPr>
        <w:pStyle w:val="Ttulo1"/>
        <w:jc w:val="both"/>
        <w:rPr>
          <w:rFonts w:ascii="Arial" w:hAnsi="Arial" w:cs="Arial"/>
          <w:color w:val="auto"/>
          <w:sz w:val="24"/>
          <w:szCs w:val="24"/>
          <w:lang w:val="pt-BR"/>
        </w:rPr>
      </w:pPr>
      <w:r w:rsidRPr="00AC3392">
        <w:rPr>
          <w:rFonts w:ascii="Arial" w:hAnsi="Arial" w:cs="Arial"/>
          <w:color w:val="auto"/>
          <w:sz w:val="24"/>
          <w:szCs w:val="24"/>
          <w:lang w:val="pt-BR"/>
        </w:rPr>
        <w:t>Referências Bibliográficas</w:t>
      </w:r>
    </w:p>
    <w:p w14:paraId="5A42FAC4"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ASSIS, Fernanda de; JACOB, Tânia Cristina Gomes; GERMANO, Raimunda Monteiro. Programa de monitoria acadêmica: percepções de monitores e </w:t>
      </w:r>
      <w:r w:rsidRPr="00AC3392">
        <w:rPr>
          <w:rFonts w:eastAsia="Times New Roman" w:cs="Arial"/>
          <w:szCs w:val="24"/>
          <w:lang w:val="pt-BR"/>
        </w:rPr>
        <w:lastRenderedPageBreak/>
        <w:t xml:space="preserve">orientadores. </w:t>
      </w:r>
      <w:r w:rsidRPr="00AC3392">
        <w:rPr>
          <w:rFonts w:eastAsia="Times New Roman" w:cs="Arial"/>
          <w:i/>
          <w:iCs/>
          <w:szCs w:val="24"/>
          <w:lang w:val="pt-BR"/>
        </w:rPr>
        <w:t>Revista de Enfermagem da UERJ</w:t>
      </w:r>
      <w:r w:rsidRPr="00AC3392">
        <w:rPr>
          <w:rFonts w:eastAsia="Times New Roman" w:cs="Arial"/>
          <w:szCs w:val="24"/>
          <w:lang w:val="pt-BR"/>
        </w:rPr>
        <w:t>, Rio de Janeiro, v. 14, n. 3, p. 391-397, 2006.</w:t>
      </w:r>
    </w:p>
    <w:p w14:paraId="44B328D0" w14:textId="77777777" w:rsidR="00A26707" w:rsidRDefault="00A26707" w:rsidP="00AC3392">
      <w:pPr>
        <w:tabs>
          <w:tab w:val="left" w:pos="720"/>
        </w:tabs>
        <w:spacing w:before="200" w:after="120"/>
        <w:rPr>
          <w:rFonts w:eastAsia="Times New Roman" w:cs="Arial"/>
          <w:szCs w:val="24"/>
        </w:rPr>
      </w:pPr>
      <w:r w:rsidRPr="00A26707">
        <w:rPr>
          <w:rFonts w:eastAsia="Times New Roman" w:cs="Arial"/>
          <w:szCs w:val="24"/>
          <w:lang w:val="pt-BR"/>
        </w:rPr>
        <w:t xml:space="preserve">MACHADO, Esmael Almeida; ALMEIDA, Lauro Brito de; CUNHA, Cleverson Renan da; NOGUEIRA, Daniel Ramos; CORNACHIONE JUNIOR, Edgard Bruno. Investigação empírica quanto à monitoria presencial disponibilizada no curso de Administração a distância de uma IFES: reflexões acerca do desempenho dos acadêmicos. </w:t>
      </w:r>
      <w:r w:rsidRPr="00A26707">
        <w:rPr>
          <w:rFonts w:eastAsia="Times New Roman" w:cs="Arial"/>
          <w:i/>
          <w:iCs/>
          <w:szCs w:val="24"/>
        </w:rPr>
        <w:t>Advances in Scientific and Applied Accounting</w:t>
      </w:r>
      <w:r w:rsidRPr="00A26707">
        <w:rPr>
          <w:rFonts w:eastAsia="Times New Roman" w:cs="Arial"/>
          <w:szCs w:val="24"/>
        </w:rPr>
        <w:t>, São Paulo, v. 3, n. 3, p. 272-289, 2010.</w:t>
      </w:r>
    </w:p>
    <w:p w14:paraId="178FF950" w14:textId="6DC378C3" w:rsidR="00AC3392" w:rsidRPr="00AC3392" w:rsidRDefault="00AC3392" w:rsidP="00AC3392">
      <w:pPr>
        <w:tabs>
          <w:tab w:val="left" w:pos="720"/>
        </w:tabs>
        <w:spacing w:before="200" w:after="120"/>
        <w:rPr>
          <w:rFonts w:eastAsia="Times New Roman" w:cs="Arial"/>
          <w:szCs w:val="24"/>
        </w:rPr>
      </w:pPr>
      <w:r w:rsidRPr="00AC3392">
        <w:rPr>
          <w:rFonts w:eastAsia="Times New Roman" w:cs="Arial"/>
          <w:szCs w:val="24"/>
        </w:rPr>
        <w:t xml:space="preserve">BOWMAN-PERROTT, Lisa; DAVIS, Heather; VADASY, Patricia; WEDDLE, Susanne. Academic benefits of peer tutoring: a meta-analytic review of single-case research. </w:t>
      </w:r>
      <w:r w:rsidR="00A26707" w:rsidRPr="00A26707">
        <w:rPr>
          <w:rFonts w:eastAsia="Times New Roman" w:cs="Arial"/>
          <w:i/>
          <w:iCs/>
          <w:szCs w:val="24"/>
        </w:rPr>
        <w:t>School Psychology Review</w:t>
      </w:r>
      <w:r w:rsidRPr="00AC3392">
        <w:rPr>
          <w:rFonts w:eastAsia="Times New Roman" w:cs="Arial"/>
          <w:szCs w:val="24"/>
        </w:rPr>
        <w:t xml:space="preserve">, v. </w:t>
      </w:r>
      <w:r w:rsidR="00A26707">
        <w:rPr>
          <w:rFonts w:eastAsia="Times New Roman" w:cs="Arial"/>
          <w:szCs w:val="24"/>
        </w:rPr>
        <w:t>42</w:t>
      </w:r>
      <w:r w:rsidRPr="00AC3392">
        <w:rPr>
          <w:rFonts w:eastAsia="Times New Roman" w:cs="Arial"/>
          <w:szCs w:val="24"/>
        </w:rPr>
        <w:t xml:space="preserve">, n. </w:t>
      </w:r>
      <w:r w:rsidR="00A26707">
        <w:rPr>
          <w:rFonts w:eastAsia="Times New Roman" w:cs="Arial"/>
          <w:szCs w:val="24"/>
        </w:rPr>
        <w:t>1</w:t>
      </w:r>
      <w:r w:rsidRPr="00AC3392">
        <w:rPr>
          <w:rFonts w:eastAsia="Times New Roman" w:cs="Arial"/>
          <w:szCs w:val="24"/>
        </w:rPr>
        <w:t>, p. 3</w:t>
      </w:r>
      <w:r w:rsidR="00A26707">
        <w:rPr>
          <w:rFonts w:eastAsia="Times New Roman" w:cs="Arial"/>
          <w:szCs w:val="24"/>
        </w:rPr>
        <w:t>9</w:t>
      </w:r>
      <w:r w:rsidRPr="00AC3392">
        <w:rPr>
          <w:rFonts w:eastAsia="Times New Roman" w:cs="Arial"/>
          <w:szCs w:val="24"/>
        </w:rPr>
        <w:t>-</w:t>
      </w:r>
      <w:r w:rsidR="00A26707">
        <w:rPr>
          <w:rFonts w:eastAsia="Times New Roman" w:cs="Arial"/>
          <w:szCs w:val="24"/>
        </w:rPr>
        <w:t>45</w:t>
      </w:r>
      <w:r w:rsidRPr="00AC3392">
        <w:rPr>
          <w:rFonts w:eastAsia="Times New Roman" w:cs="Arial"/>
          <w:szCs w:val="24"/>
        </w:rPr>
        <w:t>, 2013.</w:t>
      </w:r>
    </w:p>
    <w:p w14:paraId="095C3CB2"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rPr>
        <w:t xml:space="preserve">COLVER, Mitchell; FRY, Todd. Evidence to support peer tutoring programs at the undergraduate level. </w:t>
      </w:r>
      <w:proofErr w:type="spellStart"/>
      <w:r w:rsidRPr="00A26707">
        <w:rPr>
          <w:rFonts w:eastAsia="Times New Roman" w:cs="Arial"/>
          <w:i/>
          <w:iCs/>
          <w:szCs w:val="24"/>
          <w:lang w:val="pt-BR"/>
        </w:rPr>
        <w:t>Journal</w:t>
      </w:r>
      <w:proofErr w:type="spellEnd"/>
      <w:r w:rsidRPr="00A26707">
        <w:rPr>
          <w:rFonts w:eastAsia="Times New Roman" w:cs="Arial"/>
          <w:i/>
          <w:iCs/>
          <w:szCs w:val="24"/>
          <w:lang w:val="pt-BR"/>
        </w:rPr>
        <w:t xml:space="preserve"> </w:t>
      </w:r>
      <w:proofErr w:type="spellStart"/>
      <w:r w:rsidRPr="00A26707">
        <w:rPr>
          <w:rFonts w:eastAsia="Times New Roman" w:cs="Arial"/>
          <w:i/>
          <w:iCs/>
          <w:szCs w:val="24"/>
          <w:lang w:val="pt-BR"/>
        </w:rPr>
        <w:t>of</w:t>
      </w:r>
      <w:proofErr w:type="spellEnd"/>
      <w:r w:rsidRPr="00A26707">
        <w:rPr>
          <w:rFonts w:eastAsia="Times New Roman" w:cs="Arial"/>
          <w:i/>
          <w:iCs/>
          <w:szCs w:val="24"/>
          <w:lang w:val="pt-BR"/>
        </w:rPr>
        <w:t xml:space="preserve"> </w:t>
      </w:r>
      <w:proofErr w:type="spellStart"/>
      <w:r w:rsidRPr="00A26707">
        <w:rPr>
          <w:rFonts w:eastAsia="Times New Roman" w:cs="Arial"/>
          <w:i/>
          <w:iCs/>
          <w:szCs w:val="24"/>
          <w:lang w:val="pt-BR"/>
        </w:rPr>
        <w:t>College</w:t>
      </w:r>
      <w:proofErr w:type="spellEnd"/>
      <w:r w:rsidRPr="00A26707">
        <w:rPr>
          <w:rFonts w:eastAsia="Times New Roman" w:cs="Arial"/>
          <w:i/>
          <w:iCs/>
          <w:szCs w:val="24"/>
          <w:lang w:val="pt-BR"/>
        </w:rPr>
        <w:t xml:space="preserve"> Reading </w:t>
      </w:r>
      <w:proofErr w:type="spellStart"/>
      <w:r w:rsidRPr="00A26707">
        <w:rPr>
          <w:rFonts w:eastAsia="Times New Roman" w:cs="Arial"/>
          <w:i/>
          <w:iCs/>
          <w:szCs w:val="24"/>
          <w:lang w:val="pt-BR"/>
        </w:rPr>
        <w:t>and</w:t>
      </w:r>
      <w:proofErr w:type="spellEnd"/>
      <w:r w:rsidRPr="00A26707">
        <w:rPr>
          <w:rFonts w:eastAsia="Times New Roman" w:cs="Arial"/>
          <w:i/>
          <w:iCs/>
          <w:szCs w:val="24"/>
          <w:lang w:val="pt-BR"/>
        </w:rPr>
        <w:t xml:space="preserve"> Learning</w:t>
      </w:r>
      <w:r w:rsidRPr="00AC3392">
        <w:rPr>
          <w:rFonts w:eastAsia="Times New Roman" w:cs="Arial"/>
          <w:szCs w:val="24"/>
          <w:lang w:val="pt-BR"/>
        </w:rPr>
        <w:t>, v. 46, n. 1, p. 16-41, 2016.</w:t>
      </w:r>
    </w:p>
    <w:p w14:paraId="329128D8"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rPr>
        <w:t xml:space="preserve">CRESWELL, John W.; CRESWELL, J. David. </w:t>
      </w:r>
      <w:r w:rsidRPr="00AC3392">
        <w:rPr>
          <w:rFonts w:eastAsia="Times New Roman" w:cs="Arial"/>
          <w:i/>
          <w:szCs w:val="24"/>
          <w:lang w:val="pt-BR"/>
        </w:rPr>
        <w:t>Projeto de pesquisa</w:t>
      </w:r>
      <w:r w:rsidRPr="00AC3392">
        <w:rPr>
          <w:rFonts w:eastAsia="Times New Roman" w:cs="Arial"/>
          <w:szCs w:val="24"/>
          <w:lang w:val="pt-BR"/>
        </w:rPr>
        <w:t xml:space="preserve">: Métodos qualitativo, quantitativo e misto. </w:t>
      </w:r>
      <w:r w:rsidRPr="00AC3392">
        <w:rPr>
          <w:rFonts w:eastAsia="Times New Roman" w:cs="Arial"/>
          <w:szCs w:val="24"/>
        </w:rPr>
        <w:t xml:space="preserve">Penso Editora, 2021.Creswell, J. W., &amp; Creswell, J. D. (2021). </w:t>
      </w:r>
      <w:r w:rsidRPr="00AC3392">
        <w:rPr>
          <w:rFonts w:eastAsia="Times New Roman" w:cs="Arial"/>
          <w:i/>
          <w:szCs w:val="24"/>
        </w:rPr>
        <w:t xml:space="preserve">Research design: Qualitative, quantitative, and mixed methods </w:t>
      </w:r>
      <w:proofErr w:type="gramStart"/>
      <w:r w:rsidRPr="00AC3392">
        <w:rPr>
          <w:rFonts w:eastAsia="Times New Roman" w:cs="Arial"/>
          <w:i/>
          <w:szCs w:val="24"/>
        </w:rPr>
        <w:t>approaches</w:t>
      </w:r>
      <w:proofErr w:type="gramEnd"/>
      <w:r w:rsidRPr="00AC3392">
        <w:rPr>
          <w:rFonts w:eastAsia="Times New Roman" w:cs="Arial"/>
          <w:szCs w:val="24"/>
        </w:rPr>
        <w:t xml:space="preserve"> (5th ed.). </w:t>
      </w:r>
      <w:proofErr w:type="spellStart"/>
      <w:r w:rsidRPr="00AC3392">
        <w:rPr>
          <w:rFonts w:eastAsia="Times New Roman" w:cs="Arial"/>
          <w:szCs w:val="24"/>
          <w:lang w:val="pt-BR"/>
        </w:rPr>
        <w:t>Sage</w:t>
      </w:r>
      <w:proofErr w:type="spellEnd"/>
      <w:r w:rsidRPr="00AC3392">
        <w:rPr>
          <w:rFonts w:eastAsia="Times New Roman" w:cs="Arial"/>
          <w:szCs w:val="24"/>
          <w:lang w:val="pt-BR"/>
        </w:rPr>
        <w:t>.</w:t>
      </w:r>
    </w:p>
    <w:p w14:paraId="7FFE0CF5" w14:textId="77777777" w:rsidR="00A26707" w:rsidRDefault="00A26707" w:rsidP="00AC3392">
      <w:pPr>
        <w:tabs>
          <w:tab w:val="left" w:pos="720"/>
        </w:tabs>
        <w:spacing w:before="200" w:after="120"/>
        <w:rPr>
          <w:rFonts w:eastAsia="Times New Roman" w:cs="Arial"/>
          <w:szCs w:val="24"/>
          <w:lang w:val="pt-BR"/>
        </w:rPr>
      </w:pPr>
      <w:r w:rsidRPr="00A26707">
        <w:rPr>
          <w:rFonts w:eastAsia="Times New Roman" w:cs="Arial"/>
          <w:szCs w:val="24"/>
          <w:lang w:val="pt-BR"/>
        </w:rPr>
        <w:t xml:space="preserve">SILVA, Murilo Gabriel et al. Monitoria em tempos de pandemia: lições e práticas de professores e monitores no curso de graduação em administração em uma universidade pública. </w:t>
      </w:r>
      <w:r w:rsidRPr="00A26707">
        <w:rPr>
          <w:rFonts w:eastAsia="Times New Roman" w:cs="Arial"/>
          <w:i/>
          <w:iCs/>
          <w:szCs w:val="24"/>
          <w:lang w:val="pt-BR"/>
        </w:rPr>
        <w:t>Revista Gestão Universitária na América Latina-GUAL</w:t>
      </w:r>
      <w:r w:rsidRPr="00A26707">
        <w:rPr>
          <w:rFonts w:eastAsia="Times New Roman" w:cs="Arial"/>
          <w:szCs w:val="24"/>
          <w:lang w:val="pt-BR"/>
        </w:rPr>
        <w:t xml:space="preserve">, p. 133-157, 2022. </w:t>
      </w:r>
    </w:p>
    <w:p w14:paraId="662895F3" w14:textId="6F934655"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FRISON, Lourdes Maria </w:t>
      </w:r>
      <w:proofErr w:type="spellStart"/>
      <w:r w:rsidRPr="00AC3392">
        <w:rPr>
          <w:rFonts w:eastAsia="Times New Roman" w:cs="Arial"/>
          <w:szCs w:val="24"/>
          <w:lang w:val="pt-BR"/>
        </w:rPr>
        <w:t>Bragagnolo</w:t>
      </w:r>
      <w:proofErr w:type="spellEnd"/>
      <w:r w:rsidRPr="00AC3392">
        <w:rPr>
          <w:rFonts w:eastAsia="Times New Roman" w:cs="Arial"/>
          <w:szCs w:val="24"/>
          <w:lang w:val="pt-BR"/>
        </w:rPr>
        <w:t xml:space="preserve">. Monitoria: uma modalidade de ensino que potencializa a aprendizagem colaborativa e autorregulada. </w:t>
      </w:r>
      <w:proofErr w:type="spellStart"/>
      <w:proofErr w:type="gramStart"/>
      <w:r w:rsidRPr="00AC3392">
        <w:rPr>
          <w:rFonts w:eastAsia="Times New Roman" w:cs="Arial"/>
          <w:i/>
          <w:szCs w:val="24"/>
          <w:lang w:val="pt-BR"/>
        </w:rPr>
        <w:t>Pro-posições</w:t>
      </w:r>
      <w:proofErr w:type="spellEnd"/>
      <w:proofErr w:type="gramEnd"/>
      <w:r w:rsidRPr="00AC3392">
        <w:rPr>
          <w:rFonts w:eastAsia="Times New Roman" w:cs="Arial"/>
          <w:szCs w:val="24"/>
          <w:lang w:val="pt-BR"/>
        </w:rPr>
        <w:t>, v. 27, n. 1, p. 133-153, 2016.</w:t>
      </w:r>
    </w:p>
    <w:p w14:paraId="7D10C272"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GONÇALVES, Mariana Fiuza et al. A importância da monitoria acadêmica no ensino superior. </w:t>
      </w:r>
      <w:r w:rsidRPr="00A26707">
        <w:rPr>
          <w:rFonts w:eastAsia="Times New Roman" w:cs="Arial"/>
          <w:i/>
          <w:iCs/>
          <w:szCs w:val="24"/>
          <w:lang w:val="pt-BR"/>
        </w:rPr>
        <w:t xml:space="preserve">Práticas Educativas, Memórias e Oralidades – Rev. </w:t>
      </w:r>
      <w:proofErr w:type="spellStart"/>
      <w:r w:rsidRPr="00A26707">
        <w:rPr>
          <w:rFonts w:eastAsia="Times New Roman" w:cs="Arial"/>
          <w:i/>
          <w:iCs/>
          <w:szCs w:val="24"/>
          <w:lang w:val="pt-BR"/>
        </w:rPr>
        <w:t>Pemo</w:t>
      </w:r>
      <w:proofErr w:type="spellEnd"/>
      <w:r w:rsidRPr="00AC3392">
        <w:rPr>
          <w:rFonts w:eastAsia="Times New Roman" w:cs="Arial"/>
          <w:szCs w:val="24"/>
          <w:lang w:val="pt-BR"/>
        </w:rPr>
        <w:t>, v. 3, n. 1, p. e313757, 2021.</w:t>
      </w:r>
    </w:p>
    <w:p w14:paraId="070090F8" w14:textId="42B032F8" w:rsidR="00AC3392" w:rsidRPr="00014CBD" w:rsidRDefault="00AC3392" w:rsidP="00AC3392">
      <w:pPr>
        <w:tabs>
          <w:tab w:val="left" w:pos="720"/>
        </w:tabs>
        <w:spacing w:before="200" w:after="120"/>
        <w:rPr>
          <w:rFonts w:eastAsia="Times New Roman" w:cs="Arial"/>
          <w:szCs w:val="24"/>
          <w:lang w:val="pt-BR"/>
        </w:rPr>
      </w:pPr>
      <w:r w:rsidRPr="00AC3392">
        <w:rPr>
          <w:rFonts w:eastAsia="Times New Roman" w:cs="Arial"/>
          <w:szCs w:val="24"/>
        </w:rPr>
        <w:t xml:space="preserve">HAIR, Joseph F. et al. </w:t>
      </w:r>
      <w:r w:rsidRPr="00AC3392">
        <w:rPr>
          <w:rFonts w:eastAsia="Times New Roman" w:cs="Arial"/>
          <w:i/>
          <w:szCs w:val="24"/>
          <w:lang w:val="pt-BR"/>
        </w:rPr>
        <w:t>Análise multivariada de dados</w:t>
      </w:r>
      <w:r w:rsidRPr="00AC3392">
        <w:rPr>
          <w:rFonts w:eastAsia="Times New Roman" w:cs="Arial"/>
          <w:szCs w:val="24"/>
          <w:lang w:val="pt-BR"/>
        </w:rPr>
        <w:t>. Porto Alegre: Bookman Editora, 2009.</w:t>
      </w:r>
    </w:p>
    <w:p w14:paraId="3BC62FD1"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INEP – Instituto Nacional de Estudos e Pesquisas Educacionais Anísio Teixeira. </w:t>
      </w:r>
      <w:r w:rsidRPr="00A26707">
        <w:rPr>
          <w:rFonts w:eastAsia="Times New Roman" w:cs="Arial"/>
          <w:i/>
          <w:iCs/>
          <w:szCs w:val="24"/>
          <w:lang w:val="pt-BR"/>
        </w:rPr>
        <w:t>Censo da Educação Superior 2023</w:t>
      </w:r>
      <w:r w:rsidRPr="00AC3392">
        <w:rPr>
          <w:rFonts w:eastAsia="Times New Roman" w:cs="Arial"/>
          <w:szCs w:val="24"/>
          <w:lang w:val="pt-BR"/>
        </w:rPr>
        <w:t>. Brasília: Inep, 2024.</w:t>
      </w:r>
    </w:p>
    <w:p w14:paraId="5A41873A" w14:textId="352187C3"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INEP – Instituto Nacional de Estudos e Pesquisas Educacionais Anísio Teixeira. </w:t>
      </w:r>
      <w:r w:rsidRPr="00A26707">
        <w:rPr>
          <w:rFonts w:eastAsia="Times New Roman" w:cs="Arial"/>
          <w:i/>
          <w:iCs/>
          <w:szCs w:val="24"/>
          <w:lang w:val="pt-BR"/>
        </w:rPr>
        <w:t>Relatório ENADE 2019</w:t>
      </w:r>
      <w:r w:rsidRPr="00AC3392">
        <w:rPr>
          <w:rFonts w:eastAsia="Times New Roman" w:cs="Arial"/>
          <w:szCs w:val="24"/>
          <w:lang w:val="pt-BR"/>
        </w:rPr>
        <w:t>. Brasília: Inep, 2019.</w:t>
      </w:r>
    </w:p>
    <w:p w14:paraId="1EED9589"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JAMOVI PROJECT. </w:t>
      </w:r>
      <w:proofErr w:type="spellStart"/>
      <w:r w:rsidRPr="00AC3392">
        <w:rPr>
          <w:rFonts w:eastAsia="Times New Roman" w:cs="Arial"/>
          <w:i/>
          <w:szCs w:val="24"/>
          <w:lang w:val="pt-BR"/>
        </w:rPr>
        <w:t>jamovi</w:t>
      </w:r>
      <w:proofErr w:type="spellEnd"/>
      <w:r w:rsidRPr="00AC3392">
        <w:rPr>
          <w:rFonts w:eastAsia="Times New Roman" w:cs="Arial"/>
          <w:i/>
          <w:szCs w:val="24"/>
          <w:lang w:val="pt-BR"/>
        </w:rPr>
        <w:t xml:space="preserve"> (Versão 2.6)</w:t>
      </w:r>
      <w:r w:rsidRPr="00AC3392">
        <w:rPr>
          <w:rFonts w:eastAsia="Times New Roman" w:cs="Arial"/>
          <w:szCs w:val="24"/>
          <w:lang w:val="pt-BR"/>
        </w:rPr>
        <w:t xml:space="preserve"> [software]. Disponível em: https://www.jamovi.org. Acesso em: 25 ago. 2025.</w:t>
      </w:r>
    </w:p>
    <w:p w14:paraId="1B8E7DF7"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rPr>
        <w:lastRenderedPageBreak/>
        <w:t xml:space="preserve">MIRZA, Denae; HAUSWIRTH, Matthias; ZELLWEGER, Maja; LITTMANN, Hannes. Undergraduate Teaching Assistants in Computer Science: a systematic literature review. </w:t>
      </w:r>
      <w:r w:rsidRPr="00A26707">
        <w:rPr>
          <w:rFonts w:eastAsia="Times New Roman" w:cs="Arial"/>
          <w:i/>
          <w:iCs/>
          <w:szCs w:val="24"/>
        </w:rPr>
        <w:t>In</w:t>
      </w:r>
      <w:r w:rsidRPr="00AC3392">
        <w:rPr>
          <w:rFonts w:eastAsia="Times New Roman" w:cs="Arial"/>
          <w:szCs w:val="24"/>
        </w:rPr>
        <w:t xml:space="preserve">: Proceedings of the 2019 ACM Conference on International Computing Education Research. </w:t>
      </w:r>
      <w:r w:rsidRPr="00AC3392">
        <w:rPr>
          <w:rFonts w:eastAsia="Times New Roman" w:cs="Arial"/>
          <w:szCs w:val="24"/>
          <w:lang w:val="pt-BR"/>
        </w:rPr>
        <w:t>Toronto: ACM, 2019. p. 31-40.</w:t>
      </w:r>
    </w:p>
    <w:p w14:paraId="4483345D"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MOREIRA, Ana Maria de Albuquerque. </w:t>
      </w:r>
      <w:r w:rsidRPr="00AC3392">
        <w:rPr>
          <w:rFonts w:eastAsia="Times New Roman" w:cs="Arial"/>
          <w:i/>
          <w:szCs w:val="24"/>
          <w:lang w:val="pt-BR"/>
        </w:rPr>
        <w:t>Fatores institucionais e desempenho acadêmico no ENADE:</w:t>
      </w:r>
      <w:r w:rsidRPr="00AC3392">
        <w:rPr>
          <w:rFonts w:eastAsia="Times New Roman" w:cs="Arial"/>
          <w:szCs w:val="24"/>
          <w:lang w:val="pt-BR"/>
        </w:rPr>
        <w:t xml:space="preserve"> um estudo sobre os cursos de Biologia, Engenharia Civil, História e Pedagogia. 2010. 251 f. Tese (Doutorado em </w:t>
      </w:r>
      <w:proofErr w:type="gramStart"/>
      <w:r w:rsidRPr="00AC3392">
        <w:rPr>
          <w:rFonts w:eastAsia="Times New Roman" w:cs="Arial"/>
          <w:szCs w:val="24"/>
          <w:lang w:val="pt-BR"/>
        </w:rPr>
        <w:t>Educação)-</w:t>
      </w:r>
      <w:proofErr w:type="gramEnd"/>
      <w:r w:rsidRPr="00AC3392">
        <w:rPr>
          <w:rFonts w:eastAsia="Times New Roman" w:cs="Arial"/>
          <w:szCs w:val="24"/>
          <w:lang w:val="pt-BR"/>
        </w:rPr>
        <w:t>Universidade de Brasília, Brasília, 2010.</w:t>
      </w:r>
    </w:p>
    <w:p w14:paraId="787CA022" w14:textId="77777777"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lang w:val="pt-BR"/>
        </w:rPr>
        <w:t xml:space="preserve">NUNES, João Batista Carvalho. </w:t>
      </w:r>
      <w:r w:rsidRPr="00AC3392">
        <w:rPr>
          <w:rFonts w:eastAsia="Times New Roman" w:cs="Arial"/>
          <w:i/>
          <w:szCs w:val="24"/>
          <w:lang w:val="pt-BR"/>
        </w:rPr>
        <w:t>Monitoria acadêmica:</w:t>
      </w:r>
      <w:r w:rsidRPr="00AC3392">
        <w:rPr>
          <w:rFonts w:eastAsia="Times New Roman" w:cs="Arial"/>
          <w:szCs w:val="24"/>
          <w:lang w:val="pt-BR"/>
        </w:rPr>
        <w:t xml:space="preserve"> espaço de formação. A monitoria como espaço de iniciação à docência: possibilidades e trajetórias. Natal: EDUFRN, p. 45-58, 2007.</w:t>
      </w:r>
    </w:p>
    <w:p w14:paraId="1CC58B55" w14:textId="77777777" w:rsidR="00AC3392" w:rsidRDefault="00AC3392" w:rsidP="00AC3392">
      <w:pPr>
        <w:tabs>
          <w:tab w:val="left" w:pos="720"/>
        </w:tabs>
        <w:spacing w:before="200" w:after="120"/>
        <w:rPr>
          <w:rFonts w:eastAsia="Times New Roman" w:cs="Arial"/>
          <w:szCs w:val="24"/>
        </w:rPr>
      </w:pPr>
      <w:r w:rsidRPr="00AC3392">
        <w:rPr>
          <w:rFonts w:eastAsia="Times New Roman" w:cs="Arial"/>
          <w:szCs w:val="24"/>
          <w:lang w:val="pt-BR"/>
        </w:rPr>
        <w:t xml:space="preserve">OLIVEIRA, Salmo Azambuja; CANEGUIM, Breno Henrique. Percepções da monitoria acadêmica no ensino de Histologia Básica e Comparada. </w:t>
      </w:r>
      <w:proofErr w:type="spellStart"/>
      <w:r w:rsidRPr="00AC3392">
        <w:rPr>
          <w:rFonts w:eastAsia="Times New Roman" w:cs="Arial"/>
          <w:i/>
          <w:szCs w:val="24"/>
        </w:rPr>
        <w:t>Revista</w:t>
      </w:r>
      <w:proofErr w:type="spellEnd"/>
      <w:r w:rsidRPr="00AC3392">
        <w:rPr>
          <w:rFonts w:eastAsia="Times New Roman" w:cs="Arial"/>
          <w:i/>
          <w:szCs w:val="24"/>
        </w:rPr>
        <w:t xml:space="preserve"> Internacional de </w:t>
      </w:r>
      <w:proofErr w:type="spellStart"/>
      <w:r w:rsidRPr="00AC3392">
        <w:rPr>
          <w:rFonts w:eastAsia="Times New Roman" w:cs="Arial"/>
          <w:i/>
          <w:szCs w:val="24"/>
        </w:rPr>
        <w:t>Educação</w:t>
      </w:r>
      <w:proofErr w:type="spellEnd"/>
      <w:r w:rsidRPr="00AC3392">
        <w:rPr>
          <w:rFonts w:eastAsia="Times New Roman" w:cs="Arial"/>
          <w:i/>
          <w:szCs w:val="24"/>
        </w:rPr>
        <w:t xml:space="preserve"> Superior</w:t>
      </w:r>
      <w:r w:rsidRPr="00AC3392">
        <w:rPr>
          <w:rFonts w:eastAsia="Times New Roman" w:cs="Arial"/>
          <w:szCs w:val="24"/>
        </w:rPr>
        <w:t>, v. 11, n. 1, p. 16, 2025.</w:t>
      </w:r>
    </w:p>
    <w:p w14:paraId="39BBC760" w14:textId="4742B5D6" w:rsidR="00AC3392" w:rsidRPr="00AC3392" w:rsidRDefault="00AC3392" w:rsidP="00AC3392">
      <w:pPr>
        <w:tabs>
          <w:tab w:val="left" w:pos="720"/>
        </w:tabs>
        <w:spacing w:before="200" w:after="120"/>
        <w:rPr>
          <w:rFonts w:eastAsia="Times New Roman" w:cs="Arial"/>
          <w:szCs w:val="24"/>
          <w:lang w:val="pt-BR"/>
        </w:rPr>
      </w:pPr>
      <w:r w:rsidRPr="00AC3392">
        <w:rPr>
          <w:rFonts w:eastAsia="Times New Roman" w:cs="Arial"/>
          <w:szCs w:val="24"/>
        </w:rPr>
        <w:t xml:space="preserve">TOPPING, Keith. The effectiveness of peer tutoring in further and higher education: a typology and review of </w:t>
      </w:r>
      <w:proofErr w:type="gramStart"/>
      <w:r w:rsidRPr="00AC3392">
        <w:rPr>
          <w:rFonts w:eastAsia="Times New Roman" w:cs="Arial"/>
          <w:szCs w:val="24"/>
        </w:rPr>
        <w:t>the literature</w:t>
      </w:r>
      <w:proofErr w:type="gramEnd"/>
      <w:r w:rsidRPr="00AC3392">
        <w:rPr>
          <w:rFonts w:eastAsia="Times New Roman" w:cs="Arial"/>
          <w:szCs w:val="24"/>
        </w:rPr>
        <w:t xml:space="preserve">. </w:t>
      </w:r>
      <w:proofErr w:type="spellStart"/>
      <w:r w:rsidRPr="00A26707">
        <w:rPr>
          <w:rFonts w:eastAsia="Times New Roman" w:cs="Arial"/>
          <w:i/>
          <w:iCs/>
          <w:szCs w:val="24"/>
          <w:lang w:val="pt-BR"/>
        </w:rPr>
        <w:t>Higher</w:t>
      </w:r>
      <w:proofErr w:type="spellEnd"/>
      <w:r w:rsidRPr="00A26707">
        <w:rPr>
          <w:rFonts w:eastAsia="Times New Roman" w:cs="Arial"/>
          <w:i/>
          <w:iCs/>
          <w:szCs w:val="24"/>
          <w:lang w:val="pt-BR"/>
        </w:rPr>
        <w:t xml:space="preserve"> </w:t>
      </w:r>
      <w:proofErr w:type="spellStart"/>
      <w:r w:rsidRPr="00A26707">
        <w:rPr>
          <w:rFonts w:eastAsia="Times New Roman" w:cs="Arial"/>
          <w:i/>
          <w:iCs/>
          <w:szCs w:val="24"/>
          <w:lang w:val="pt-BR"/>
        </w:rPr>
        <w:t>Education</w:t>
      </w:r>
      <w:proofErr w:type="spellEnd"/>
      <w:r w:rsidRPr="00AC3392">
        <w:rPr>
          <w:rFonts w:eastAsia="Times New Roman" w:cs="Arial"/>
          <w:szCs w:val="24"/>
          <w:lang w:val="pt-BR"/>
        </w:rPr>
        <w:t>, v. 32, p. 321-345, 1996.</w:t>
      </w:r>
    </w:p>
    <w:p w14:paraId="59F614C3" w14:textId="77777777" w:rsidR="00704A45" w:rsidRDefault="00704A45" w:rsidP="00AC3392">
      <w:pPr>
        <w:tabs>
          <w:tab w:val="left" w:pos="720"/>
        </w:tabs>
        <w:spacing w:before="200" w:after="120"/>
        <w:rPr>
          <w:rFonts w:eastAsia="Times New Roman" w:cs="Arial"/>
          <w:szCs w:val="24"/>
          <w:lang w:val="pt-BR"/>
        </w:rPr>
      </w:pPr>
      <w:r w:rsidRPr="00704A45">
        <w:rPr>
          <w:rFonts w:eastAsia="Times New Roman" w:cs="Arial"/>
          <w:szCs w:val="24"/>
          <w:lang w:val="pt-BR"/>
        </w:rPr>
        <w:t xml:space="preserve">VICENZI, Cristina </w:t>
      </w:r>
      <w:proofErr w:type="spellStart"/>
      <w:r w:rsidRPr="00704A45">
        <w:rPr>
          <w:rFonts w:eastAsia="Times New Roman" w:cs="Arial"/>
          <w:szCs w:val="24"/>
          <w:lang w:val="pt-BR"/>
        </w:rPr>
        <w:t>Balensiefer</w:t>
      </w:r>
      <w:proofErr w:type="spellEnd"/>
      <w:r w:rsidRPr="00704A45">
        <w:rPr>
          <w:rFonts w:eastAsia="Times New Roman" w:cs="Arial"/>
          <w:szCs w:val="24"/>
          <w:lang w:val="pt-BR"/>
        </w:rPr>
        <w:t xml:space="preserve"> et al. A monitoria e seu papel no desenvolvimento da formação acadêmica. </w:t>
      </w:r>
      <w:r w:rsidRPr="00704A45">
        <w:rPr>
          <w:rFonts w:eastAsia="Times New Roman" w:cs="Arial"/>
          <w:i/>
          <w:iCs/>
          <w:szCs w:val="24"/>
          <w:lang w:val="pt-BR"/>
        </w:rPr>
        <w:t>Revista Ciência em Extensão</w:t>
      </w:r>
      <w:r w:rsidRPr="00704A45">
        <w:rPr>
          <w:rFonts w:eastAsia="Times New Roman" w:cs="Arial"/>
          <w:szCs w:val="24"/>
          <w:lang w:val="pt-BR"/>
        </w:rPr>
        <w:t>, v. 12, n. 3, p. 88-94, 2016.</w:t>
      </w:r>
    </w:p>
    <w:p w14:paraId="6F85BB2F" w14:textId="54136542" w:rsidR="00AC3392" w:rsidRPr="00AC3392" w:rsidRDefault="00AC3392" w:rsidP="00AC3392">
      <w:pPr>
        <w:tabs>
          <w:tab w:val="left" w:pos="720"/>
        </w:tabs>
        <w:spacing w:before="200" w:after="120"/>
        <w:rPr>
          <w:rFonts w:eastAsia="Times New Roman" w:cs="Arial"/>
          <w:szCs w:val="24"/>
        </w:rPr>
      </w:pPr>
      <w:r w:rsidRPr="00014CBD">
        <w:rPr>
          <w:rFonts w:eastAsia="Times New Roman" w:cs="Arial"/>
          <w:szCs w:val="24"/>
          <w:lang w:val="pt-BR"/>
        </w:rPr>
        <w:t xml:space="preserve">WEIDERT, Janet M. et al. </w:t>
      </w:r>
      <w:r w:rsidRPr="00AC3392">
        <w:rPr>
          <w:rFonts w:eastAsia="Times New Roman" w:cs="Arial"/>
          <w:szCs w:val="24"/>
        </w:rPr>
        <w:t xml:space="preserve">A survey of graduate and undergraduate teaching assistants. </w:t>
      </w:r>
      <w:r w:rsidRPr="00704A45">
        <w:rPr>
          <w:rFonts w:eastAsia="Times New Roman" w:cs="Arial"/>
          <w:i/>
          <w:iCs/>
          <w:szCs w:val="24"/>
        </w:rPr>
        <w:t>College Teaching</w:t>
      </w:r>
      <w:r w:rsidRPr="00AC3392">
        <w:rPr>
          <w:rFonts w:eastAsia="Times New Roman" w:cs="Arial"/>
          <w:szCs w:val="24"/>
        </w:rPr>
        <w:t>, v. 60, n. 3, p. 95-103, 2012.</w:t>
      </w:r>
    </w:p>
    <w:p w14:paraId="04742385" w14:textId="77777777" w:rsidR="00AC3392" w:rsidRPr="00AC3392" w:rsidRDefault="00AC3392" w:rsidP="00AC3392">
      <w:pPr>
        <w:jc w:val="both"/>
        <w:rPr>
          <w:rFonts w:cs="Arial"/>
          <w:szCs w:val="24"/>
        </w:rPr>
      </w:pPr>
    </w:p>
    <w:sectPr w:rsidR="00AC3392" w:rsidRPr="00AC3392" w:rsidSect="005753F9">
      <w:headerReference w:type="default" r:id="rId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E83C" w14:textId="77777777" w:rsidR="008D36DB" w:rsidRDefault="008D36DB" w:rsidP="005753F9">
      <w:pPr>
        <w:spacing w:after="0" w:line="240" w:lineRule="auto"/>
      </w:pPr>
      <w:r>
        <w:separator/>
      </w:r>
    </w:p>
  </w:endnote>
  <w:endnote w:type="continuationSeparator" w:id="0">
    <w:p w14:paraId="026B69FB" w14:textId="77777777" w:rsidR="008D36DB" w:rsidRDefault="008D36DB"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6CE7" w14:textId="77777777" w:rsidR="008D36DB" w:rsidRDefault="008D36DB" w:rsidP="005753F9">
      <w:pPr>
        <w:spacing w:after="0" w:line="240" w:lineRule="auto"/>
      </w:pPr>
      <w:r>
        <w:separator/>
      </w:r>
    </w:p>
  </w:footnote>
  <w:footnote w:type="continuationSeparator" w:id="0">
    <w:p w14:paraId="520B57E5" w14:textId="77777777" w:rsidR="008D36DB" w:rsidRDefault="008D36DB"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1805917">
    <w:abstractNumId w:val="8"/>
  </w:num>
  <w:num w:numId="2" w16cid:durableId="1856992328">
    <w:abstractNumId w:val="6"/>
  </w:num>
  <w:num w:numId="3" w16cid:durableId="1768890427">
    <w:abstractNumId w:val="5"/>
  </w:num>
  <w:num w:numId="4" w16cid:durableId="876969814">
    <w:abstractNumId w:val="4"/>
  </w:num>
  <w:num w:numId="5" w16cid:durableId="1685747259">
    <w:abstractNumId w:val="7"/>
  </w:num>
  <w:num w:numId="6" w16cid:durableId="1096101331">
    <w:abstractNumId w:val="3"/>
  </w:num>
  <w:num w:numId="7" w16cid:durableId="1921744424">
    <w:abstractNumId w:val="2"/>
  </w:num>
  <w:num w:numId="8" w16cid:durableId="611475506">
    <w:abstractNumId w:val="1"/>
  </w:num>
  <w:num w:numId="9" w16cid:durableId="1933512377">
    <w:abstractNumId w:val="0"/>
  </w:num>
  <w:num w:numId="10" w16cid:durableId="87165975">
    <w:abstractNumId w:val="9"/>
  </w:num>
  <w:num w:numId="11" w16cid:durableId="1327905942">
    <w:abstractNumId w:val="12"/>
  </w:num>
  <w:num w:numId="12" w16cid:durableId="817307070">
    <w:abstractNumId w:val="11"/>
  </w:num>
  <w:num w:numId="13" w16cid:durableId="1194616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CBD"/>
    <w:rsid w:val="000311EE"/>
    <w:rsid w:val="00034616"/>
    <w:rsid w:val="0006063C"/>
    <w:rsid w:val="00061AD8"/>
    <w:rsid w:val="000C5BFD"/>
    <w:rsid w:val="0015074B"/>
    <w:rsid w:val="00181D9C"/>
    <w:rsid w:val="00247E43"/>
    <w:rsid w:val="0029639D"/>
    <w:rsid w:val="002C6613"/>
    <w:rsid w:val="00326F90"/>
    <w:rsid w:val="003B66C3"/>
    <w:rsid w:val="004A4DB3"/>
    <w:rsid w:val="00572D56"/>
    <w:rsid w:val="005753F9"/>
    <w:rsid w:val="005865C4"/>
    <w:rsid w:val="005C43B0"/>
    <w:rsid w:val="006949C4"/>
    <w:rsid w:val="00694CA6"/>
    <w:rsid w:val="00704A45"/>
    <w:rsid w:val="008D36DB"/>
    <w:rsid w:val="008D3A40"/>
    <w:rsid w:val="008F50BC"/>
    <w:rsid w:val="00977C30"/>
    <w:rsid w:val="00A26707"/>
    <w:rsid w:val="00A710EE"/>
    <w:rsid w:val="00AA1D8D"/>
    <w:rsid w:val="00AC3392"/>
    <w:rsid w:val="00AC3EC8"/>
    <w:rsid w:val="00B47730"/>
    <w:rsid w:val="00BF76E2"/>
    <w:rsid w:val="00C72A84"/>
    <w:rsid w:val="00C861AE"/>
    <w:rsid w:val="00CB0664"/>
    <w:rsid w:val="00D70619"/>
    <w:rsid w:val="00DA0933"/>
    <w:rsid w:val="00DE4B6B"/>
    <w:rsid w:val="00E461A6"/>
    <w:rsid w:val="00E648E8"/>
    <w:rsid w:val="00F34C19"/>
    <w:rsid w:val="00F430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BD"/>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5540</Words>
  <Characters>29920</Characters>
  <Application>Microsoft Office Word</Application>
  <DocSecurity>0</DocSecurity>
  <Lines>249</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Rômulo Alves</cp:lastModifiedBy>
  <cp:revision>2</cp:revision>
  <cp:lastPrinted>2025-05-08T18:58:00Z</cp:lastPrinted>
  <dcterms:created xsi:type="dcterms:W3CDTF">2025-09-16T02:44:00Z</dcterms:created>
  <dcterms:modified xsi:type="dcterms:W3CDTF">2025-09-16T02:44:00Z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