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73384" w14:textId="77777777" w:rsidR="00930701" w:rsidRDefault="00930701">
      <w:pPr>
        <w:sectPr w:rsidR="00930701">
          <w:headerReference w:type="default" r:id="rId8"/>
          <w:footerReference w:type="default" r:id="rId9"/>
          <w:type w:val="continuous"/>
          <w:pgSz w:w="11906" w:h="16838"/>
          <w:pgMar w:top="1418" w:right="1418" w:bottom="1418" w:left="1418" w:header="709" w:footer="709" w:gutter="0"/>
          <w:cols w:space="720"/>
          <w:formProt w:val="0"/>
          <w:docGrid w:linePitch="100" w:charSpace="4096"/>
        </w:sectPr>
      </w:pPr>
    </w:p>
    <w:p w14:paraId="5BA8CA50" w14:textId="62D63B98" w:rsidR="00930701" w:rsidRDefault="00AF5569" w:rsidP="00AF5569">
      <w:pPr>
        <w:spacing w:after="0" w:line="360" w:lineRule="auto"/>
        <w:jc w:val="both"/>
        <w:rPr>
          <w:rFonts w:ascii="Arial" w:eastAsia="Arial" w:hAnsi="Arial" w:cs="Arial"/>
          <w:sz w:val="20"/>
          <w:szCs w:val="20"/>
        </w:rPr>
      </w:pPr>
      <w:r w:rsidRPr="00AF5569">
        <w:rPr>
          <w:rFonts w:ascii="Arial" w:eastAsia="Arial" w:hAnsi="Arial" w:cs="Arial"/>
          <w:b/>
          <w:noProof/>
          <w:sz w:val="24"/>
          <w:szCs w:val="24"/>
        </w:rPr>
        <w:t xml:space="preserve">Qualidade de vida e acesso aos serviços de saúde da população transgênero tocantinense: uma análise multidimensional por meio de questionário </w:t>
      </w:r>
      <w:r w:rsidR="00486485">
        <w:rPr>
          <w:rFonts w:ascii="Arial" w:eastAsia="Arial" w:hAnsi="Arial" w:cs="Arial"/>
          <w:sz w:val="24"/>
          <w:szCs w:val="24"/>
        </w:rPr>
        <w:t xml:space="preserve">                                          </w:t>
      </w:r>
    </w:p>
    <w:p w14:paraId="75663959" w14:textId="1A4626E9" w:rsidR="00930701" w:rsidRDefault="00486485" w:rsidP="00AF5569">
      <w:pPr>
        <w:spacing w:after="0" w:line="360" w:lineRule="auto"/>
        <w:jc w:val="center"/>
        <w:rPr>
          <w:rFonts w:ascii="Arial" w:eastAsia="Arial" w:hAnsi="Arial" w:cs="Arial"/>
          <w:sz w:val="24"/>
          <w:szCs w:val="24"/>
        </w:rPr>
      </w:pPr>
      <w:r>
        <w:rPr>
          <w:rFonts w:ascii="Arial" w:eastAsia="Arial" w:hAnsi="Arial" w:cs="Arial"/>
          <w:b/>
          <w:sz w:val="24"/>
          <w:szCs w:val="24"/>
        </w:rPr>
        <w:t>SILVA</w:t>
      </w:r>
      <w:r w:rsidR="00AF5569">
        <w:rPr>
          <w:rFonts w:ascii="Arial" w:eastAsia="Arial" w:hAnsi="Arial" w:cs="Arial"/>
          <w:sz w:val="24"/>
          <w:szCs w:val="24"/>
        </w:rPr>
        <w:t>, Heitor Donizete dos Santos</w:t>
      </w:r>
      <w:r>
        <w:rPr>
          <w:rStyle w:val="ncoradanotaderodap"/>
          <w:rFonts w:ascii="Arial" w:eastAsia="Arial" w:hAnsi="Arial" w:cs="Arial"/>
          <w:sz w:val="24"/>
          <w:szCs w:val="24"/>
        </w:rPr>
        <w:footnoteReference w:id="1"/>
      </w:r>
      <w:r>
        <w:rPr>
          <w:rFonts w:ascii="Arial" w:eastAsia="Arial" w:hAnsi="Arial" w:cs="Arial"/>
          <w:sz w:val="24"/>
          <w:szCs w:val="24"/>
        </w:rPr>
        <w:t xml:space="preserve">; </w:t>
      </w:r>
      <w:r w:rsidR="00AF5569">
        <w:rPr>
          <w:rFonts w:ascii="Arial" w:eastAsia="Arial" w:hAnsi="Arial" w:cs="Arial"/>
          <w:b/>
          <w:sz w:val="24"/>
          <w:szCs w:val="24"/>
        </w:rPr>
        <w:t>JESUS</w:t>
      </w:r>
      <w:r>
        <w:rPr>
          <w:rFonts w:ascii="Arial" w:eastAsia="Arial" w:hAnsi="Arial" w:cs="Arial"/>
          <w:sz w:val="24"/>
          <w:szCs w:val="24"/>
        </w:rPr>
        <w:t>, An</w:t>
      </w:r>
      <w:r w:rsidR="00AF5569">
        <w:rPr>
          <w:rFonts w:ascii="Arial" w:eastAsia="Arial" w:hAnsi="Arial" w:cs="Arial"/>
          <w:sz w:val="24"/>
          <w:szCs w:val="24"/>
        </w:rPr>
        <w:t>drielly</w:t>
      </w:r>
      <w:r>
        <w:rPr>
          <w:rFonts w:ascii="Arial" w:eastAsia="Arial" w:hAnsi="Arial" w:cs="Arial"/>
          <w:sz w:val="24"/>
          <w:szCs w:val="24"/>
        </w:rPr>
        <w:t xml:space="preserve"> </w:t>
      </w:r>
      <w:r w:rsidR="00AF5569">
        <w:rPr>
          <w:rFonts w:ascii="Arial" w:eastAsia="Arial" w:hAnsi="Arial" w:cs="Arial"/>
          <w:sz w:val="24"/>
          <w:szCs w:val="24"/>
        </w:rPr>
        <w:t>Gomes de</w:t>
      </w:r>
      <w:r>
        <w:rPr>
          <w:rStyle w:val="ncoradanotaderodap"/>
          <w:rFonts w:ascii="Arial" w:eastAsia="Arial" w:hAnsi="Arial" w:cs="Arial"/>
          <w:sz w:val="24"/>
          <w:szCs w:val="24"/>
        </w:rPr>
        <w:footnoteReference w:id="2"/>
      </w:r>
    </w:p>
    <w:p w14:paraId="6DB306D0" w14:textId="08A88EF0" w:rsidR="00930701" w:rsidRDefault="00486485">
      <w:pPr>
        <w:spacing w:after="0" w:line="360" w:lineRule="auto"/>
        <w:jc w:val="both"/>
        <w:rPr>
          <w:rFonts w:ascii="Arial" w:eastAsia="Arial" w:hAnsi="Arial" w:cs="Arial"/>
          <w:sz w:val="24"/>
          <w:szCs w:val="24"/>
        </w:rPr>
      </w:pPr>
      <w:r>
        <w:rPr>
          <w:rFonts w:ascii="Arial" w:eastAsia="Arial" w:hAnsi="Arial" w:cs="Arial"/>
          <w:sz w:val="20"/>
          <w:szCs w:val="20"/>
        </w:rPr>
        <w:t xml:space="preserve">                                                                 </w:t>
      </w:r>
    </w:p>
    <w:p w14:paraId="08194098" w14:textId="77777777" w:rsidR="00930701" w:rsidRDefault="00930701">
      <w:pPr>
        <w:spacing w:after="0" w:line="360" w:lineRule="auto"/>
        <w:jc w:val="both"/>
        <w:rPr>
          <w:rFonts w:ascii="Arial" w:eastAsia="Arial" w:hAnsi="Arial" w:cs="Arial"/>
          <w:sz w:val="24"/>
          <w:szCs w:val="24"/>
        </w:rPr>
      </w:pPr>
    </w:p>
    <w:p w14:paraId="4BCFB167" w14:textId="77777777" w:rsidR="00930701" w:rsidRDefault="00486485">
      <w:pPr>
        <w:widowControl w:val="0"/>
        <w:spacing w:after="0" w:line="360" w:lineRule="auto"/>
        <w:jc w:val="center"/>
        <w:rPr>
          <w:rFonts w:ascii="Arial" w:eastAsia="Arial" w:hAnsi="Arial" w:cs="Arial"/>
          <w:b/>
          <w:sz w:val="24"/>
          <w:szCs w:val="24"/>
        </w:rPr>
      </w:pPr>
      <w:r>
        <w:rPr>
          <w:rFonts w:ascii="Arial" w:eastAsia="Arial" w:hAnsi="Arial" w:cs="Arial"/>
          <w:b/>
          <w:sz w:val="24"/>
          <w:szCs w:val="24"/>
        </w:rPr>
        <w:t>RESUMO</w:t>
      </w:r>
    </w:p>
    <w:p w14:paraId="3A07759D" w14:textId="77777777" w:rsidR="00AF5569" w:rsidRDefault="00AF5569">
      <w:pPr>
        <w:widowControl w:val="0"/>
        <w:spacing w:after="0" w:line="360" w:lineRule="auto"/>
        <w:rPr>
          <w:rFonts w:ascii="Arial" w:eastAsia="Arial" w:hAnsi="Arial" w:cs="Arial"/>
          <w:sz w:val="24"/>
          <w:szCs w:val="24"/>
        </w:rPr>
      </w:pPr>
      <w:r w:rsidRPr="00AF5569">
        <w:rPr>
          <w:rFonts w:ascii="Arial" w:eastAsia="Arial" w:hAnsi="Arial" w:cs="Arial"/>
          <w:sz w:val="24"/>
          <w:szCs w:val="24"/>
        </w:rPr>
        <w:t xml:space="preserve">As populações transgênero, travesti e dissidentes de gênero binário fazem parte do grupo LGBTQIA+, mas possuem suas próprias demandas, inclusive no que tange ao acesso à saúde. O Tocantins possui uma comunidade expressiva, mas ainda nenhuma política pública ou ambulatório de saúde voltado para essa. Esse desamparo contempla um desconhecimento sobre as características epidemiológicas básicas, como o número de pessoas que se identificam como “trans” dentro do estado. O presente estudo visa, por meio de um questionário onde o WHOQOL-BREF foi adicionado de perguntas subjetivas, levantar dados básicos </w:t>
      </w:r>
      <w:r w:rsidRPr="00AF5569">
        <w:rPr>
          <w:rFonts w:ascii="Arial" w:eastAsia="Arial" w:hAnsi="Arial" w:cs="Arial"/>
          <w:sz w:val="24"/>
          <w:szCs w:val="24"/>
        </w:rPr>
        <w:lastRenderedPageBreak/>
        <w:t xml:space="preserve">da população e analisar sua qualidade de vida por meio dos domínios físico, psicológico, nível de independência, relações sociais, meio ambiente e crenças pessoa, e além disso, construir um panorama sobre suas experiências e necessidades dentro sistema público de saúde do estado. </w:t>
      </w:r>
    </w:p>
    <w:p w14:paraId="13764231" w14:textId="6BF77F13" w:rsidR="00930701" w:rsidRDefault="00486485">
      <w:pPr>
        <w:widowControl w:val="0"/>
        <w:spacing w:after="0" w:line="360" w:lineRule="auto"/>
        <w:rPr>
          <w:rFonts w:ascii="Arial" w:eastAsia="Arial" w:hAnsi="Arial" w:cs="Arial"/>
          <w:sz w:val="24"/>
          <w:szCs w:val="24"/>
        </w:rPr>
      </w:pPr>
      <w:r>
        <w:rPr>
          <w:rFonts w:ascii="Arial" w:eastAsia="Arial" w:hAnsi="Arial" w:cs="Arial"/>
          <w:b/>
          <w:sz w:val="24"/>
          <w:szCs w:val="24"/>
        </w:rPr>
        <w:t>Palavras-chave</w:t>
      </w:r>
      <w:r>
        <w:rPr>
          <w:rFonts w:ascii="Arial" w:eastAsia="Arial" w:hAnsi="Arial" w:cs="Arial"/>
          <w:sz w:val="24"/>
          <w:szCs w:val="24"/>
        </w:rPr>
        <w:t xml:space="preserve">: </w:t>
      </w:r>
      <w:r w:rsidR="00AF5569" w:rsidRPr="00AF5569">
        <w:rPr>
          <w:rFonts w:ascii="Arial" w:eastAsia="Arial" w:hAnsi="Arial" w:cs="Arial"/>
          <w:sz w:val="24"/>
          <w:szCs w:val="24"/>
        </w:rPr>
        <w:t>Transgêneros</w:t>
      </w:r>
      <w:r w:rsidR="00AF5569">
        <w:rPr>
          <w:rFonts w:ascii="Arial" w:eastAsia="Arial" w:hAnsi="Arial" w:cs="Arial"/>
          <w:sz w:val="24"/>
          <w:szCs w:val="24"/>
        </w:rPr>
        <w:t>.</w:t>
      </w:r>
      <w:r w:rsidR="00AF5569" w:rsidRPr="00AF5569">
        <w:rPr>
          <w:rFonts w:ascii="Arial" w:eastAsia="Arial" w:hAnsi="Arial" w:cs="Arial"/>
          <w:sz w:val="24"/>
          <w:szCs w:val="24"/>
        </w:rPr>
        <w:t xml:space="preserve"> </w:t>
      </w:r>
      <w:r w:rsidR="00AF5569">
        <w:rPr>
          <w:rFonts w:ascii="Arial" w:eastAsia="Arial" w:hAnsi="Arial" w:cs="Arial"/>
          <w:sz w:val="24"/>
          <w:szCs w:val="24"/>
        </w:rPr>
        <w:t>T</w:t>
      </w:r>
      <w:r w:rsidR="00AF5569" w:rsidRPr="00AF5569">
        <w:rPr>
          <w:rFonts w:ascii="Arial" w:eastAsia="Arial" w:hAnsi="Arial" w:cs="Arial"/>
          <w:sz w:val="24"/>
          <w:szCs w:val="24"/>
        </w:rPr>
        <w:t>ransição de gênero</w:t>
      </w:r>
      <w:r w:rsidR="00AF5569">
        <w:rPr>
          <w:rFonts w:ascii="Arial" w:eastAsia="Arial" w:hAnsi="Arial" w:cs="Arial"/>
          <w:sz w:val="24"/>
          <w:szCs w:val="24"/>
        </w:rPr>
        <w:t>.</w:t>
      </w:r>
      <w:r w:rsidR="00AF5569" w:rsidRPr="00AF5569">
        <w:rPr>
          <w:rFonts w:ascii="Arial" w:eastAsia="Arial" w:hAnsi="Arial" w:cs="Arial"/>
          <w:sz w:val="24"/>
          <w:szCs w:val="24"/>
        </w:rPr>
        <w:t xml:space="preserve"> </w:t>
      </w:r>
      <w:r w:rsidR="00AF5569">
        <w:rPr>
          <w:rFonts w:ascii="Arial" w:eastAsia="Arial" w:hAnsi="Arial" w:cs="Arial"/>
          <w:sz w:val="24"/>
          <w:szCs w:val="24"/>
        </w:rPr>
        <w:t>T</w:t>
      </w:r>
      <w:r w:rsidR="00AF5569" w:rsidRPr="00AF5569">
        <w:rPr>
          <w:rFonts w:ascii="Arial" w:eastAsia="Arial" w:hAnsi="Arial" w:cs="Arial"/>
          <w:sz w:val="24"/>
          <w:szCs w:val="24"/>
        </w:rPr>
        <w:t>ravestis</w:t>
      </w:r>
      <w:r w:rsidR="00AF5569">
        <w:rPr>
          <w:rFonts w:ascii="Arial" w:eastAsia="Arial" w:hAnsi="Arial" w:cs="Arial"/>
          <w:sz w:val="24"/>
          <w:szCs w:val="24"/>
        </w:rPr>
        <w:t>.</w:t>
      </w:r>
      <w:r w:rsidR="00AF5569" w:rsidRPr="00AF5569">
        <w:rPr>
          <w:rFonts w:ascii="Arial" w:eastAsia="Arial" w:hAnsi="Arial" w:cs="Arial"/>
          <w:sz w:val="24"/>
          <w:szCs w:val="24"/>
        </w:rPr>
        <w:t xml:space="preserve"> </w:t>
      </w:r>
      <w:r w:rsidR="00AF5569">
        <w:rPr>
          <w:rFonts w:ascii="Arial" w:eastAsia="Arial" w:hAnsi="Arial" w:cs="Arial"/>
          <w:sz w:val="24"/>
          <w:szCs w:val="24"/>
        </w:rPr>
        <w:t>Q</w:t>
      </w:r>
      <w:r w:rsidR="00AF5569" w:rsidRPr="00AF5569">
        <w:rPr>
          <w:rFonts w:ascii="Arial" w:eastAsia="Arial" w:hAnsi="Arial" w:cs="Arial"/>
          <w:sz w:val="24"/>
          <w:szCs w:val="24"/>
        </w:rPr>
        <w:t>ualidade de vida</w:t>
      </w:r>
      <w:r w:rsidR="00AF5569">
        <w:rPr>
          <w:rFonts w:ascii="Arial" w:eastAsia="Arial" w:hAnsi="Arial" w:cs="Arial"/>
          <w:sz w:val="24"/>
          <w:szCs w:val="24"/>
        </w:rPr>
        <w:t>.</w:t>
      </w:r>
      <w:r w:rsidR="00AF5569" w:rsidRPr="00AF5569">
        <w:rPr>
          <w:rFonts w:ascii="Arial" w:eastAsia="Arial" w:hAnsi="Arial" w:cs="Arial"/>
          <w:sz w:val="24"/>
          <w:szCs w:val="24"/>
        </w:rPr>
        <w:t xml:space="preserve"> WHOQOL</w:t>
      </w:r>
      <w:r w:rsidR="00AF5569">
        <w:rPr>
          <w:rFonts w:ascii="Arial" w:eastAsia="Arial" w:hAnsi="Arial" w:cs="Arial"/>
          <w:sz w:val="24"/>
          <w:szCs w:val="24"/>
        </w:rPr>
        <w:t>-BREF.</w:t>
      </w:r>
    </w:p>
    <w:p w14:paraId="3AD61802" w14:textId="77777777" w:rsidR="00930701" w:rsidRDefault="00486485">
      <w:pPr>
        <w:spacing w:after="0" w:line="360" w:lineRule="auto"/>
        <w:jc w:val="both"/>
        <w:rPr>
          <w:rFonts w:ascii="Arial" w:eastAsia="Arial" w:hAnsi="Arial" w:cs="Arial"/>
          <w:sz w:val="20"/>
          <w:szCs w:val="20"/>
        </w:rPr>
      </w:pPr>
      <w:r>
        <w:rPr>
          <w:rFonts w:ascii="Arial" w:eastAsia="Arial" w:hAnsi="Arial" w:cs="Arial"/>
          <w:sz w:val="20"/>
          <w:szCs w:val="20"/>
        </w:rPr>
        <w:t xml:space="preserve">                                                            </w:t>
      </w:r>
      <w:r>
        <w:rPr>
          <w:rFonts w:ascii="Arial" w:eastAsia="Arial" w:hAnsi="Arial" w:cs="Arial"/>
          <w:noProof/>
          <w:sz w:val="20"/>
          <w:szCs w:val="20"/>
        </w:rPr>
        <w:drawing>
          <wp:anchor distT="0" distB="0" distL="114300" distR="114300" simplePos="0" relativeHeight="6" behindDoc="0" locked="0" layoutInCell="0" allowOverlap="1" wp14:anchorId="12FD3E16" wp14:editId="18438A1E">
            <wp:simplePos x="0" y="0"/>
            <wp:positionH relativeFrom="column">
              <wp:posOffset>2927350</wp:posOffset>
            </wp:positionH>
            <wp:positionV relativeFrom="paragraph">
              <wp:posOffset>6985</wp:posOffset>
            </wp:positionV>
            <wp:extent cx="175260" cy="175260"/>
            <wp:effectExtent l="0" t="0" r="0" b="0"/>
            <wp:wrapSquare wrapText="bothSides"/>
            <wp:docPr id="6" name="Figura2" descr="Seta: curva ligei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ura2" descr="Seta: curva ligeira"/>
                    <pic:cNvPicPr>
                      <a:picLocks noChangeAspect="1" noChangeArrowheads="1"/>
                    </pic:cNvPicPr>
                  </pic:nvPicPr>
                  <pic:blipFill>
                    <a:blip r:embed="rId10"/>
                    <a:stretch>
                      <a:fillRect/>
                    </a:stretch>
                  </pic:blipFill>
                  <pic:spPr bwMode="auto">
                    <a:xfrm>
                      <a:off x="0" y="0"/>
                      <a:ext cx="175260" cy="175260"/>
                    </a:xfrm>
                    <a:prstGeom prst="rect">
                      <a:avLst/>
                    </a:prstGeom>
                  </pic:spPr>
                </pic:pic>
              </a:graphicData>
            </a:graphic>
          </wp:anchor>
        </w:drawing>
      </w:r>
      <w:r>
        <w:rPr>
          <w:rFonts w:ascii="Arial" w:eastAsia="Arial" w:hAnsi="Arial" w:cs="Arial"/>
          <w:sz w:val="20"/>
          <w:szCs w:val="20"/>
        </w:rPr>
        <w:t>um espaço 1,5 entre linhas</w:t>
      </w:r>
    </w:p>
    <w:p w14:paraId="4263E622" w14:textId="77777777" w:rsidR="00930701" w:rsidRDefault="00930701">
      <w:pPr>
        <w:spacing w:after="0" w:line="360" w:lineRule="auto"/>
        <w:jc w:val="both"/>
        <w:rPr>
          <w:rFonts w:ascii="Arial" w:eastAsia="Arial" w:hAnsi="Arial" w:cs="Arial"/>
          <w:b/>
          <w:sz w:val="24"/>
          <w:szCs w:val="24"/>
        </w:rPr>
      </w:pPr>
    </w:p>
    <w:p w14:paraId="0D80854A" w14:textId="77777777" w:rsidR="00930701" w:rsidRDefault="00486485">
      <w:pPr>
        <w:numPr>
          <w:ilvl w:val="0"/>
          <w:numId w:val="2"/>
        </w:numPr>
        <w:spacing w:after="0" w:line="360" w:lineRule="auto"/>
        <w:jc w:val="both"/>
        <w:rPr>
          <w:rFonts w:ascii="Arial" w:eastAsia="Arial" w:hAnsi="Arial" w:cs="Arial"/>
          <w:b/>
          <w:sz w:val="24"/>
          <w:szCs w:val="24"/>
        </w:rPr>
      </w:pPr>
      <w:r>
        <w:rPr>
          <w:rFonts w:ascii="Arial" w:eastAsia="Arial" w:hAnsi="Arial" w:cs="Arial"/>
          <w:b/>
          <w:sz w:val="24"/>
          <w:szCs w:val="24"/>
        </w:rPr>
        <w:t>INTRODUÇÃO/JUSTIFICATIVA</w:t>
      </w:r>
    </w:p>
    <w:p w14:paraId="3F583120" w14:textId="4E83AEE6" w:rsidR="00AF5569" w:rsidRPr="00AF5569" w:rsidRDefault="00AF5569" w:rsidP="00AF5569">
      <w:pPr>
        <w:spacing w:after="0" w:line="360" w:lineRule="auto"/>
        <w:ind w:firstLine="709"/>
        <w:jc w:val="both"/>
        <w:rPr>
          <w:rFonts w:ascii="Arial" w:eastAsia="Arial" w:hAnsi="Arial" w:cs="Arial"/>
          <w:sz w:val="24"/>
          <w:szCs w:val="24"/>
        </w:rPr>
      </w:pPr>
      <w:r w:rsidRPr="00AF5569">
        <w:rPr>
          <w:rFonts w:ascii="Arial" w:eastAsia="Arial" w:hAnsi="Arial" w:cs="Arial"/>
          <w:sz w:val="24"/>
          <w:szCs w:val="24"/>
        </w:rPr>
        <w:t>O vocábulo transgênero é utilizado para descrever pessoas que frente à dicotomia do sexo, conjunto de características biológicas que juntas formam o macho e a fêmea, têm sua expressão de gênero, o agrupamento de papéis sociais e de comportamento no masculino ou feminino, incongruente com o sexo ao qual foram designadas ao nascer (APA,</w:t>
      </w:r>
      <w:r>
        <w:rPr>
          <w:rFonts w:ascii="Arial" w:eastAsia="Arial" w:hAnsi="Arial" w:cs="Arial"/>
          <w:sz w:val="24"/>
          <w:szCs w:val="24"/>
        </w:rPr>
        <w:t xml:space="preserve"> </w:t>
      </w:r>
      <w:r w:rsidRPr="00AF5569">
        <w:rPr>
          <w:rFonts w:ascii="Arial" w:eastAsia="Arial" w:hAnsi="Arial" w:cs="Arial"/>
          <w:sz w:val="24"/>
          <w:szCs w:val="24"/>
        </w:rPr>
        <w:t xml:space="preserve">2023). </w:t>
      </w:r>
    </w:p>
    <w:p w14:paraId="35615DDC" w14:textId="77777777" w:rsidR="00AF5569" w:rsidRPr="00AF5569" w:rsidRDefault="00AF5569" w:rsidP="00AF5569">
      <w:pPr>
        <w:spacing w:after="0" w:line="360" w:lineRule="auto"/>
        <w:ind w:firstLine="709"/>
        <w:jc w:val="both"/>
        <w:rPr>
          <w:rFonts w:ascii="Arial" w:eastAsia="Arial" w:hAnsi="Arial" w:cs="Arial"/>
          <w:sz w:val="24"/>
          <w:szCs w:val="24"/>
        </w:rPr>
      </w:pPr>
      <w:r w:rsidRPr="00AF5569">
        <w:rPr>
          <w:rFonts w:ascii="Arial" w:eastAsia="Arial" w:hAnsi="Arial" w:cs="Arial"/>
          <w:sz w:val="24"/>
          <w:szCs w:val="24"/>
        </w:rPr>
        <w:t xml:space="preserve">O termo, além de fazer oposição ao cisgênero, grupo de pessoas que possuem sua expressão de gênero consoante com o sexo, surge também como uma atualização do termo transsexual, etiqueta histórica atribuída aos dissidentes de gênero que, implicava na necessidade da cirurgia de readequação sexual como parte da identidade. </w:t>
      </w:r>
    </w:p>
    <w:p w14:paraId="735A9477" w14:textId="77777777" w:rsidR="00AF5569" w:rsidRPr="00AF5569" w:rsidRDefault="00AF5569" w:rsidP="00AF5569">
      <w:pPr>
        <w:spacing w:after="0" w:line="360" w:lineRule="auto"/>
        <w:ind w:firstLine="709"/>
        <w:jc w:val="both"/>
        <w:rPr>
          <w:rFonts w:ascii="Arial" w:eastAsia="Arial" w:hAnsi="Arial" w:cs="Arial"/>
          <w:sz w:val="24"/>
          <w:szCs w:val="24"/>
        </w:rPr>
      </w:pPr>
      <w:r w:rsidRPr="00AF5569">
        <w:rPr>
          <w:rFonts w:ascii="Arial" w:eastAsia="Arial" w:hAnsi="Arial" w:cs="Arial"/>
          <w:sz w:val="24"/>
          <w:szCs w:val="24"/>
        </w:rPr>
        <w:lastRenderedPageBreak/>
        <w:t xml:space="preserve">Essa mudança advém da contemporaneidade de um novo modelo de atenção à saúde de populações específicas, e muitas vezes marginalizadas, como é o caso dos transgêneros. Apesar de relatos históricos sobre indivíduos dissidentes, como Xica </w:t>
      </w:r>
      <w:proofErr w:type="spellStart"/>
      <w:r w:rsidRPr="00AF5569">
        <w:rPr>
          <w:rFonts w:ascii="Arial" w:eastAsia="Arial" w:hAnsi="Arial" w:cs="Arial"/>
          <w:sz w:val="24"/>
          <w:szCs w:val="24"/>
        </w:rPr>
        <w:t>Manicongo</w:t>
      </w:r>
      <w:proofErr w:type="spellEnd"/>
      <w:r w:rsidRPr="00AF5569">
        <w:rPr>
          <w:rFonts w:ascii="Arial" w:eastAsia="Arial" w:hAnsi="Arial" w:cs="Arial"/>
          <w:sz w:val="24"/>
          <w:szCs w:val="24"/>
        </w:rPr>
        <w:t xml:space="preserve">, que foram por vezes classificados como terceiro gênero, e como travesti na América Latina, a identidade transgênero reduzia-se ao </w:t>
      </w:r>
      <w:proofErr w:type="spellStart"/>
      <w:r w:rsidRPr="00AF5569">
        <w:rPr>
          <w:rFonts w:ascii="Arial" w:eastAsia="Arial" w:hAnsi="Arial" w:cs="Arial"/>
          <w:sz w:val="24"/>
          <w:szCs w:val="24"/>
        </w:rPr>
        <w:t>patologicismo</w:t>
      </w:r>
      <w:proofErr w:type="spellEnd"/>
      <w:r w:rsidRPr="00AF5569">
        <w:rPr>
          <w:rFonts w:ascii="Arial" w:eastAsia="Arial" w:hAnsi="Arial" w:cs="Arial"/>
          <w:sz w:val="24"/>
          <w:szCs w:val="24"/>
        </w:rPr>
        <w:t xml:space="preserve"> na área médica, que, além de tratá-la como um transtorno mental, estigmatizava o grupo. </w:t>
      </w:r>
    </w:p>
    <w:p w14:paraId="74FE875F" w14:textId="77777777" w:rsidR="00AF5569" w:rsidRPr="00AF5569" w:rsidRDefault="00AF5569" w:rsidP="00AF5569">
      <w:pPr>
        <w:spacing w:after="0" w:line="360" w:lineRule="auto"/>
        <w:ind w:firstLine="709"/>
        <w:jc w:val="both"/>
        <w:rPr>
          <w:rFonts w:ascii="Arial" w:eastAsia="Arial" w:hAnsi="Arial" w:cs="Arial"/>
          <w:sz w:val="24"/>
          <w:szCs w:val="24"/>
        </w:rPr>
      </w:pPr>
      <w:r w:rsidRPr="00AF5569">
        <w:rPr>
          <w:rFonts w:ascii="Arial" w:eastAsia="Arial" w:hAnsi="Arial" w:cs="Arial"/>
          <w:sz w:val="24"/>
          <w:szCs w:val="24"/>
        </w:rPr>
        <w:t xml:space="preserve">Atualmente há esforços para a mudança desse cenário, como a retirada da transexualidade do capítulo de transtornos mentais do Código Internacional de Doenças (CID) e a inclusão de um novo capítulo sobre saúde sexual. Há também, maior atenção direcionada às demandas específicas a esse grupo como discriminação e maus tratos em ambientes de assistência à saúde, medidas protetivas a infecções como HIV, hepatites virais e </w:t>
      </w:r>
      <w:proofErr w:type="spellStart"/>
      <w:r w:rsidRPr="00AF5569">
        <w:rPr>
          <w:rFonts w:ascii="Arial" w:eastAsia="Arial" w:hAnsi="Arial" w:cs="Arial"/>
          <w:sz w:val="24"/>
          <w:szCs w:val="24"/>
        </w:rPr>
        <w:t>IST’s</w:t>
      </w:r>
      <w:proofErr w:type="spellEnd"/>
      <w:r w:rsidRPr="00AF5569">
        <w:rPr>
          <w:rFonts w:ascii="Arial" w:eastAsia="Arial" w:hAnsi="Arial" w:cs="Arial"/>
          <w:sz w:val="24"/>
          <w:szCs w:val="24"/>
        </w:rPr>
        <w:t xml:space="preserve">, além de acompanhamento em saúde mental. </w:t>
      </w:r>
    </w:p>
    <w:p w14:paraId="639C4850" w14:textId="0C59078F" w:rsidR="00AF5569" w:rsidRPr="00AF5569" w:rsidRDefault="00AF5569" w:rsidP="00AF5569">
      <w:pPr>
        <w:spacing w:after="0" w:line="360" w:lineRule="auto"/>
        <w:ind w:firstLine="709"/>
        <w:jc w:val="both"/>
        <w:rPr>
          <w:rFonts w:ascii="Arial" w:eastAsia="Arial" w:hAnsi="Arial" w:cs="Arial"/>
          <w:sz w:val="24"/>
          <w:szCs w:val="24"/>
        </w:rPr>
      </w:pPr>
      <w:r w:rsidRPr="00AF5569">
        <w:rPr>
          <w:rFonts w:ascii="Arial" w:eastAsia="Arial" w:hAnsi="Arial" w:cs="Arial"/>
          <w:sz w:val="24"/>
          <w:szCs w:val="24"/>
        </w:rPr>
        <w:t xml:space="preserve">Para MORENZ, et </w:t>
      </w:r>
      <w:r w:rsidRPr="00AF5569">
        <w:rPr>
          <w:rFonts w:ascii="Arial" w:eastAsia="Arial" w:hAnsi="Arial" w:cs="Arial"/>
          <w:sz w:val="24"/>
          <w:szCs w:val="24"/>
        </w:rPr>
        <w:t>al.,</w:t>
      </w:r>
      <w:r w:rsidRPr="00AF5569">
        <w:rPr>
          <w:rFonts w:ascii="Arial" w:eastAsia="Arial" w:hAnsi="Arial" w:cs="Arial"/>
          <w:sz w:val="24"/>
          <w:szCs w:val="24"/>
        </w:rPr>
        <w:t xml:space="preserve"> a avaliação das necessidades com o grupo transgênero e de gênero diverso é essencial para direcionar os serviços de assistência em saúde. Para tal, recomenda-se os métodos tradicionais de avaliação como grupos focais, entrevistas com líderes comunitários e fóruns municipais. </w:t>
      </w:r>
    </w:p>
    <w:p w14:paraId="7D8F0830" w14:textId="77777777" w:rsidR="00AF5569" w:rsidRPr="00AF5569" w:rsidRDefault="00AF5569" w:rsidP="00AF5569">
      <w:pPr>
        <w:spacing w:after="0" w:line="360" w:lineRule="auto"/>
        <w:ind w:firstLine="709"/>
        <w:jc w:val="both"/>
        <w:rPr>
          <w:rFonts w:ascii="Arial" w:eastAsia="Arial" w:hAnsi="Arial" w:cs="Arial"/>
          <w:sz w:val="24"/>
          <w:szCs w:val="24"/>
        </w:rPr>
      </w:pPr>
      <w:r w:rsidRPr="00AF5569">
        <w:rPr>
          <w:rFonts w:ascii="Arial" w:eastAsia="Arial" w:hAnsi="Arial" w:cs="Arial"/>
          <w:sz w:val="24"/>
          <w:szCs w:val="24"/>
        </w:rPr>
        <w:t xml:space="preserve">Outra maneira de realizar uma avaliação, mas dessa vez de maneira sistematizada e por meio das impressões de cada indivíduo, é mensurar a qualidade </w:t>
      </w:r>
      <w:r w:rsidRPr="00AF5569">
        <w:rPr>
          <w:rFonts w:ascii="Arial" w:eastAsia="Arial" w:hAnsi="Arial" w:cs="Arial"/>
          <w:sz w:val="24"/>
          <w:szCs w:val="24"/>
        </w:rPr>
        <w:lastRenderedPageBreak/>
        <w:t xml:space="preserve">de vida pessoal. Esse conceito é definido para a OMS como a avaliação pessoal de sua posição em sua própria experiência de vida, dentro de seu contexto cultural e em relação aos seus objetivos, expectativas, padrões e preocupações. </w:t>
      </w:r>
    </w:p>
    <w:p w14:paraId="733A258D" w14:textId="77777777" w:rsidR="00AF5569" w:rsidRPr="00AF5569" w:rsidRDefault="00AF5569" w:rsidP="00AF5569">
      <w:pPr>
        <w:spacing w:after="0" w:line="360" w:lineRule="auto"/>
        <w:ind w:firstLine="709"/>
        <w:jc w:val="both"/>
        <w:rPr>
          <w:rFonts w:ascii="Arial" w:eastAsia="Arial" w:hAnsi="Arial" w:cs="Arial"/>
          <w:sz w:val="24"/>
          <w:szCs w:val="24"/>
        </w:rPr>
      </w:pPr>
      <w:r w:rsidRPr="00AF5569">
        <w:rPr>
          <w:rFonts w:ascii="Arial" w:eastAsia="Arial" w:hAnsi="Arial" w:cs="Arial"/>
          <w:sz w:val="24"/>
          <w:szCs w:val="24"/>
        </w:rPr>
        <w:t xml:space="preserve">Apesar de sua natureza subjetiva, a qualidade de vida pode ser mensurada por instrumentos fornecidos pela própria OMS. Exemplo é o WHOQOL, um instrumento que consiste em um conjunto de perguntas, divididas por aspectos, organizados em domínios físico, psicológico, nível de independência, relações sociais, meio ambiente e crenças pessoais (FLECK, 2000). </w:t>
      </w:r>
    </w:p>
    <w:p w14:paraId="18BF85D7" w14:textId="77777777" w:rsidR="00AF5569" w:rsidRPr="00AF5569" w:rsidRDefault="00AF5569" w:rsidP="00AF5569">
      <w:pPr>
        <w:spacing w:after="0" w:line="360" w:lineRule="auto"/>
        <w:ind w:firstLine="709"/>
        <w:jc w:val="both"/>
        <w:rPr>
          <w:rFonts w:ascii="Arial" w:eastAsia="Arial" w:hAnsi="Arial" w:cs="Arial"/>
          <w:sz w:val="24"/>
          <w:szCs w:val="24"/>
        </w:rPr>
      </w:pPr>
      <w:r w:rsidRPr="00AF5569">
        <w:rPr>
          <w:rFonts w:ascii="Arial" w:eastAsia="Arial" w:hAnsi="Arial" w:cs="Arial"/>
          <w:sz w:val="24"/>
          <w:szCs w:val="24"/>
        </w:rPr>
        <w:t>O questionário, tanto em sua versão integral, como em sua versão abreviada, o WHOQOL-BREF, tem sido usado para conhecer a qualidade de vida de populações especiais como grávidas, refugiados, pessoas portadas de sequelas ou doenças crônicas e cuidadores em saúde.</w:t>
      </w:r>
    </w:p>
    <w:p w14:paraId="755DCB54" w14:textId="067E4713" w:rsidR="00AF5569" w:rsidRDefault="00AF5569" w:rsidP="00AF5569">
      <w:pPr>
        <w:spacing w:after="0" w:line="360" w:lineRule="auto"/>
        <w:ind w:firstLine="709"/>
        <w:jc w:val="both"/>
        <w:rPr>
          <w:rFonts w:ascii="Arial" w:eastAsia="Arial" w:hAnsi="Arial" w:cs="Arial"/>
          <w:sz w:val="24"/>
          <w:szCs w:val="24"/>
        </w:rPr>
      </w:pPr>
      <w:r w:rsidRPr="00AF5569">
        <w:rPr>
          <w:rFonts w:ascii="Arial" w:eastAsia="Arial" w:hAnsi="Arial" w:cs="Arial"/>
          <w:sz w:val="24"/>
          <w:szCs w:val="24"/>
        </w:rPr>
        <w:t xml:space="preserve">Portanto, o WHOQOL poderia ser utilizado para avaliar e comparar a percepção sobre qualidade de vida e experiência própria para desenhar o cenário básico para a população transgênero tocantinense, por si só e em comparação com a população cisgênero do estado, conhecimento que deve ser utilizado para a elaboração de medidas públicas em saúde.  </w:t>
      </w:r>
    </w:p>
    <w:p w14:paraId="6D2B0B9F" w14:textId="1E0CF4E4" w:rsidR="00FB1073" w:rsidRDefault="00FB1073" w:rsidP="00AF5569">
      <w:pPr>
        <w:spacing w:after="0" w:line="360" w:lineRule="auto"/>
        <w:ind w:firstLine="709"/>
        <w:jc w:val="both"/>
        <w:rPr>
          <w:rFonts w:ascii="Arial" w:eastAsia="Arial" w:hAnsi="Arial" w:cs="Arial"/>
          <w:sz w:val="24"/>
          <w:szCs w:val="24"/>
        </w:rPr>
      </w:pPr>
      <w:r>
        <w:rPr>
          <w:rFonts w:ascii="Arial" w:eastAsia="Arial" w:hAnsi="Arial" w:cs="Arial"/>
          <w:sz w:val="24"/>
          <w:szCs w:val="24"/>
        </w:rPr>
        <w:t xml:space="preserve">Com isso, é possível realizar tal trabalho dentro da área de conhecimento da Saúde Coletiva, mais especificamente na área temática da Saúde Pública, de maneira </w:t>
      </w:r>
      <w:r>
        <w:rPr>
          <w:rFonts w:ascii="Arial" w:eastAsia="Arial" w:hAnsi="Arial" w:cs="Arial"/>
          <w:sz w:val="24"/>
          <w:szCs w:val="24"/>
        </w:rPr>
        <w:lastRenderedPageBreak/>
        <w:t>a conhecer as necessidades e experiências de uma população historicamente marginalizadas.</w:t>
      </w:r>
    </w:p>
    <w:p w14:paraId="27343B8D" w14:textId="4B957174" w:rsidR="00FB1073" w:rsidRDefault="00FB1073" w:rsidP="00AF5569">
      <w:pPr>
        <w:spacing w:after="0" w:line="360" w:lineRule="auto"/>
        <w:ind w:firstLine="709"/>
        <w:jc w:val="both"/>
        <w:rPr>
          <w:rFonts w:ascii="Arial" w:eastAsia="Arial" w:hAnsi="Arial" w:cs="Arial"/>
          <w:sz w:val="24"/>
          <w:szCs w:val="24"/>
        </w:rPr>
      </w:pPr>
      <w:r>
        <w:rPr>
          <w:rFonts w:ascii="Arial" w:eastAsia="Arial" w:hAnsi="Arial" w:cs="Arial"/>
          <w:sz w:val="24"/>
          <w:szCs w:val="24"/>
        </w:rPr>
        <w:t xml:space="preserve">Tais objetivos são importantes no contexto da atenção à saúde pública, pois contemplam os objetivos das políticas de equidade dentro do Sistema de Saúde Pública. É preciso conhecer as competências culturais das populações alvo. </w:t>
      </w:r>
    </w:p>
    <w:p w14:paraId="086D5F50" w14:textId="299F4723" w:rsidR="00FB1073" w:rsidRDefault="00FB1073" w:rsidP="00AF5569">
      <w:pPr>
        <w:spacing w:after="0" w:line="360" w:lineRule="auto"/>
        <w:ind w:firstLine="709"/>
        <w:jc w:val="both"/>
        <w:rPr>
          <w:rFonts w:ascii="Arial" w:eastAsia="Arial" w:hAnsi="Arial" w:cs="Arial"/>
          <w:sz w:val="24"/>
          <w:szCs w:val="24"/>
        </w:rPr>
      </w:pPr>
      <w:r>
        <w:rPr>
          <w:rFonts w:ascii="Arial" w:eastAsia="Arial" w:hAnsi="Arial" w:cs="Arial"/>
          <w:sz w:val="24"/>
          <w:szCs w:val="24"/>
        </w:rPr>
        <w:t xml:space="preserve">O objetivo de desenvolver tal atividade vem de uma vontade própria de estudar as necessidades da população LGBTQ+, especialmente a comunidade transgênero, e evidenciar outras facetas dessa relação que não estejam inseridas exclusivamente no campo das doenças sexualmente transmissíveis, que apesar de sua importância, pode reduzir as a visão da assistência em saúde à comunidade, algo historicamente visto desde a epidemia da AIDS. </w:t>
      </w:r>
    </w:p>
    <w:p w14:paraId="6C42A768" w14:textId="49BDD60F" w:rsidR="00FB1073" w:rsidRDefault="00FB1073" w:rsidP="00AF5569">
      <w:pPr>
        <w:spacing w:after="0" w:line="360" w:lineRule="auto"/>
        <w:ind w:firstLine="709"/>
        <w:jc w:val="both"/>
        <w:rPr>
          <w:rFonts w:ascii="Arial" w:eastAsia="Arial" w:hAnsi="Arial" w:cs="Arial"/>
          <w:sz w:val="24"/>
          <w:szCs w:val="24"/>
        </w:rPr>
      </w:pPr>
      <w:r>
        <w:rPr>
          <w:rFonts w:ascii="Arial" w:eastAsia="Arial" w:hAnsi="Arial" w:cs="Arial"/>
          <w:sz w:val="24"/>
          <w:szCs w:val="24"/>
        </w:rPr>
        <w:t xml:space="preserve"> Ao conhecer e explorar conceitos amplos como a qualidade de vida por meio do WHOQOL-BREF, conseguimos enxergar toda a população transgênero de maneira mais universal, examinando suas relações com o ambiente em que vivem e suas facetas socias, da saúde física e da saúde mental. </w:t>
      </w:r>
    </w:p>
    <w:p w14:paraId="7EB3BF31" w14:textId="04055C4D" w:rsidR="00930701" w:rsidRDefault="00FB1073" w:rsidP="00442634">
      <w:pPr>
        <w:spacing w:after="0" w:line="360" w:lineRule="auto"/>
        <w:ind w:firstLine="709"/>
        <w:jc w:val="both"/>
        <w:rPr>
          <w:rFonts w:ascii="Arial" w:eastAsia="Arial" w:hAnsi="Arial" w:cs="Arial"/>
          <w:sz w:val="24"/>
          <w:szCs w:val="24"/>
        </w:rPr>
      </w:pPr>
      <w:r>
        <w:rPr>
          <w:rFonts w:ascii="Arial" w:eastAsia="Arial" w:hAnsi="Arial" w:cs="Arial"/>
          <w:sz w:val="24"/>
          <w:szCs w:val="24"/>
        </w:rPr>
        <w:t>Com ess</w:t>
      </w:r>
      <w:r w:rsidR="00442634">
        <w:rPr>
          <w:rFonts w:ascii="Arial" w:eastAsia="Arial" w:hAnsi="Arial" w:cs="Arial"/>
          <w:sz w:val="24"/>
          <w:szCs w:val="24"/>
        </w:rPr>
        <w:t>e conhecimento em mãos, pode-se embasar e criar políticas públicas que tenham como o alvo a melhoria dos serviços prestados tendo em vista as peculiaridades de cada grupo.</w:t>
      </w:r>
    </w:p>
    <w:p w14:paraId="4BC281F8" w14:textId="77777777" w:rsidR="00442634" w:rsidRDefault="00442634" w:rsidP="00442634">
      <w:pPr>
        <w:spacing w:after="0" w:line="360" w:lineRule="auto"/>
        <w:ind w:firstLine="709"/>
        <w:jc w:val="both"/>
        <w:rPr>
          <w:rFonts w:ascii="Arial" w:eastAsia="Arial" w:hAnsi="Arial" w:cs="Arial"/>
          <w:sz w:val="24"/>
          <w:szCs w:val="24"/>
        </w:rPr>
      </w:pPr>
    </w:p>
    <w:p w14:paraId="28375502" w14:textId="77777777" w:rsidR="00930701" w:rsidRDefault="00486485">
      <w:pPr>
        <w:numPr>
          <w:ilvl w:val="0"/>
          <w:numId w:val="2"/>
        </w:numPr>
        <w:spacing w:after="0" w:line="360" w:lineRule="auto"/>
        <w:jc w:val="both"/>
        <w:rPr>
          <w:rFonts w:ascii="Arial" w:eastAsia="Arial" w:hAnsi="Arial" w:cs="Arial"/>
          <w:b/>
          <w:sz w:val="24"/>
          <w:szCs w:val="24"/>
        </w:rPr>
      </w:pPr>
      <w:r>
        <w:rPr>
          <w:rFonts w:ascii="Arial" w:eastAsia="Arial" w:hAnsi="Arial" w:cs="Arial"/>
          <w:b/>
          <w:sz w:val="24"/>
          <w:szCs w:val="24"/>
        </w:rPr>
        <w:lastRenderedPageBreak/>
        <w:t>BASE TEÓRICA</w:t>
      </w:r>
    </w:p>
    <w:p w14:paraId="6DC4E638" w14:textId="17C5A9D9" w:rsidR="00930701" w:rsidRDefault="00442634">
      <w:pPr>
        <w:spacing w:after="0" w:line="360" w:lineRule="auto"/>
        <w:ind w:firstLine="709"/>
        <w:jc w:val="both"/>
        <w:rPr>
          <w:rFonts w:ascii="Arial" w:eastAsia="Arial" w:hAnsi="Arial" w:cs="Arial"/>
          <w:sz w:val="24"/>
          <w:szCs w:val="24"/>
        </w:rPr>
      </w:pPr>
      <w:r>
        <w:rPr>
          <w:rFonts w:ascii="Arial" w:eastAsia="Arial" w:hAnsi="Arial" w:cs="Arial"/>
          <w:sz w:val="24"/>
          <w:szCs w:val="24"/>
        </w:rPr>
        <w:t xml:space="preserve">O estudo partiu das definições básicas para os vocábulos transgênero pela APA, a publicação do WHOQOL-BREF pela ONU e os artigos que dissertam sobre a metodologia de suas análises e como interpretar tais dados dentro de um contexto geral. </w:t>
      </w:r>
    </w:p>
    <w:p w14:paraId="45E67974" w14:textId="1511AEFE" w:rsidR="00930701" w:rsidRPr="00442634" w:rsidRDefault="00486485">
      <w:pPr>
        <w:spacing w:after="0" w:line="360" w:lineRule="auto"/>
        <w:jc w:val="both"/>
        <w:rPr>
          <w:rFonts w:ascii="Arial" w:eastAsia="Arial" w:hAnsi="Arial" w:cs="Arial"/>
          <w:sz w:val="24"/>
          <w:szCs w:val="24"/>
        </w:rPr>
      </w:pPr>
      <w:r>
        <w:rPr>
          <w:rFonts w:ascii="Arial" w:eastAsia="Arial" w:hAnsi="Arial" w:cs="Arial"/>
          <w:sz w:val="20"/>
          <w:szCs w:val="20"/>
        </w:rPr>
        <w:t xml:space="preserve">                                                       </w:t>
      </w:r>
    </w:p>
    <w:p w14:paraId="35CE1F13" w14:textId="77777777" w:rsidR="00930701" w:rsidRDefault="00486485">
      <w:pPr>
        <w:numPr>
          <w:ilvl w:val="0"/>
          <w:numId w:val="2"/>
        </w:numPr>
        <w:spacing w:after="0" w:line="360" w:lineRule="auto"/>
        <w:jc w:val="both"/>
        <w:rPr>
          <w:rFonts w:ascii="Arial" w:eastAsia="Arial" w:hAnsi="Arial" w:cs="Arial"/>
          <w:b/>
          <w:sz w:val="24"/>
          <w:szCs w:val="24"/>
        </w:rPr>
      </w:pPr>
      <w:r>
        <w:rPr>
          <w:rFonts w:ascii="Arial" w:eastAsia="Arial" w:hAnsi="Arial" w:cs="Arial"/>
          <w:b/>
          <w:sz w:val="24"/>
          <w:szCs w:val="24"/>
        </w:rPr>
        <w:t>OBJETIVOS</w:t>
      </w:r>
    </w:p>
    <w:p w14:paraId="74A103CA" w14:textId="77777777" w:rsidR="00442634" w:rsidRPr="00442634" w:rsidRDefault="00442634" w:rsidP="00442634">
      <w:pPr>
        <w:spacing w:after="0" w:line="360" w:lineRule="auto"/>
        <w:jc w:val="both"/>
        <w:rPr>
          <w:rFonts w:ascii="Arial" w:eastAsia="Arial" w:hAnsi="Arial" w:cs="Arial"/>
          <w:sz w:val="24"/>
          <w:szCs w:val="24"/>
        </w:rPr>
      </w:pPr>
      <w:r w:rsidRPr="00442634">
        <w:rPr>
          <w:rFonts w:ascii="Arial" w:eastAsia="Arial" w:hAnsi="Arial" w:cs="Arial"/>
          <w:sz w:val="24"/>
          <w:szCs w:val="24"/>
        </w:rPr>
        <w:t>1.</w:t>
      </w:r>
      <w:r w:rsidRPr="00442634">
        <w:rPr>
          <w:rFonts w:ascii="Arial" w:eastAsia="Arial" w:hAnsi="Arial" w:cs="Arial"/>
          <w:sz w:val="24"/>
          <w:szCs w:val="24"/>
        </w:rPr>
        <w:tab/>
        <w:t>Avaliar a qualidade de vida da população transgênero e travestis do Tocantins em comparação com a população cisgênero contemporânea.</w:t>
      </w:r>
    </w:p>
    <w:p w14:paraId="601B5B9C" w14:textId="77777777" w:rsidR="00442634" w:rsidRPr="00442634" w:rsidRDefault="00442634" w:rsidP="00442634">
      <w:pPr>
        <w:spacing w:after="0" w:line="360" w:lineRule="auto"/>
        <w:jc w:val="both"/>
        <w:rPr>
          <w:rFonts w:ascii="Arial" w:eastAsia="Arial" w:hAnsi="Arial" w:cs="Arial"/>
          <w:sz w:val="24"/>
          <w:szCs w:val="24"/>
        </w:rPr>
      </w:pPr>
      <w:r w:rsidRPr="00442634">
        <w:rPr>
          <w:rFonts w:ascii="Arial" w:eastAsia="Arial" w:hAnsi="Arial" w:cs="Arial"/>
          <w:sz w:val="24"/>
          <w:szCs w:val="24"/>
        </w:rPr>
        <w:t>2.</w:t>
      </w:r>
      <w:r w:rsidRPr="00442634">
        <w:rPr>
          <w:rFonts w:ascii="Arial" w:eastAsia="Arial" w:hAnsi="Arial" w:cs="Arial"/>
          <w:sz w:val="24"/>
          <w:szCs w:val="24"/>
        </w:rPr>
        <w:tab/>
        <w:t>Descrever perfil sócio epidemiológico da saúde da população transgênero e travesti do Tocantins;</w:t>
      </w:r>
    </w:p>
    <w:p w14:paraId="14965A00" w14:textId="77777777" w:rsidR="00442634" w:rsidRPr="00442634" w:rsidRDefault="00442634" w:rsidP="00442634">
      <w:pPr>
        <w:spacing w:after="0" w:line="360" w:lineRule="auto"/>
        <w:jc w:val="both"/>
        <w:rPr>
          <w:rFonts w:ascii="Arial" w:eastAsia="Arial" w:hAnsi="Arial" w:cs="Arial"/>
          <w:sz w:val="24"/>
          <w:szCs w:val="24"/>
        </w:rPr>
      </w:pPr>
      <w:r w:rsidRPr="00442634">
        <w:rPr>
          <w:rFonts w:ascii="Arial" w:eastAsia="Arial" w:hAnsi="Arial" w:cs="Arial"/>
          <w:sz w:val="24"/>
          <w:szCs w:val="24"/>
        </w:rPr>
        <w:t>3.</w:t>
      </w:r>
      <w:r w:rsidRPr="00442634">
        <w:rPr>
          <w:rFonts w:ascii="Arial" w:eastAsia="Arial" w:hAnsi="Arial" w:cs="Arial"/>
          <w:sz w:val="24"/>
          <w:szCs w:val="24"/>
        </w:rPr>
        <w:tab/>
        <w:t xml:space="preserve">Conhecer o comportamento e os impactos da dimensão subjetiva relacionada ao contexto cultural, social e de meio ambiente têm na vida da população transgênero e travesti; </w:t>
      </w:r>
    </w:p>
    <w:p w14:paraId="4D6A7514" w14:textId="67075BCF" w:rsidR="00930701" w:rsidRDefault="00442634" w:rsidP="00442634">
      <w:pPr>
        <w:spacing w:after="0" w:line="360" w:lineRule="auto"/>
        <w:jc w:val="both"/>
        <w:rPr>
          <w:rFonts w:ascii="Arial" w:eastAsia="Arial" w:hAnsi="Arial" w:cs="Arial"/>
          <w:sz w:val="20"/>
          <w:szCs w:val="20"/>
        </w:rPr>
      </w:pPr>
      <w:r w:rsidRPr="00442634">
        <w:rPr>
          <w:rFonts w:ascii="Arial" w:eastAsia="Arial" w:hAnsi="Arial" w:cs="Arial"/>
          <w:sz w:val="24"/>
          <w:szCs w:val="24"/>
        </w:rPr>
        <w:t>4.</w:t>
      </w:r>
      <w:r w:rsidRPr="00442634">
        <w:rPr>
          <w:rFonts w:ascii="Arial" w:eastAsia="Arial" w:hAnsi="Arial" w:cs="Arial"/>
          <w:sz w:val="24"/>
          <w:szCs w:val="24"/>
        </w:rPr>
        <w:tab/>
        <w:t xml:space="preserve">Conhecer a percepção da população transgênero e travesti tocantinense, quanto ao acesso aos serviços de saúde. </w:t>
      </w:r>
      <w:r w:rsidR="00486485">
        <w:rPr>
          <w:rFonts w:ascii="Arial" w:eastAsia="Arial" w:hAnsi="Arial" w:cs="Arial"/>
          <w:sz w:val="20"/>
          <w:szCs w:val="20"/>
        </w:rPr>
        <w:t xml:space="preserve">                                                                  </w:t>
      </w:r>
    </w:p>
    <w:p w14:paraId="70F747EA" w14:textId="77777777" w:rsidR="00442634" w:rsidRDefault="00442634" w:rsidP="00442634">
      <w:pPr>
        <w:spacing w:after="0" w:line="360" w:lineRule="auto"/>
        <w:jc w:val="both"/>
        <w:rPr>
          <w:rFonts w:ascii="Arial" w:eastAsia="Arial" w:hAnsi="Arial" w:cs="Arial"/>
          <w:sz w:val="24"/>
          <w:szCs w:val="24"/>
        </w:rPr>
      </w:pPr>
    </w:p>
    <w:p w14:paraId="081A680C" w14:textId="2059FBAD" w:rsidR="00930701" w:rsidRPr="00442634" w:rsidRDefault="00486485" w:rsidP="00442634">
      <w:pPr>
        <w:numPr>
          <w:ilvl w:val="0"/>
          <w:numId w:val="2"/>
        </w:numPr>
        <w:spacing w:after="0" w:line="360" w:lineRule="auto"/>
        <w:jc w:val="both"/>
        <w:rPr>
          <w:rFonts w:ascii="Arial" w:eastAsia="Arial" w:hAnsi="Arial" w:cs="Arial"/>
          <w:b/>
          <w:sz w:val="24"/>
          <w:szCs w:val="24"/>
        </w:rPr>
      </w:pPr>
      <w:r w:rsidRPr="00442634">
        <w:rPr>
          <w:rFonts w:ascii="Arial" w:eastAsia="Arial" w:hAnsi="Arial" w:cs="Arial"/>
          <w:b/>
          <w:sz w:val="24"/>
          <w:szCs w:val="24"/>
        </w:rPr>
        <w:t>METODOLOGIA</w:t>
      </w:r>
    </w:p>
    <w:p w14:paraId="3ECC7227" w14:textId="77777777" w:rsidR="00442634" w:rsidRPr="00442634" w:rsidRDefault="00442634" w:rsidP="00442634">
      <w:pPr>
        <w:spacing w:after="0" w:line="360" w:lineRule="auto"/>
        <w:ind w:firstLine="709"/>
        <w:jc w:val="both"/>
        <w:rPr>
          <w:rFonts w:ascii="Arial" w:eastAsia="Arial" w:hAnsi="Arial" w:cs="Arial"/>
          <w:sz w:val="24"/>
          <w:szCs w:val="24"/>
        </w:rPr>
      </w:pPr>
      <w:r w:rsidRPr="00442634">
        <w:rPr>
          <w:rFonts w:ascii="Arial" w:eastAsia="Arial" w:hAnsi="Arial" w:cs="Arial"/>
          <w:sz w:val="24"/>
          <w:szCs w:val="24"/>
        </w:rPr>
        <w:lastRenderedPageBreak/>
        <w:t xml:space="preserve">Os dados foram coletados por meio de um questionário unificado sediado na plataforma </w:t>
      </w:r>
      <w:proofErr w:type="spellStart"/>
      <w:r w:rsidRPr="00442634">
        <w:rPr>
          <w:rFonts w:ascii="Arial" w:eastAsia="Arial" w:hAnsi="Arial" w:cs="Arial"/>
          <w:sz w:val="24"/>
          <w:szCs w:val="24"/>
        </w:rPr>
        <w:t>GoogleForms</w:t>
      </w:r>
      <w:proofErr w:type="spellEnd"/>
      <w:r w:rsidRPr="00442634">
        <w:rPr>
          <w:rFonts w:ascii="Arial" w:eastAsia="Arial" w:hAnsi="Arial" w:cs="Arial"/>
          <w:sz w:val="24"/>
          <w:szCs w:val="24"/>
        </w:rPr>
        <w:t>, respondido online pelos participantes (11 questionários). Recorreu-se ao questionário WHOQOQL-</w:t>
      </w:r>
      <w:proofErr w:type="spellStart"/>
      <w:r w:rsidRPr="00442634">
        <w:rPr>
          <w:rFonts w:ascii="Arial" w:eastAsia="Arial" w:hAnsi="Arial" w:cs="Arial"/>
          <w:sz w:val="24"/>
          <w:szCs w:val="24"/>
        </w:rPr>
        <w:t>bref</w:t>
      </w:r>
      <w:proofErr w:type="spellEnd"/>
      <w:r w:rsidRPr="00442634">
        <w:rPr>
          <w:rFonts w:ascii="Arial" w:eastAsia="Arial" w:hAnsi="Arial" w:cs="Arial"/>
          <w:sz w:val="24"/>
          <w:szCs w:val="24"/>
        </w:rPr>
        <w:t xml:space="preserve"> com acréscimo de questões, como identificação, sexo, gênero, idade, escolaridade, estado civil, renda salarial estimada, uso de álcool, uso de drogas ilícitas, sem especificação, uso de tabaco, uso continuado de medicação e por fim, percepção quanto ao acesso em saúde. Inobstante, foram perguntados quanto à percepção própria de questões em acesso à saúde específicas à comunidade, como transição gênero pelo Sistema Unificado de Saúde (SUS) e discriminação nos estabelecimentos públicos e privados de saúde.</w:t>
      </w:r>
    </w:p>
    <w:p w14:paraId="07592ABD" w14:textId="05495B03" w:rsidR="00930701" w:rsidRDefault="00442634" w:rsidP="00442634">
      <w:pPr>
        <w:spacing w:after="0" w:line="360" w:lineRule="auto"/>
        <w:ind w:firstLine="709"/>
        <w:jc w:val="both"/>
        <w:rPr>
          <w:rFonts w:ascii="Arial" w:eastAsia="Arial" w:hAnsi="Arial" w:cs="Arial"/>
          <w:sz w:val="24"/>
          <w:szCs w:val="24"/>
        </w:rPr>
      </w:pPr>
      <w:r w:rsidRPr="00442634">
        <w:rPr>
          <w:rFonts w:ascii="Arial" w:eastAsia="Arial" w:hAnsi="Arial" w:cs="Arial"/>
          <w:sz w:val="24"/>
          <w:szCs w:val="24"/>
        </w:rPr>
        <w:t xml:space="preserve">O método aplicado no estudo foi o de abordagem </w:t>
      </w:r>
      <w:proofErr w:type="spellStart"/>
      <w:r w:rsidRPr="00442634">
        <w:rPr>
          <w:rFonts w:ascii="Arial" w:eastAsia="Arial" w:hAnsi="Arial" w:cs="Arial"/>
          <w:sz w:val="24"/>
          <w:szCs w:val="24"/>
        </w:rPr>
        <w:t>quali-quantiativo</w:t>
      </w:r>
      <w:proofErr w:type="spellEnd"/>
      <w:r w:rsidRPr="00442634">
        <w:rPr>
          <w:rFonts w:ascii="Arial" w:eastAsia="Arial" w:hAnsi="Arial" w:cs="Arial"/>
          <w:sz w:val="24"/>
          <w:szCs w:val="24"/>
        </w:rPr>
        <w:t>. Após a coleta, os dados foram disponibilizados em gráficos com auxílio do Microsoft Excel ®, seguido da análise estatística e discussão.</w:t>
      </w:r>
    </w:p>
    <w:p w14:paraId="02C95BEC" w14:textId="742741D3" w:rsidR="00930701" w:rsidRDefault="00486485">
      <w:pPr>
        <w:spacing w:after="0" w:line="360" w:lineRule="auto"/>
        <w:jc w:val="both"/>
        <w:rPr>
          <w:rFonts w:ascii="Arial" w:eastAsia="Arial" w:hAnsi="Arial" w:cs="Arial"/>
          <w:sz w:val="24"/>
          <w:szCs w:val="24"/>
        </w:rPr>
      </w:pPr>
      <w:r>
        <w:rPr>
          <w:rFonts w:ascii="Arial" w:eastAsia="Arial" w:hAnsi="Arial" w:cs="Arial"/>
          <w:sz w:val="20"/>
          <w:szCs w:val="20"/>
        </w:rPr>
        <w:t xml:space="preserve">                                                            </w:t>
      </w:r>
    </w:p>
    <w:p w14:paraId="01D81640" w14:textId="77777777" w:rsidR="00930701" w:rsidRDefault="00486485">
      <w:pPr>
        <w:numPr>
          <w:ilvl w:val="0"/>
          <w:numId w:val="2"/>
        </w:numPr>
        <w:spacing w:after="0" w:line="360" w:lineRule="auto"/>
        <w:jc w:val="both"/>
        <w:rPr>
          <w:rFonts w:ascii="Arial" w:eastAsia="Arial" w:hAnsi="Arial" w:cs="Arial"/>
          <w:b/>
          <w:sz w:val="24"/>
          <w:szCs w:val="24"/>
        </w:rPr>
      </w:pPr>
      <w:r>
        <w:rPr>
          <w:rFonts w:ascii="Arial" w:eastAsia="Arial" w:hAnsi="Arial" w:cs="Arial"/>
          <w:b/>
          <w:sz w:val="24"/>
          <w:szCs w:val="24"/>
        </w:rPr>
        <w:t>RESULTADOS E DISCUSSÃO</w:t>
      </w:r>
    </w:p>
    <w:p w14:paraId="19DEABFB" w14:textId="587F7791" w:rsidR="00930701" w:rsidRDefault="00442634">
      <w:pPr>
        <w:spacing w:after="0" w:line="360" w:lineRule="auto"/>
        <w:ind w:firstLine="709"/>
        <w:jc w:val="both"/>
        <w:rPr>
          <w:rFonts w:ascii="Arial" w:eastAsia="Arial" w:hAnsi="Arial" w:cs="Arial"/>
          <w:sz w:val="24"/>
          <w:szCs w:val="24"/>
        </w:rPr>
      </w:pPr>
      <w:r w:rsidRPr="00442634">
        <w:rPr>
          <w:rFonts w:ascii="Arial" w:eastAsia="Arial" w:hAnsi="Arial" w:cs="Arial"/>
          <w:sz w:val="24"/>
          <w:szCs w:val="24"/>
        </w:rPr>
        <w:t xml:space="preserve">Onze participantes responderam </w:t>
      </w:r>
      <w:proofErr w:type="spellStart"/>
      <w:r w:rsidRPr="00442634">
        <w:rPr>
          <w:rFonts w:ascii="Arial" w:eastAsia="Arial" w:hAnsi="Arial" w:cs="Arial"/>
          <w:sz w:val="24"/>
          <w:szCs w:val="24"/>
        </w:rPr>
        <w:t>o</w:t>
      </w:r>
      <w:proofErr w:type="spellEnd"/>
      <w:r w:rsidRPr="00442634">
        <w:rPr>
          <w:rFonts w:ascii="Arial" w:eastAsia="Arial" w:hAnsi="Arial" w:cs="Arial"/>
          <w:sz w:val="24"/>
          <w:szCs w:val="24"/>
        </w:rPr>
        <w:t xml:space="preserve"> questionário em sua integralidade. Todos se declararam como transgênero e residentes no Tocantins</w:t>
      </w:r>
      <w:r>
        <w:rPr>
          <w:rFonts w:ascii="Arial" w:eastAsia="Arial" w:hAnsi="Arial" w:cs="Arial"/>
          <w:sz w:val="24"/>
          <w:szCs w:val="24"/>
        </w:rPr>
        <w:t>, com a seguinte distribuição sociodemográfica:</w:t>
      </w:r>
    </w:p>
    <w:p w14:paraId="7C46A234" w14:textId="421A4700" w:rsidR="00442634" w:rsidRDefault="00442634" w:rsidP="00442634">
      <w:pPr>
        <w:pStyle w:val="PargrafodaLista"/>
        <w:numPr>
          <w:ilvl w:val="0"/>
          <w:numId w:val="4"/>
        </w:numPr>
        <w:spacing w:after="0" w:line="360" w:lineRule="auto"/>
        <w:jc w:val="both"/>
        <w:rPr>
          <w:rFonts w:ascii="Arial" w:eastAsia="Arial" w:hAnsi="Arial" w:cs="Arial"/>
          <w:sz w:val="24"/>
          <w:szCs w:val="24"/>
        </w:rPr>
      </w:pPr>
      <w:r>
        <w:rPr>
          <w:rFonts w:ascii="Arial" w:eastAsia="Arial" w:hAnsi="Arial" w:cs="Arial"/>
          <w:sz w:val="24"/>
          <w:szCs w:val="24"/>
        </w:rPr>
        <w:t>Idade: 7 participantes no grupo de 19 a 34 anos e 4 participantes no grupo de 35 a 60 anos;</w:t>
      </w:r>
    </w:p>
    <w:p w14:paraId="7BE07EC1" w14:textId="51DA6324" w:rsidR="00442634" w:rsidRDefault="00442634" w:rsidP="00442634">
      <w:pPr>
        <w:pStyle w:val="PargrafodaLista"/>
        <w:numPr>
          <w:ilvl w:val="0"/>
          <w:numId w:val="4"/>
        </w:numPr>
        <w:spacing w:after="0" w:line="360" w:lineRule="auto"/>
        <w:jc w:val="both"/>
        <w:rPr>
          <w:rFonts w:ascii="Arial" w:eastAsia="Arial" w:hAnsi="Arial" w:cs="Arial"/>
          <w:sz w:val="24"/>
          <w:szCs w:val="24"/>
        </w:rPr>
      </w:pPr>
      <w:r>
        <w:rPr>
          <w:rFonts w:ascii="Arial" w:eastAsia="Arial" w:hAnsi="Arial" w:cs="Arial"/>
          <w:sz w:val="24"/>
          <w:szCs w:val="24"/>
        </w:rPr>
        <w:lastRenderedPageBreak/>
        <w:t>Gênero: 7 participantes homens e 4 mulheres;</w:t>
      </w:r>
    </w:p>
    <w:p w14:paraId="54DA7FD8" w14:textId="501F0A49" w:rsidR="00442634" w:rsidRDefault="00442634" w:rsidP="00442634">
      <w:pPr>
        <w:pStyle w:val="PargrafodaLista"/>
        <w:numPr>
          <w:ilvl w:val="0"/>
          <w:numId w:val="4"/>
        </w:numPr>
        <w:spacing w:after="0" w:line="360" w:lineRule="auto"/>
        <w:jc w:val="both"/>
        <w:rPr>
          <w:rFonts w:ascii="Arial" w:eastAsia="Arial" w:hAnsi="Arial" w:cs="Arial"/>
          <w:sz w:val="24"/>
          <w:szCs w:val="24"/>
        </w:rPr>
      </w:pPr>
      <w:r>
        <w:rPr>
          <w:rFonts w:ascii="Arial" w:eastAsia="Arial" w:hAnsi="Arial" w:cs="Arial"/>
          <w:sz w:val="24"/>
          <w:szCs w:val="24"/>
        </w:rPr>
        <w:t>Residência: 7 residentes em Palmas, 2 em Araguaína, 1 em Gurupi e 1 em Marianópolis;</w:t>
      </w:r>
    </w:p>
    <w:p w14:paraId="458BB0AF" w14:textId="0ABC4BE2" w:rsidR="00442634" w:rsidRDefault="00442634" w:rsidP="00442634">
      <w:pPr>
        <w:pStyle w:val="PargrafodaLista"/>
        <w:numPr>
          <w:ilvl w:val="0"/>
          <w:numId w:val="4"/>
        </w:numPr>
        <w:spacing w:after="0" w:line="360" w:lineRule="auto"/>
        <w:jc w:val="both"/>
        <w:rPr>
          <w:rFonts w:ascii="Arial" w:eastAsia="Arial" w:hAnsi="Arial" w:cs="Arial"/>
          <w:sz w:val="24"/>
          <w:szCs w:val="24"/>
        </w:rPr>
      </w:pPr>
      <w:r>
        <w:rPr>
          <w:rFonts w:ascii="Arial" w:eastAsia="Arial" w:hAnsi="Arial" w:cs="Arial"/>
          <w:sz w:val="24"/>
          <w:szCs w:val="24"/>
        </w:rPr>
        <w:t xml:space="preserve">Naturalidade: 6 tocantinenses e 5 não tocantinenses. </w:t>
      </w:r>
    </w:p>
    <w:p w14:paraId="49A17CC2" w14:textId="7C7FCBF8" w:rsidR="00442634" w:rsidRDefault="00442634" w:rsidP="00442634">
      <w:pPr>
        <w:spacing w:after="0" w:line="360" w:lineRule="auto"/>
        <w:jc w:val="both"/>
        <w:rPr>
          <w:rFonts w:ascii="Arial" w:eastAsia="Arial" w:hAnsi="Arial" w:cs="Arial"/>
          <w:sz w:val="24"/>
          <w:szCs w:val="24"/>
        </w:rPr>
      </w:pPr>
      <w:r w:rsidRPr="00442634">
        <w:rPr>
          <w:rFonts w:ascii="Arial" w:eastAsia="Arial" w:hAnsi="Arial" w:cs="Arial"/>
          <w:sz w:val="24"/>
          <w:szCs w:val="24"/>
        </w:rPr>
        <w:t xml:space="preserve">Quanto à seção referente ao questionário WHOQOL-BREF, todos as perguntas foram respondidas de maneira adequada, sem respostas ausentes. A avaliação das respostas foi feita a partir dos seguintes domínios: Saúde Física (questões Q3, Q4 e Q10 e de Q15 a Q18), Saúde </w:t>
      </w:r>
      <w:proofErr w:type="spellStart"/>
      <w:r w:rsidRPr="00442634">
        <w:rPr>
          <w:rFonts w:ascii="Arial" w:eastAsia="Arial" w:hAnsi="Arial" w:cs="Arial"/>
          <w:sz w:val="24"/>
          <w:szCs w:val="24"/>
        </w:rPr>
        <w:t>Psicólógica</w:t>
      </w:r>
      <w:proofErr w:type="spellEnd"/>
      <w:r w:rsidRPr="00442634">
        <w:rPr>
          <w:rFonts w:ascii="Arial" w:eastAsia="Arial" w:hAnsi="Arial" w:cs="Arial"/>
          <w:sz w:val="24"/>
          <w:szCs w:val="24"/>
        </w:rPr>
        <w:t xml:space="preserve"> (Q5 a Q7, Q11, Q19 e Q26), Relações Sociais (Q20 a Q22) </w:t>
      </w:r>
      <w:proofErr w:type="gramStart"/>
      <w:r w:rsidRPr="00442634">
        <w:rPr>
          <w:rFonts w:ascii="Arial" w:eastAsia="Arial" w:hAnsi="Arial" w:cs="Arial"/>
          <w:sz w:val="24"/>
          <w:szCs w:val="24"/>
        </w:rPr>
        <w:t>e Ambiente</w:t>
      </w:r>
      <w:proofErr w:type="gramEnd"/>
      <w:r w:rsidRPr="00442634">
        <w:rPr>
          <w:rFonts w:ascii="Arial" w:eastAsia="Arial" w:hAnsi="Arial" w:cs="Arial"/>
          <w:sz w:val="24"/>
          <w:szCs w:val="24"/>
        </w:rPr>
        <w:t xml:space="preserve"> (Q8, Q9, Q12 a Q14, Q23 a Q25). Cada resposta para cada pergunta foi convertida em uma tabela com valores de 1 a 5, como mostrado na tabela abaixo.</w:t>
      </w:r>
    </w:p>
    <w:p w14:paraId="0F1098C6" w14:textId="00405118" w:rsidR="00442634" w:rsidRDefault="00442634" w:rsidP="00442634">
      <w:pPr>
        <w:spacing w:after="0" w:line="360" w:lineRule="auto"/>
        <w:jc w:val="both"/>
        <w:rPr>
          <w:rFonts w:ascii="Arial" w:eastAsia="Arial" w:hAnsi="Arial" w:cs="Arial"/>
          <w:sz w:val="24"/>
          <w:szCs w:val="24"/>
        </w:rPr>
      </w:pPr>
      <w:r w:rsidRPr="00442634">
        <w:rPr>
          <w:rFonts w:ascii="Arial" w:eastAsia="Arial" w:hAnsi="Arial" w:cs="Arial"/>
          <w:sz w:val="24"/>
          <w:szCs w:val="24"/>
        </w:rPr>
        <w:t>Tabela 1: Pontuação por item respondido. Fonte: adaptado de heartbeat.com</w:t>
      </w:r>
      <w:r>
        <w:rPr>
          <w:rFonts w:ascii="Arial" w:eastAsia="Arial" w:hAnsi="Arial" w:cs="Arial"/>
          <w:sz w:val="24"/>
          <w:szCs w:val="24"/>
        </w:rPr>
        <w:t>.</w:t>
      </w:r>
    </w:p>
    <w:tbl>
      <w:tblPr>
        <w:tblW w:w="9315" w:type="dxa"/>
        <w:tblInd w:w="322" w:type="dxa"/>
        <w:tblCellMar>
          <w:left w:w="70" w:type="dxa"/>
          <w:right w:w="70" w:type="dxa"/>
        </w:tblCellMar>
        <w:tblLook w:val="04A0" w:firstRow="1" w:lastRow="0" w:firstColumn="1" w:lastColumn="0" w:noHBand="0" w:noVBand="1"/>
      </w:tblPr>
      <w:tblGrid>
        <w:gridCol w:w="2006"/>
        <w:gridCol w:w="3074"/>
        <w:gridCol w:w="1524"/>
        <w:gridCol w:w="1616"/>
        <w:gridCol w:w="1095"/>
      </w:tblGrid>
      <w:tr w:rsidR="00442634" w:rsidRPr="00820E3D" w14:paraId="6F8F616F" w14:textId="77777777" w:rsidTr="00823B80">
        <w:trPr>
          <w:trHeight w:val="300"/>
        </w:trPr>
        <w:tc>
          <w:tcPr>
            <w:tcW w:w="82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B933EB" w14:textId="77777777" w:rsidR="00442634" w:rsidRPr="00820E3D" w:rsidRDefault="00442634" w:rsidP="00823B80">
            <w:pPr>
              <w:suppressAutoHyphens w:val="0"/>
              <w:jc w:val="center"/>
              <w:rPr>
                <w:color w:val="000000"/>
              </w:rPr>
            </w:pPr>
            <w:r w:rsidRPr="00820E3D">
              <w:rPr>
                <w:color w:val="000000"/>
              </w:rPr>
              <w:t>Respostas</w:t>
            </w:r>
          </w:p>
        </w:tc>
        <w:tc>
          <w:tcPr>
            <w:tcW w:w="1095" w:type="dxa"/>
            <w:tcBorders>
              <w:top w:val="single" w:sz="4" w:space="0" w:color="auto"/>
              <w:left w:val="nil"/>
              <w:bottom w:val="single" w:sz="4" w:space="0" w:color="auto"/>
              <w:right w:val="single" w:sz="4" w:space="0" w:color="auto"/>
            </w:tcBorders>
            <w:shd w:val="clear" w:color="auto" w:fill="auto"/>
            <w:noWrap/>
            <w:vAlign w:val="center"/>
            <w:hideMark/>
          </w:tcPr>
          <w:p w14:paraId="7209730B" w14:textId="77777777" w:rsidR="00442634" w:rsidRPr="00820E3D" w:rsidRDefault="00442634" w:rsidP="00823B80">
            <w:pPr>
              <w:suppressAutoHyphens w:val="0"/>
              <w:jc w:val="center"/>
              <w:rPr>
                <w:color w:val="000000"/>
              </w:rPr>
            </w:pPr>
            <w:r w:rsidRPr="00820E3D">
              <w:rPr>
                <w:color w:val="000000"/>
              </w:rPr>
              <w:t>Pontuação</w:t>
            </w:r>
          </w:p>
        </w:tc>
      </w:tr>
      <w:tr w:rsidR="00442634" w:rsidRPr="00820E3D" w14:paraId="14C0A729" w14:textId="77777777" w:rsidTr="00823B80">
        <w:trPr>
          <w:trHeight w:val="300"/>
        </w:trPr>
        <w:tc>
          <w:tcPr>
            <w:tcW w:w="2006" w:type="dxa"/>
            <w:tcBorders>
              <w:top w:val="nil"/>
              <w:left w:val="single" w:sz="4" w:space="0" w:color="auto"/>
              <w:bottom w:val="single" w:sz="4" w:space="0" w:color="auto"/>
              <w:right w:val="single" w:sz="4" w:space="0" w:color="auto"/>
            </w:tcBorders>
            <w:shd w:val="clear" w:color="auto" w:fill="auto"/>
            <w:noWrap/>
            <w:vAlign w:val="center"/>
            <w:hideMark/>
          </w:tcPr>
          <w:p w14:paraId="6A99C3A7" w14:textId="77777777" w:rsidR="00442634" w:rsidRPr="00820E3D" w:rsidRDefault="00442634" w:rsidP="00823B80">
            <w:pPr>
              <w:suppressAutoHyphens w:val="0"/>
              <w:jc w:val="center"/>
              <w:rPr>
                <w:color w:val="000000"/>
              </w:rPr>
            </w:pPr>
            <w:r w:rsidRPr="00820E3D">
              <w:rPr>
                <w:color w:val="000000"/>
              </w:rPr>
              <w:t>Muito ruim</w:t>
            </w:r>
          </w:p>
        </w:tc>
        <w:tc>
          <w:tcPr>
            <w:tcW w:w="3074" w:type="dxa"/>
            <w:tcBorders>
              <w:top w:val="nil"/>
              <w:left w:val="nil"/>
              <w:bottom w:val="single" w:sz="4" w:space="0" w:color="auto"/>
              <w:right w:val="single" w:sz="4" w:space="0" w:color="auto"/>
            </w:tcBorders>
            <w:shd w:val="clear" w:color="auto" w:fill="auto"/>
            <w:noWrap/>
            <w:vAlign w:val="center"/>
            <w:hideMark/>
          </w:tcPr>
          <w:p w14:paraId="27F3BFE7" w14:textId="77777777" w:rsidR="00442634" w:rsidRPr="00820E3D" w:rsidRDefault="00442634" w:rsidP="00823B80">
            <w:pPr>
              <w:suppressAutoHyphens w:val="0"/>
              <w:jc w:val="center"/>
              <w:rPr>
                <w:color w:val="000000"/>
              </w:rPr>
            </w:pPr>
            <w:r w:rsidRPr="00820E3D">
              <w:rPr>
                <w:color w:val="000000"/>
              </w:rPr>
              <w:t>Muito insatisfeito</w:t>
            </w:r>
          </w:p>
        </w:tc>
        <w:tc>
          <w:tcPr>
            <w:tcW w:w="1524" w:type="dxa"/>
            <w:tcBorders>
              <w:top w:val="nil"/>
              <w:left w:val="nil"/>
              <w:bottom w:val="single" w:sz="4" w:space="0" w:color="auto"/>
              <w:right w:val="single" w:sz="4" w:space="0" w:color="auto"/>
            </w:tcBorders>
            <w:shd w:val="clear" w:color="auto" w:fill="auto"/>
            <w:noWrap/>
            <w:vAlign w:val="center"/>
            <w:hideMark/>
          </w:tcPr>
          <w:p w14:paraId="4D15B96A" w14:textId="77777777" w:rsidR="00442634" w:rsidRPr="00820E3D" w:rsidRDefault="00442634" w:rsidP="00823B80">
            <w:pPr>
              <w:suppressAutoHyphens w:val="0"/>
              <w:jc w:val="center"/>
              <w:rPr>
                <w:color w:val="000000"/>
              </w:rPr>
            </w:pPr>
            <w:r w:rsidRPr="00820E3D">
              <w:rPr>
                <w:color w:val="000000"/>
              </w:rPr>
              <w:t>Nada</w:t>
            </w:r>
          </w:p>
        </w:tc>
        <w:tc>
          <w:tcPr>
            <w:tcW w:w="1616" w:type="dxa"/>
            <w:tcBorders>
              <w:top w:val="nil"/>
              <w:left w:val="nil"/>
              <w:bottom w:val="single" w:sz="4" w:space="0" w:color="auto"/>
              <w:right w:val="single" w:sz="4" w:space="0" w:color="auto"/>
            </w:tcBorders>
            <w:shd w:val="clear" w:color="auto" w:fill="auto"/>
            <w:noWrap/>
            <w:vAlign w:val="center"/>
            <w:hideMark/>
          </w:tcPr>
          <w:p w14:paraId="5576EFB3" w14:textId="77777777" w:rsidR="00442634" w:rsidRPr="00820E3D" w:rsidRDefault="00442634" w:rsidP="00823B80">
            <w:pPr>
              <w:suppressAutoHyphens w:val="0"/>
              <w:jc w:val="center"/>
              <w:rPr>
                <w:color w:val="000000"/>
              </w:rPr>
            </w:pPr>
            <w:r w:rsidRPr="00820E3D">
              <w:rPr>
                <w:color w:val="000000"/>
              </w:rPr>
              <w:t>Nada</w:t>
            </w:r>
          </w:p>
        </w:tc>
        <w:tc>
          <w:tcPr>
            <w:tcW w:w="1095" w:type="dxa"/>
            <w:tcBorders>
              <w:top w:val="nil"/>
              <w:left w:val="nil"/>
              <w:bottom w:val="single" w:sz="4" w:space="0" w:color="auto"/>
              <w:right w:val="single" w:sz="4" w:space="0" w:color="auto"/>
            </w:tcBorders>
            <w:shd w:val="clear" w:color="auto" w:fill="auto"/>
            <w:noWrap/>
            <w:vAlign w:val="center"/>
            <w:hideMark/>
          </w:tcPr>
          <w:p w14:paraId="4ED677D9" w14:textId="77777777" w:rsidR="00442634" w:rsidRPr="00820E3D" w:rsidRDefault="00442634" w:rsidP="00823B80">
            <w:pPr>
              <w:suppressAutoHyphens w:val="0"/>
              <w:jc w:val="center"/>
              <w:rPr>
                <w:color w:val="000000"/>
              </w:rPr>
            </w:pPr>
            <w:r w:rsidRPr="00820E3D">
              <w:rPr>
                <w:color w:val="000000"/>
              </w:rPr>
              <w:t>1</w:t>
            </w:r>
          </w:p>
        </w:tc>
      </w:tr>
      <w:tr w:rsidR="00442634" w:rsidRPr="00820E3D" w14:paraId="2070E5D9" w14:textId="77777777" w:rsidTr="00823B80">
        <w:trPr>
          <w:trHeight w:val="300"/>
        </w:trPr>
        <w:tc>
          <w:tcPr>
            <w:tcW w:w="2006" w:type="dxa"/>
            <w:tcBorders>
              <w:top w:val="nil"/>
              <w:left w:val="single" w:sz="4" w:space="0" w:color="auto"/>
              <w:bottom w:val="single" w:sz="4" w:space="0" w:color="auto"/>
              <w:right w:val="single" w:sz="4" w:space="0" w:color="auto"/>
            </w:tcBorders>
            <w:shd w:val="clear" w:color="auto" w:fill="auto"/>
            <w:noWrap/>
            <w:vAlign w:val="center"/>
            <w:hideMark/>
          </w:tcPr>
          <w:p w14:paraId="3DD995E1" w14:textId="77777777" w:rsidR="00442634" w:rsidRPr="00820E3D" w:rsidRDefault="00442634" w:rsidP="00823B80">
            <w:pPr>
              <w:suppressAutoHyphens w:val="0"/>
              <w:jc w:val="center"/>
              <w:rPr>
                <w:color w:val="000000"/>
              </w:rPr>
            </w:pPr>
            <w:r w:rsidRPr="00820E3D">
              <w:rPr>
                <w:color w:val="000000"/>
              </w:rPr>
              <w:t>Ruim</w:t>
            </w:r>
          </w:p>
        </w:tc>
        <w:tc>
          <w:tcPr>
            <w:tcW w:w="3074" w:type="dxa"/>
            <w:tcBorders>
              <w:top w:val="nil"/>
              <w:left w:val="nil"/>
              <w:bottom w:val="single" w:sz="4" w:space="0" w:color="auto"/>
              <w:right w:val="single" w:sz="4" w:space="0" w:color="auto"/>
            </w:tcBorders>
            <w:shd w:val="clear" w:color="auto" w:fill="auto"/>
            <w:noWrap/>
            <w:vAlign w:val="center"/>
            <w:hideMark/>
          </w:tcPr>
          <w:p w14:paraId="5F57A53D" w14:textId="77777777" w:rsidR="00442634" w:rsidRPr="00820E3D" w:rsidRDefault="00442634" w:rsidP="00823B80">
            <w:pPr>
              <w:suppressAutoHyphens w:val="0"/>
              <w:jc w:val="center"/>
              <w:rPr>
                <w:color w:val="000000"/>
              </w:rPr>
            </w:pPr>
            <w:r w:rsidRPr="00820E3D">
              <w:rPr>
                <w:color w:val="000000"/>
              </w:rPr>
              <w:t>Insatisfeito</w:t>
            </w:r>
          </w:p>
        </w:tc>
        <w:tc>
          <w:tcPr>
            <w:tcW w:w="1524" w:type="dxa"/>
            <w:tcBorders>
              <w:top w:val="nil"/>
              <w:left w:val="nil"/>
              <w:bottom w:val="single" w:sz="4" w:space="0" w:color="auto"/>
              <w:right w:val="single" w:sz="4" w:space="0" w:color="auto"/>
            </w:tcBorders>
            <w:shd w:val="clear" w:color="auto" w:fill="auto"/>
            <w:noWrap/>
            <w:vAlign w:val="center"/>
            <w:hideMark/>
          </w:tcPr>
          <w:p w14:paraId="406B0075" w14:textId="77777777" w:rsidR="00442634" w:rsidRPr="00820E3D" w:rsidRDefault="00442634" w:rsidP="00823B80">
            <w:pPr>
              <w:suppressAutoHyphens w:val="0"/>
              <w:jc w:val="center"/>
              <w:rPr>
                <w:color w:val="000000"/>
              </w:rPr>
            </w:pPr>
            <w:r w:rsidRPr="00820E3D">
              <w:rPr>
                <w:color w:val="000000"/>
              </w:rPr>
              <w:t>Muito pouco</w:t>
            </w:r>
          </w:p>
        </w:tc>
        <w:tc>
          <w:tcPr>
            <w:tcW w:w="1616" w:type="dxa"/>
            <w:tcBorders>
              <w:top w:val="nil"/>
              <w:left w:val="nil"/>
              <w:bottom w:val="single" w:sz="4" w:space="0" w:color="auto"/>
              <w:right w:val="single" w:sz="4" w:space="0" w:color="auto"/>
            </w:tcBorders>
            <w:shd w:val="clear" w:color="auto" w:fill="auto"/>
            <w:noWrap/>
            <w:vAlign w:val="center"/>
            <w:hideMark/>
          </w:tcPr>
          <w:p w14:paraId="63FD6689" w14:textId="77777777" w:rsidR="00442634" w:rsidRPr="00820E3D" w:rsidRDefault="00442634" w:rsidP="00823B80">
            <w:pPr>
              <w:suppressAutoHyphens w:val="0"/>
              <w:jc w:val="center"/>
              <w:rPr>
                <w:color w:val="000000"/>
              </w:rPr>
            </w:pPr>
            <w:r w:rsidRPr="00820E3D">
              <w:rPr>
                <w:color w:val="000000"/>
              </w:rPr>
              <w:t>Muito pouco</w:t>
            </w:r>
          </w:p>
        </w:tc>
        <w:tc>
          <w:tcPr>
            <w:tcW w:w="1095" w:type="dxa"/>
            <w:tcBorders>
              <w:top w:val="nil"/>
              <w:left w:val="nil"/>
              <w:bottom w:val="single" w:sz="4" w:space="0" w:color="auto"/>
              <w:right w:val="single" w:sz="4" w:space="0" w:color="auto"/>
            </w:tcBorders>
            <w:shd w:val="clear" w:color="auto" w:fill="auto"/>
            <w:noWrap/>
            <w:vAlign w:val="center"/>
            <w:hideMark/>
          </w:tcPr>
          <w:p w14:paraId="0B539467" w14:textId="77777777" w:rsidR="00442634" w:rsidRPr="00820E3D" w:rsidRDefault="00442634" w:rsidP="00823B80">
            <w:pPr>
              <w:suppressAutoHyphens w:val="0"/>
              <w:jc w:val="center"/>
              <w:rPr>
                <w:color w:val="000000"/>
              </w:rPr>
            </w:pPr>
            <w:r w:rsidRPr="00820E3D">
              <w:rPr>
                <w:color w:val="000000"/>
              </w:rPr>
              <w:t>2</w:t>
            </w:r>
          </w:p>
        </w:tc>
      </w:tr>
      <w:tr w:rsidR="00442634" w:rsidRPr="00820E3D" w14:paraId="484A2272" w14:textId="77777777" w:rsidTr="00823B80">
        <w:trPr>
          <w:trHeight w:val="300"/>
        </w:trPr>
        <w:tc>
          <w:tcPr>
            <w:tcW w:w="2006" w:type="dxa"/>
            <w:tcBorders>
              <w:top w:val="nil"/>
              <w:left w:val="single" w:sz="4" w:space="0" w:color="auto"/>
              <w:bottom w:val="single" w:sz="4" w:space="0" w:color="auto"/>
              <w:right w:val="single" w:sz="4" w:space="0" w:color="auto"/>
            </w:tcBorders>
            <w:shd w:val="clear" w:color="auto" w:fill="auto"/>
            <w:noWrap/>
            <w:vAlign w:val="center"/>
            <w:hideMark/>
          </w:tcPr>
          <w:p w14:paraId="262E72AD" w14:textId="77777777" w:rsidR="00442634" w:rsidRPr="00820E3D" w:rsidRDefault="00442634" w:rsidP="00823B80">
            <w:pPr>
              <w:suppressAutoHyphens w:val="0"/>
              <w:jc w:val="center"/>
              <w:rPr>
                <w:color w:val="000000"/>
              </w:rPr>
            </w:pPr>
            <w:r w:rsidRPr="00820E3D">
              <w:rPr>
                <w:color w:val="000000"/>
              </w:rPr>
              <w:t>Nem ruim nem bom</w:t>
            </w:r>
          </w:p>
        </w:tc>
        <w:tc>
          <w:tcPr>
            <w:tcW w:w="3074" w:type="dxa"/>
            <w:tcBorders>
              <w:top w:val="nil"/>
              <w:left w:val="nil"/>
              <w:bottom w:val="single" w:sz="4" w:space="0" w:color="auto"/>
              <w:right w:val="single" w:sz="4" w:space="0" w:color="auto"/>
            </w:tcBorders>
            <w:shd w:val="clear" w:color="auto" w:fill="auto"/>
            <w:noWrap/>
            <w:vAlign w:val="center"/>
            <w:hideMark/>
          </w:tcPr>
          <w:p w14:paraId="5EF21D34" w14:textId="77777777" w:rsidR="00442634" w:rsidRPr="00820E3D" w:rsidRDefault="00442634" w:rsidP="00823B80">
            <w:pPr>
              <w:suppressAutoHyphens w:val="0"/>
              <w:jc w:val="center"/>
              <w:rPr>
                <w:color w:val="000000"/>
              </w:rPr>
            </w:pPr>
            <w:r w:rsidRPr="00820E3D">
              <w:rPr>
                <w:color w:val="000000"/>
              </w:rPr>
              <w:t>Nem satisfeito nem insatisfeito</w:t>
            </w:r>
          </w:p>
        </w:tc>
        <w:tc>
          <w:tcPr>
            <w:tcW w:w="1524" w:type="dxa"/>
            <w:tcBorders>
              <w:top w:val="nil"/>
              <w:left w:val="nil"/>
              <w:bottom w:val="single" w:sz="4" w:space="0" w:color="auto"/>
              <w:right w:val="single" w:sz="4" w:space="0" w:color="auto"/>
            </w:tcBorders>
            <w:shd w:val="clear" w:color="auto" w:fill="auto"/>
            <w:noWrap/>
            <w:vAlign w:val="center"/>
            <w:hideMark/>
          </w:tcPr>
          <w:p w14:paraId="0957433D" w14:textId="77777777" w:rsidR="00442634" w:rsidRPr="00820E3D" w:rsidRDefault="00442634" w:rsidP="00823B80">
            <w:pPr>
              <w:suppressAutoHyphens w:val="0"/>
              <w:jc w:val="center"/>
              <w:rPr>
                <w:color w:val="000000"/>
              </w:rPr>
            </w:pPr>
            <w:r w:rsidRPr="00820E3D">
              <w:rPr>
                <w:color w:val="000000"/>
              </w:rPr>
              <w:t>Mais ou menos</w:t>
            </w:r>
          </w:p>
        </w:tc>
        <w:tc>
          <w:tcPr>
            <w:tcW w:w="1616" w:type="dxa"/>
            <w:tcBorders>
              <w:top w:val="nil"/>
              <w:left w:val="nil"/>
              <w:bottom w:val="single" w:sz="4" w:space="0" w:color="auto"/>
              <w:right w:val="single" w:sz="4" w:space="0" w:color="auto"/>
            </w:tcBorders>
            <w:shd w:val="clear" w:color="auto" w:fill="auto"/>
            <w:noWrap/>
            <w:vAlign w:val="center"/>
            <w:hideMark/>
          </w:tcPr>
          <w:p w14:paraId="73BB2B7C" w14:textId="77777777" w:rsidR="00442634" w:rsidRPr="00820E3D" w:rsidRDefault="00442634" w:rsidP="00823B80">
            <w:pPr>
              <w:suppressAutoHyphens w:val="0"/>
              <w:jc w:val="center"/>
              <w:rPr>
                <w:color w:val="000000"/>
              </w:rPr>
            </w:pPr>
            <w:r w:rsidRPr="00820E3D">
              <w:rPr>
                <w:color w:val="000000"/>
              </w:rPr>
              <w:t>Médio</w:t>
            </w:r>
          </w:p>
        </w:tc>
        <w:tc>
          <w:tcPr>
            <w:tcW w:w="1095" w:type="dxa"/>
            <w:tcBorders>
              <w:top w:val="nil"/>
              <w:left w:val="nil"/>
              <w:bottom w:val="single" w:sz="4" w:space="0" w:color="auto"/>
              <w:right w:val="single" w:sz="4" w:space="0" w:color="auto"/>
            </w:tcBorders>
            <w:shd w:val="clear" w:color="auto" w:fill="auto"/>
            <w:noWrap/>
            <w:vAlign w:val="center"/>
            <w:hideMark/>
          </w:tcPr>
          <w:p w14:paraId="6E803A51" w14:textId="77777777" w:rsidR="00442634" w:rsidRPr="00820E3D" w:rsidRDefault="00442634" w:rsidP="00823B80">
            <w:pPr>
              <w:suppressAutoHyphens w:val="0"/>
              <w:jc w:val="center"/>
              <w:rPr>
                <w:color w:val="000000"/>
              </w:rPr>
            </w:pPr>
            <w:r w:rsidRPr="00820E3D">
              <w:rPr>
                <w:color w:val="000000"/>
              </w:rPr>
              <w:t>3</w:t>
            </w:r>
          </w:p>
        </w:tc>
      </w:tr>
      <w:tr w:rsidR="00442634" w:rsidRPr="00820E3D" w14:paraId="62F03068" w14:textId="77777777" w:rsidTr="00823B80">
        <w:trPr>
          <w:trHeight w:val="300"/>
        </w:trPr>
        <w:tc>
          <w:tcPr>
            <w:tcW w:w="2006" w:type="dxa"/>
            <w:tcBorders>
              <w:top w:val="nil"/>
              <w:left w:val="single" w:sz="4" w:space="0" w:color="auto"/>
              <w:bottom w:val="single" w:sz="4" w:space="0" w:color="auto"/>
              <w:right w:val="single" w:sz="4" w:space="0" w:color="auto"/>
            </w:tcBorders>
            <w:shd w:val="clear" w:color="auto" w:fill="auto"/>
            <w:noWrap/>
            <w:vAlign w:val="center"/>
            <w:hideMark/>
          </w:tcPr>
          <w:p w14:paraId="5F185457" w14:textId="77777777" w:rsidR="00442634" w:rsidRPr="00820E3D" w:rsidRDefault="00442634" w:rsidP="00823B80">
            <w:pPr>
              <w:suppressAutoHyphens w:val="0"/>
              <w:jc w:val="center"/>
              <w:rPr>
                <w:color w:val="000000"/>
              </w:rPr>
            </w:pPr>
            <w:r w:rsidRPr="00820E3D">
              <w:rPr>
                <w:color w:val="000000"/>
              </w:rPr>
              <w:t>Bom</w:t>
            </w:r>
          </w:p>
        </w:tc>
        <w:tc>
          <w:tcPr>
            <w:tcW w:w="3074" w:type="dxa"/>
            <w:tcBorders>
              <w:top w:val="nil"/>
              <w:left w:val="nil"/>
              <w:bottom w:val="single" w:sz="4" w:space="0" w:color="auto"/>
              <w:right w:val="single" w:sz="4" w:space="0" w:color="auto"/>
            </w:tcBorders>
            <w:shd w:val="clear" w:color="auto" w:fill="auto"/>
            <w:noWrap/>
            <w:vAlign w:val="center"/>
            <w:hideMark/>
          </w:tcPr>
          <w:p w14:paraId="43688125" w14:textId="77777777" w:rsidR="00442634" w:rsidRPr="00820E3D" w:rsidRDefault="00442634" w:rsidP="00823B80">
            <w:pPr>
              <w:suppressAutoHyphens w:val="0"/>
              <w:jc w:val="center"/>
              <w:rPr>
                <w:color w:val="000000"/>
              </w:rPr>
            </w:pPr>
            <w:r w:rsidRPr="00820E3D">
              <w:rPr>
                <w:color w:val="000000"/>
              </w:rPr>
              <w:t>Satisfeito</w:t>
            </w:r>
          </w:p>
        </w:tc>
        <w:tc>
          <w:tcPr>
            <w:tcW w:w="1524" w:type="dxa"/>
            <w:tcBorders>
              <w:top w:val="nil"/>
              <w:left w:val="nil"/>
              <w:bottom w:val="single" w:sz="4" w:space="0" w:color="auto"/>
              <w:right w:val="single" w:sz="4" w:space="0" w:color="auto"/>
            </w:tcBorders>
            <w:shd w:val="clear" w:color="auto" w:fill="auto"/>
            <w:noWrap/>
            <w:vAlign w:val="center"/>
            <w:hideMark/>
          </w:tcPr>
          <w:p w14:paraId="1B2F45BB" w14:textId="77777777" w:rsidR="00442634" w:rsidRPr="00820E3D" w:rsidRDefault="00442634" w:rsidP="00823B80">
            <w:pPr>
              <w:suppressAutoHyphens w:val="0"/>
              <w:jc w:val="center"/>
              <w:rPr>
                <w:color w:val="000000"/>
              </w:rPr>
            </w:pPr>
            <w:r w:rsidRPr="00820E3D">
              <w:rPr>
                <w:color w:val="000000"/>
              </w:rPr>
              <w:t>Bastante</w:t>
            </w:r>
          </w:p>
        </w:tc>
        <w:tc>
          <w:tcPr>
            <w:tcW w:w="1616" w:type="dxa"/>
            <w:tcBorders>
              <w:top w:val="nil"/>
              <w:left w:val="nil"/>
              <w:bottom w:val="single" w:sz="4" w:space="0" w:color="auto"/>
              <w:right w:val="single" w:sz="4" w:space="0" w:color="auto"/>
            </w:tcBorders>
            <w:shd w:val="clear" w:color="auto" w:fill="auto"/>
            <w:noWrap/>
            <w:vAlign w:val="center"/>
            <w:hideMark/>
          </w:tcPr>
          <w:p w14:paraId="7F92CFE0" w14:textId="77777777" w:rsidR="00442634" w:rsidRPr="00820E3D" w:rsidRDefault="00442634" w:rsidP="00823B80">
            <w:pPr>
              <w:suppressAutoHyphens w:val="0"/>
              <w:jc w:val="center"/>
              <w:rPr>
                <w:color w:val="000000"/>
              </w:rPr>
            </w:pPr>
            <w:r w:rsidRPr="00820E3D">
              <w:rPr>
                <w:color w:val="000000"/>
              </w:rPr>
              <w:t>Muito pouco</w:t>
            </w:r>
          </w:p>
        </w:tc>
        <w:tc>
          <w:tcPr>
            <w:tcW w:w="1095" w:type="dxa"/>
            <w:tcBorders>
              <w:top w:val="nil"/>
              <w:left w:val="nil"/>
              <w:bottom w:val="single" w:sz="4" w:space="0" w:color="auto"/>
              <w:right w:val="single" w:sz="4" w:space="0" w:color="auto"/>
            </w:tcBorders>
            <w:shd w:val="clear" w:color="auto" w:fill="auto"/>
            <w:noWrap/>
            <w:vAlign w:val="center"/>
            <w:hideMark/>
          </w:tcPr>
          <w:p w14:paraId="3E3DC660" w14:textId="77777777" w:rsidR="00442634" w:rsidRPr="00820E3D" w:rsidRDefault="00442634" w:rsidP="00823B80">
            <w:pPr>
              <w:suppressAutoHyphens w:val="0"/>
              <w:jc w:val="center"/>
              <w:rPr>
                <w:color w:val="000000"/>
              </w:rPr>
            </w:pPr>
            <w:r w:rsidRPr="00820E3D">
              <w:rPr>
                <w:color w:val="000000"/>
              </w:rPr>
              <w:t>4</w:t>
            </w:r>
          </w:p>
        </w:tc>
      </w:tr>
      <w:tr w:rsidR="00442634" w:rsidRPr="00820E3D" w14:paraId="0AAA6828" w14:textId="77777777" w:rsidTr="00823B80">
        <w:trPr>
          <w:trHeight w:val="300"/>
        </w:trPr>
        <w:tc>
          <w:tcPr>
            <w:tcW w:w="2006" w:type="dxa"/>
            <w:tcBorders>
              <w:top w:val="nil"/>
              <w:left w:val="single" w:sz="4" w:space="0" w:color="auto"/>
              <w:bottom w:val="single" w:sz="4" w:space="0" w:color="auto"/>
              <w:right w:val="single" w:sz="4" w:space="0" w:color="auto"/>
            </w:tcBorders>
            <w:shd w:val="clear" w:color="auto" w:fill="auto"/>
            <w:noWrap/>
            <w:vAlign w:val="center"/>
            <w:hideMark/>
          </w:tcPr>
          <w:p w14:paraId="337DF653" w14:textId="77777777" w:rsidR="00442634" w:rsidRPr="00820E3D" w:rsidRDefault="00442634" w:rsidP="00823B80">
            <w:pPr>
              <w:suppressAutoHyphens w:val="0"/>
              <w:jc w:val="center"/>
              <w:rPr>
                <w:color w:val="000000"/>
              </w:rPr>
            </w:pPr>
            <w:r w:rsidRPr="00820E3D">
              <w:rPr>
                <w:color w:val="000000"/>
              </w:rPr>
              <w:t>Muito bom</w:t>
            </w:r>
          </w:p>
        </w:tc>
        <w:tc>
          <w:tcPr>
            <w:tcW w:w="3074" w:type="dxa"/>
            <w:tcBorders>
              <w:top w:val="nil"/>
              <w:left w:val="nil"/>
              <w:bottom w:val="single" w:sz="4" w:space="0" w:color="auto"/>
              <w:right w:val="single" w:sz="4" w:space="0" w:color="auto"/>
            </w:tcBorders>
            <w:shd w:val="clear" w:color="auto" w:fill="auto"/>
            <w:noWrap/>
            <w:vAlign w:val="center"/>
            <w:hideMark/>
          </w:tcPr>
          <w:p w14:paraId="025FA140" w14:textId="77777777" w:rsidR="00442634" w:rsidRPr="00820E3D" w:rsidRDefault="00442634" w:rsidP="00823B80">
            <w:pPr>
              <w:suppressAutoHyphens w:val="0"/>
              <w:jc w:val="center"/>
              <w:rPr>
                <w:color w:val="000000"/>
              </w:rPr>
            </w:pPr>
            <w:r w:rsidRPr="00820E3D">
              <w:rPr>
                <w:color w:val="000000"/>
              </w:rPr>
              <w:t>Muito satisfeito</w:t>
            </w:r>
          </w:p>
        </w:tc>
        <w:tc>
          <w:tcPr>
            <w:tcW w:w="1524" w:type="dxa"/>
            <w:tcBorders>
              <w:top w:val="nil"/>
              <w:left w:val="nil"/>
              <w:bottom w:val="single" w:sz="4" w:space="0" w:color="auto"/>
              <w:right w:val="single" w:sz="4" w:space="0" w:color="auto"/>
            </w:tcBorders>
            <w:shd w:val="clear" w:color="auto" w:fill="auto"/>
            <w:noWrap/>
            <w:vAlign w:val="center"/>
            <w:hideMark/>
          </w:tcPr>
          <w:p w14:paraId="29B9D896" w14:textId="77777777" w:rsidR="00442634" w:rsidRPr="00820E3D" w:rsidRDefault="00442634" w:rsidP="00823B80">
            <w:pPr>
              <w:suppressAutoHyphens w:val="0"/>
              <w:jc w:val="center"/>
              <w:rPr>
                <w:color w:val="000000"/>
              </w:rPr>
            </w:pPr>
            <w:r w:rsidRPr="00820E3D">
              <w:rPr>
                <w:color w:val="000000"/>
              </w:rPr>
              <w:t>Extremamente</w:t>
            </w:r>
          </w:p>
        </w:tc>
        <w:tc>
          <w:tcPr>
            <w:tcW w:w="1616" w:type="dxa"/>
            <w:tcBorders>
              <w:top w:val="nil"/>
              <w:left w:val="nil"/>
              <w:bottom w:val="single" w:sz="4" w:space="0" w:color="auto"/>
              <w:right w:val="single" w:sz="4" w:space="0" w:color="auto"/>
            </w:tcBorders>
            <w:shd w:val="clear" w:color="auto" w:fill="auto"/>
            <w:noWrap/>
            <w:vAlign w:val="center"/>
            <w:hideMark/>
          </w:tcPr>
          <w:p w14:paraId="59B6BF25" w14:textId="77777777" w:rsidR="00442634" w:rsidRPr="00820E3D" w:rsidRDefault="00442634" w:rsidP="00823B80">
            <w:pPr>
              <w:suppressAutoHyphens w:val="0"/>
              <w:jc w:val="center"/>
              <w:rPr>
                <w:color w:val="000000"/>
              </w:rPr>
            </w:pPr>
            <w:r w:rsidRPr="00820E3D">
              <w:rPr>
                <w:color w:val="000000"/>
              </w:rPr>
              <w:t>Completamente</w:t>
            </w:r>
          </w:p>
        </w:tc>
        <w:tc>
          <w:tcPr>
            <w:tcW w:w="1095" w:type="dxa"/>
            <w:tcBorders>
              <w:top w:val="nil"/>
              <w:left w:val="nil"/>
              <w:bottom w:val="single" w:sz="4" w:space="0" w:color="auto"/>
              <w:right w:val="single" w:sz="4" w:space="0" w:color="auto"/>
            </w:tcBorders>
            <w:shd w:val="clear" w:color="auto" w:fill="auto"/>
            <w:noWrap/>
            <w:vAlign w:val="center"/>
            <w:hideMark/>
          </w:tcPr>
          <w:p w14:paraId="52CFD850" w14:textId="77777777" w:rsidR="00442634" w:rsidRPr="00820E3D" w:rsidRDefault="00442634" w:rsidP="00823B80">
            <w:pPr>
              <w:suppressAutoHyphens w:val="0"/>
              <w:jc w:val="center"/>
              <w:rPr>
                <w:color w:val="000000"/>
              </w:rPr>
            </w:pPr>
            <w:r w:rsidRPr="00820E3D">
              <w:rPr>
                <w:color w:val="000000"/>
              </w:rPr>
              <w:t>5</w:t>
            </w:r>
          </w:p>
        </w:tc>
      </w:tr>
    </w:tbl>
    <w:p w14:paraId="03EC4E73" w14:textId="77777777" w:rsidR="00442634" w:rsidRDefault="00442634" w:rsidP="00442634">
      <w:pPr>
        <w:spacing w:after="0" w:line="360" w:lineRule="auto"/>
        <w:jc w:val="both"/>
        <w:rPr>
          <w:rFonts w:ascii="Arial" w:eastAsia="Arial" w:hAnsi="Arial" w:cs="Arial"/>
          <w:sz w:val="24"/>
          <w:szCs w:val="24"/>
        </w:rPr>
      </w:pPr>
    </w:p>
    <w:p w14:paraId="0957A2E8" w14:textId="77777777" w:rsidR="00442634" w:rsidRPr="00442634" w:rsidRDefault="00442634" w:rsidP="00442634">
      <w:pPr>
        <w:spacing w:after="0" w:line="360" w:lineRule="auto"/>
        <w:jc w:val="both"/>
        <w:rPr>
          <w:rFonts w:ascii="Arial" w:eastAsia="Arial" w:hAnsi="Arial" w:cs="Arial"/>
          <w:sz w:val="24"/>
          <w:szCs w:val="24"/>
        </w:rPr>
      </w:pPr>
      <w:r w:rsidRPr="00442634">
        <w:rPr>
          <w:rFonts w:ascii="Arial" w:eastAsia="Arial" w:hAnsi="Arial" w:cs="Arial"/>
          <w:sz w:val="24"/>
          <w:szCs w:val="24"/>
        </w:rPr>
        <w:lastRenderedPageBreak/>
        <w:t>Após a contagem da pontuação por item, cada participante teve seus domínios de vida calculados soma dos resultados de cada pergunta multiplicados por quatro e divididos pela quantidade de perguntas em cada domínio, como mostrado nas fórmulas abaixo. As perguntas 3, 4 e 26 tiveram seus valores subtraídos de 6 por serem perguntas negativas, quanto maior a frequência da resposta, pior seu resultado.</w:t>
      </w:r>
    </w:p>
    <w:p w14:paraId="021161A5" w14:textId="77777777" w:rsidR="00442634" w:rsidRPr="00442634" w:rsidRDefault="00442634" w:rsidP="00442634">
      <w:pPr>
        <w:spacing w:after="0" w:line="360" w:lineRule="auto"/>
        <w:jc w:val="both"/>
        <w:rPr>
          <w:rFonts w:ascii="Arial" w:eastAsia="Arial" w:hAnsi="Arial" w:cs="Arial"/>
          <w:sz w:val="24"/>
          <w:szCs w:val="24"/>
        </w:rPr>
      </w:pPr>
      <w:r w:rsidRPr="00442634">
        <w:rPr>
          <w:rFonts w:ascii="Arial" w:eastAsia="Arial" w:hAnsi="Arial" w:cs="Arial"/>
          <w:sz w:val="24"/>
          <w:szCs w:val="24"/>
        </w:rPr>
        <w:t>Saúde física = 4 X ((6-Q3) + (6-Q4) + Q10 + Q15 + Q16 + Q17 + Q</w:t>
      </w:r>
      <w:proofErr w:type="gramStart"/>
      <w:r w:rsidRPr="00442634">
        <w:rPr>
          <w:rFonts w:ascii="Arial" w:eastAsia="Arial" w:hAnsi="Arial" w:cs="Arial"/>
          <w:sz w:val="24"/>
          <w:szCs w:val="24"/>
        </w:rPr>
        <w:t>18)/</w:t>
      </w:r>
      <w:proofErr w:type="gramEnd"/>
      <w:r w:rsidRPr="00442634">
        <w:rPr>
          <w:rFonts w:ascii="Arial" w:eastAsia="Arial" w:hAnsi="Arial" w:cs="Arial"/>
          <w:sz w:val="24"/>
          <w:szCs w:val="24"/>
        </w:rPr>
        <w:t>7</w:t>
      </w:r>
    </w:p>
    <w:p w14:paraId="6FDBB5BB" w14:textId="77777777" w:rsidR="00442634" w:rsidRPr="00442634" w:rsidRDefault="00442634" w:rsidP="00442634">
      <w:pPr>
        <w:spacing w:after="0" w:line="360" w:lineRule="auto"/>
        <w:jc w:val="both"/>
        <w:rPr>
          <w:rFonts w:ascii="Arial" w:eastAsia="Arial" w:hAnsi="Arial" w:cs="Arial"/>
          <w:sz w:val="24"/>
          <w:szCs w:val="24"/>
        </w:rPr>
      </w:pPr>
      <w:r w:rsidRPr="00442634">
        <w:rPr>
          <w:rFonts w:ascii="Arial" w:eastAsia="Arial" w:hAnsi="Arial" w:cs="Arial"/>
          <w:sz w:val="24"/>
          <w:szCs w:val="24"/>
        </w:rPr>
        <w:t xml:space="preserve">Saúde psicológica </w:t>
      </w:r>
      <w:proofErr w:type="gramStart"/>
      <w:r w:rsidRPr="00442634">
        <w:rPr>
          <w:rFonts w:ascii="Arial" w:eastAsia="Arial" w:hAnsi="Arial" w:cs="Arial"/>
          <w:sz w:val="24"/>
          <w:szCs w:val="24"/>
        </w:rPr>
        <w:t>=  4</w:t>
      </w:r>
      <w:proofErr w:type="gramEnd"/>
      <w:r w:rsidRPr="00442634">
        <w:rPr>
          <w:rFonts w:ascii="Arial" w:eastAsia="Arial" w:hAnsi="Arial" w:cs="Arial"/>
          <w:sz w:val="24"/>
          <w:szCs w:val="24"/>
        </w:rPr>
        <w:t xml:space="preserve"> X (Q5 + Q6 + Q7 + Q11 + Q19 + (6-Q26))/6</w:t>
      </w:r>
    </w:p>
    <w:p w14:paraId="5AD7A904" w14:textId="77777777" w:rsidR="00442634" w:rsidRPr="00442634" w:rsidRDefault="00442634" w:rsidP="00442634">
      <w:pPr>
        <w:spacing w:after="0" w:line="360" w:lineRule="auto"/>
        <w:jc w:val="both"/>
        <w:rPr>
          <w:rFonts w:ascii="Arial" w:eastAsia="Arial" w:hAnsi="Arial" w:cs="Arial"/>
          <w:sz w:val="24"/>
          <w:szCs w:val="24"/>
        </w:rPr>
      </w:pPr>
      <w:r w:rsidRPr="00442634">
        <w:rPr>
          <w:rFonts w:ascii="Arial" w:eastAsia="Arial" w:hAnsi="Arial" w:cs="Arial"/>
          <w:sz w:val="24"/>
          <w:szCs w:val="24"/>
        </w:rPr>
        <w:t>Relações sociais = 4 X (Q20 + Q21 + Q</w:t>
      </w:r>
      <w:proofErr w:type="gramStart"/>
      <w:r w:rsidRPr="00442634">
        <w:rPr>
          <w:rFonts w:ascii="Arial" w:eastAsia="Arial" w:hAnsi="Arial" w:cs="Arial"/>
          <w:sz w:val="24"/>
          <w:szCs w:val="24"/>
        </w:rPr>
        <w:t>22)/</w:t>
      </w:r>
      <w:proofErr w:type="gramEnd"/>
      <w:r w:rsidRPr="00442634">
        <w:rPr>
          <w:rFonts w:ascii="Arial" w:eastAsia="Arial" w:hAnsi="Arial" w:cs="Arial"/>
          <w:sz w:val="24"/>
          <w:szCs w:val="24"/>
        </w:rPr>
        <w:t>3</w:t>
      </w:r>
    </w:p>
    <w:p w14:paraId="1E7BE662" w14:textId="77777777" w:rsidR="00442634" w:rsidRPr="00442634" w:rsidRDefault="00442634" w:rsidP="00442634">
      <w:pPr>
        <w:spacing w:after="0" w:line="360" w:lineRule="auto"/>
        <w:jc w:val="both"/>
        <w:rPr>
          <w:rFonts w:ascii="Arial" w:eastAsia="Arial" w:hAnsi="Arial" w:cs="Arial"/>
          <w:sz w:val="24"/>
          <w:szCs w:val="24"/>
        </w:rPr>
      </w:pPr>
      <w:r w:rsidRPr="00442634">
        <w:rPr>
          <w:rFonts w:ascii="Arial" w:eastAsia="Arial" w:hAnsi="Arial" w:cs="Arial"/>
          <w:sz w:val="24"/>
          <w:szCs w:val="24"/>
        </w:rPr>
        <w:t>Ambiente = 4 X (Q8 + Q9 + Q12 + Q13 + Q14 + Q23 + Q24 + Q</w:t>
      </w:r>
      <w:proofErr w:type="gramStart"/>
      <w:r w:rsidRPr="00442634">
        <w:rPr>
          <w:rFonts w:ascii="Arial" w:eastAsia="Arial" w:hAnsi="Arial" w:cs="Arial"/>
          <w:sz w:val="24"/>
          <w:szCs w:val="24"/>
        </w:rPr>
        <w:t>25)/</w:t>
      </w:r>
      <w:proofErr w:type="gramEnd"/>
      <w:r w:rsidRPr="00442634">
        <w:rPr>
          <w:rFonts w:ascii="Arial" w:eastAsia="Arial" w:hAnsi="Arial" w:cs="Arial"/>
          <w:sz w:val="24"/>
          <w:szCs w:val="24"/>
        </w:rPr>
        <w:t xml:space="preserve">8 </w:t>
      </w:r>
    </w:p>
    <w:p w14:paraId="1241EE9C" w14:textId="77777777" w:rsidR="00442634" w:rsidRPr="00442634" w:rsidRDefault="00442634" w:rsidP="00442634">
      <w:pPr>
        <w:spacing w:after="0" w:line="360" w:lineRule="auto"/>
        <w:jc w:val="both"/>
        <w:rPr>
          <w:rFonts w:ascii="Arial" w:eastAsia="Arial" w:hAnsi="Arial" w:cs="Arial"/>
          <w:sz w:val="24"/>
          <w:szCs w:val="24"/>
        </w:rPr>
      </w:pPr>
      <w:r w:rsidRPr="00442634">
        <w:rPr>
          <w:rFonts w:ascii="Arial" w:eastAsia="Arial" w:hAnsi="Arial" w:cs="Arial"/>
          <w:sz w:val="24"/>
          <w:szCs w:val="24"/>
        </w:rPr>
        <w:t>Os resultados foram então convertidos em uma escala de 0 a 100, na qual quanto mais próximo o valor de 100, melhor seria a percepção do indivíduo sobre tal domínio. Para a conversão, foi utilizada a fórmula abaixo:</w:t>
      </w:r>
    </w:p>
    <w:p w14:paraId="066B8236" w14:textId="77777777" w:rsidR="00442634" w:rsidRPr="00442634" w:rsidRDefault="00442634" w:rsidP="00442634">
      <w:pPr>
        <w:spacing w:after="0" w:line="360" w:lineRule="auto"/>
        <w:jc w:val="both"/>
        <w:rPr>
          <w:rFonts w:ascii="Arial" w:eastAsia="Arial" w:hAnsi="Arial" w:cs="Arial"/>
          <w:sz w:val="24"/>
          <w:szCs w:val="24"/>
        </w:rPr>
      </w:pPr>
      <w:r w:rsidRPr="00442634">
        <w:rPr>
          <w:rFonts w:ascii="Arial" w:eastAsia="Arial" w:hAnsi="Arial" w:cs="Arial"/>
          <w:sz w:val="24"/>
          <w:szCs w:val="24"/>
        </w:rPr>
        <w:t>Pontuação convertida = (Pontuação do domínio – 4) X (100/16).</w:t>
      </w:r>
    </w:p>
    <w:p w14:paraId="3BC922FF" w14:textId="6C743A4C" w:rsidR="00442634" w:rsidRDefault="00442634" w:rsidP="00442634">
      <w:pPr>
        <w:spacing w:after="0" w:line="360" w:lineRule="auto"/>
        <w:jc w:val="both"/>
        <w:rPr>
          <w:rFonts w:ascii="Arial" w:eastAsia="Arial" w:hAnsi="Arial" w:cs="Arial"/>
          <w:sz w:val="24"/>
          <w:szCs w:val="24"/>
        </w:rPr>
      </w:pPr>
      <w:r w:rsidRPr="00442634">
        <w:rPr>
          <w:rFonts w:ascii="Arial" w:eastAsia="Arial" w:hAnsi="Arial" w:cs="Arial"/>
          <w:sz w:val="24"/>
          <w:szCs w:val="24"/>
        </w:rPr>
        <w:t>Os resultados da pontuação convertida por entrevistado e a média de todos os correspondentes está demonstrada no gráfico abaixo</w:t>
      </w:r>
      <w:r>
        <w:rPr>
          <w:rFonts w:ascii="Arial" w:eastAsia="Arial" w:hAnsi="Arial" w:cs="Arial"/>
          <w:sz w:val="24"/>
          <w:szCs w:val="24"/>
        </w:rPr>
        <w:t>:</w:t>
      </w:r>
    </w:p>
    <w:p w14:paraId="28ACECE4" w14:textId="65F6DC74" w:rsidR="00442634" w:rsidRDefault="00442634" w:rsidP="00442634">
      <w:pPr>
        <w:spacing w:after="0" w:line="360" w:lineRule="auto"/>
        <w:jc w:val="both"/>
        <w:rPr>
          <w:rFonts w:ascii="Arial" w:eastAsia="Arial" w:hAnsi="Arial" w:cs="Arial"/>
          <w:sz w:val="24"/>
          <w:szCs w:val="24"/>
        </w:rPr>
      </w:pPr>
      <w:r w:rsidRPr="00442634">
        <w:rPr>
          <w:rFonts w:ascii="Arial" w:eastAsia="Arial" w:hAnsi="Arial" w:cs="Arial"/>
          <w:sz w:val="24"/>
          <w:szCs w:val="24"/>
        </w:rPr>
        <w:t>Figura 5: Fonte: autoria própria.</w:t>
      </w:r>
    </w:p>
    <w:p w14:paraId="4BDC34C2" w14:textId="039FE103" w:rsidR="00442634" w:rsidRPr="00442634" w:rsidRDefault="00442634" w:rsidP="00442634">
      <w:pPr>
        <w:spacing w:after="0" w:line="360" w:lineRule="auto"/>
        <w:jc w:val="both"/>
        <w:rPr>
          <w:rFonts w:ascii="Arial" w:eastAsia="Arial" w:hAnsi="Arial" w:cs="Arial"/>
          <w:sz w:val="24"/>
          <w:szCs w:val="24"/>
        </w:rPr>
      </w:pPr>
      <w:r w:rsidRPr="00443A75">
        <w:rPr>
          <w:noProof/>
        </w:rPr>
        <w:lastRenderedPageBreak/>
        <w:drawing>
          <wp:inline distT="0" distB="0" distL="0" distR="0" wp14:anchorId="649334A6" wp14:editId="344CDBFA">
            <wp:extent cx="4568825" cy="2740025"/>
            <wp:effectExtent l="0" t="0" r="3175" b="3175"/>
            <wp:docPr id="1403724140" name="Gráfico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2283BD1" w14:textId="5035EC8E" w:rsidR="00442634" w:rsidRDefault="00442634">
      <w:pPr>
        <w:spacing w:after="0" w:line="360" w:lineRule="auto"/>
        <w:ind w:firstLine="709"/>
        <w:jc w:val="both"/>
        <w:rPr>
          <w:rFonts w:ascii="Arial" w:eastAsia="Arial" w:hAnsi="Arial" w:cs="Arial"/>
          <w:sz w:val="24"/>
          <w:szCs w:val="24"/>
        </w:rPr>
      </w:pPr>
      <w:r w:rsidRPr="00442634">
        <w:rPr>
          <w:rFonts w:ascii="Arial" w:eastAsia="Arial" w:hAnsi="Arial" w:cs="Arial"/>
          <w:sz w:val="24"/>
          <w:szCs w:val="24"/>
        </w:rPr>
        <w:t xml:space="preserve">A análise dos valores dados a cada domínio não segue um padrão homogêneo. Os domínios da Saúde Física, Saúde Psicológica e Relações sociais tiveram médias ajustadas acima de 60%, mas o domínio de Ambiente </w:t>
      </w:r>
      <w:proofErr w:type="spellStart"/>
      <w:r w:rsidRPr="00442634">
        <w:rPr>
          <w:rFonts w:ascii="Arial" w:eastAsia="Arial" w:hAnsi="Arial" w:cs="Arial"/>
          <w:sz w:val="24"/>
          <w:szCs w:val="24"/>
        </w:rPr>
        <w:t>antigiu</w:t>
      </w:r>
      <w:proofErr w:type="spellEnd"/>
      <w:r w:rsidRPr="00442634">
        <w:rPr>
          <w:rFonts w:ascii="Arial" w:eastAsia="Arial" w:hAnsi="Arial" w:cs="Arial"/>
          <w:sz w:val="24"/>
          <w:szCs w:val="24"/>
        </w:rPr>
        <w:t xml:space="preserve"> apenas 50%. As médias dos valores dos domínios para cada participante variaram de 34 a 79%, com a diferença entre o menor valor de domínio e o maior valor para cada participante variando entre 15 a 54%. O formulário também contou com 10 perguntas sobre demandas, experiências e pessoalidades da </w:t>
      </w:r>
      <w:proofErr w:type="spellStart"/>
      <w:r w:rsidRPr="00442634">
        <w:rPr>
          <w:rFonts w:ascii="Arial" w:eastAsia="Arial" w:hAnsi="Arial" w:cs="Arial"/>
          <w:sz w:val="24"/>
          <w:szCs w:val="24"/>
        </w:rPr>
        <w:t>comunida</w:t>
      </w:r>
      <w:proofErr w:type="spellEnd"/>
      <w:r w:rsidRPr="00442634">
        <w:rPr>
          <w:rFonts w:ascii="Arial" w:eastAsia="Arial" w:hAnsi="Arial" w:cs="Arial"/>
          <w:sz w:val="24"/>
          <w:szCs w:val="24"/>
        </w:rPr>
        <w:t xml:space="preserve"> trans. </w:t>
      </w:r>
      <w:proofErr w:type="gramStart"/>
      <w:r w:rsidRPr="00442634">
        <w:rPr>
          <w:rFonts w:ascii="Arial" w:eastAsia="Arial" w:hAnsi="Arial" w:cs="Arial"/>
          <w:sz w:val="24"/>
          <w:szCs w:val="24"/>
        </w:rPr>
        <w:t>As perguntas e a distribuição de respostas pode</w:t>
      </w:r>
      <w:proofErr w:type="gramEnd"/>
      <w:r w:rsidRPr="00442634">
        <w:rPr>
          <w:rFonts w:ascii="Arial" w:eastAsia="Arial" w:hAnsi="Arial" w:cs="Arial"/>
          <w:sz w:val="24"/>
          <w:szCs w:val="24"/>
        </w:rPr>
        <w:t xml:space="preserve"> ser vista </w:t>
      </w:r>
      <w:r>
        <w:rPr>
          <w:rFonts w:ascii="Arial" w:eastAsia="Arial" w:hAnsi="Arial" w:cs="Arial"/>
          <w:sz w:val="24"/>
          <w:szCs w:val="24"/>
        </w:rPr>
        <w:t>na tabela abaixo:</w:t>
      </w:r>
    </w:p>
    <w:p w14:paraId="64B39380" w14:textId="1558698F" w:rsidR="00442634" w:rsidRDefault="00352E12">
      <w:pPr>
        <w:spacing w:after="0" w:line="360" w:lineRule="auto"/>
        <w:ind w:firstLine="709"/>
        <w:jc w:val="both"/>
        <w:rPr>
          <w:rFonts w:ascii="Arial" w:eastAsia="Arial" w:hAnsi="Arial" w:cs="Arial"/>
          <w:sz w:val="24"/>
          <w:szCs w:val="24"/>
        </w:rPr>
      </w:pPr>
      <w:r>
        <w:rPr>
          <w:rFonts w:ascii="Arial" w:eastAsia="Arial" w:hAnsi="Arial" w:cs="Arial"/>
          <w:sz w:val="24"/>
          <w:szCs w:val="24"/>
        </w:rPr>
        <w:lastRenderedPageBreak/>
        <w:t>Tabela 2: Distribuição de respostas quanto às experiências próprias. Fonte: autoria própria.</w:t>
      </w:r>
    </w:p>
    <w:tbl>
      <w:tblPr>
        <w:tblW w:w="10320" w:type="dxa"/>
        <w:tblCellMar>
          <w:left w:w="70" w:type="dxa"/>
          <w:right w:w="70" w:type="dxa"/>
        </w:tblCellMar>
        <w:tblLook w:val="04A0" w:firstRow="1" w:lastRow="0" w:firstColumn="1" w:lastColumn="0" w:noHBand="0" w:noVBand="1"/>
      </w:tblPr>
      <w:tblGrid>
        <w:gridCol w:w="8400"/>
        <w:gridCol w:w="960"/>
        <w:gridCol w:w="960"/>
      </w:tblGrid>
      <w:tr w:rsidR="00352E12" w:rsidRPr="00352E12" w14:paraId="11A259CF" w14:textId="77777777" w:rsidTr="00352E12">
        <w:trPr>
          <w:trHeight w:val="300"/>
        </w:trPr>
        <w:tc>
          <w:tcPr>
            <w:tcW w:w="8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67FA46" w14:textId="77777777" w:rsidR="00352E12" w:rsidRPr="00352E12" w:rsidRDefault="00352E12" w:rsidP="00352E12">
            <w:pPr>
              <w:suppressAutoHyphens w:val="0"/>
              <w:spacing w:after="0" w:line="240" w:lineRule="auto"/>
              <w:jc w:val="center"/>
              <w:rPr>
                <w:rFonts w:ascii="Tah[" w:eastAsia="Times New Roman" w:hAnsi="Tah["/>
                <w:color w:val="000000"/>
              </w:rPr>
            </w:pPr>
            <w:r w:rsidRPr="00352E12">
              <w:rPr>
                <w:rFonts w:ascii="Tah[" w:eastAsia="Times New Roman" w:hAnsi="Tah["/>
                <w:color w:val="000000"/>
              </w:rPr>
              <w:t> </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25F93BDA" w14:textId="77777777" w:rsidR="00352E12" w:rsidRPr="00352E12" w:rsidRDefault="00352E12" w:rsidP="00352E12">
            <w:pPr>
              <w:suppressAutoHyphens w:val="0"/>
              <w:spacing w:after="0" w:line="240" w:lineRule="auto"/>
              <w:jc w:val="center"/>
              <w:rPr>
                <w:rFonts w:ascii="Tah[" w:eastAsia="Times New Roman" w:hAnsi="Tah["/>
                <w:color w:val="000000"/>
              </w:rPr>
            </w:pPr>
            <w:r w:rsidRPr="00352E12">
              <w:rPr>
                <w:rFonts w:ascii="Tah[" w:eastAsia="Times New Roman" w:hAnsi="Tah["/>
                <w:color w:val="000000"/>
              </w:rPr>
              <w:t>Sim</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6579EDBD" w14:textId="77777777" w:rsidR="00352E12" w:rsidRPr="00352E12" w:rsidRDefault="00352E12" w:rsidP="00352E12">
            <w:pPr>
              <w:suppressAutoHyphens w:val="0"/>
              <w:spacing w:after="0" w:line="240" w:lineRule="auto"/>
              <w:jc w:val="center"/>
              <w:rPr>
                <w:rFonts w:ascii="Tah[" w:eastAsia="Times New Roman" w:hAnsi="Tah["/>
                <w:color w:val="000000"/>
              </w:rPr>
            </w:pPr>
            <w:r w:rsidRPr="00352E12">
              <w:rPr>
                <w:rFonts w:ascii="Tah[" w:eastAsia="Times New Roman" w:hAnsi="Tah["/>
                <w:color w:val="000000"/>
              </w:rPr>
              <w:t>Não</w:t>
            </w:r>
          </w:p>
        </w:tc>
      </w:tr>
      <w:tr w:rsidR="00352E12" w:rsidRPr="00352E12" w14:paraId="44098932" w14:textId="77777777" w:rsidTr="00352E12">
        <w:trPr>
          <w:trHeight w:val="300"/>
        </w:trPr>
        <w:tc>
          <w:tcPr>
            <w:tcW w:w="8400" w:type="dxa"/>
            <w:tcBorders>
              <w:top w:val="nil"/>
              <w:left w:val="single" w:sz="4" w:space="0" w:color="auto"/>
              <w:bottom w:val="single" w:sz="4" w:space="0" w:color="auto"/>
              <w:right w:val="single" w:sz="4" w:space="0" w:color="auto"/>
            </w:tcBorders>
            <w:shd w:val="clear" w:color="auto" w:fill="auto"/>
            <w:noWrap/>
            <w:vAlign w:val="center"/>
            <w:hideMark/>
          </w:tcPr>
          <w:p w14:paraId="1C5C0E21" w14:textId="77777777" w:rsidR="00352E12" w:rsidRPr="00352E12" w:rsidRDefault="00352E12" w:rsidP="00352E12">
            <w:pPr>
              <w:suppressAutoHyphens w:val="0"/>
              <w:spacing w:after="0" w:line="240" w:lineRule="auto"/>
              <w:jc w:val="center"/>
              <w:rPr>
                <w:rFonts w:ascii="Tah[" w:eastAsia="Times New Roman" w:hAnsi="Tah["/>
                <w:color w:val="000000"/>
              </w:rPr>
            </w:pPr>
            <w:r w:rsidRPr="00352E12">
              <w:rPr>
                <w:rFonts w:ascii="Tah[" w:eastAsia="Times New Roman" w:hAnsi="Tah["/>
                <w:color w:val="000000"/>
              </w:rPr>
              <w:t>Acompanhamento psicológico atual no SUS</w:t>
            </w:r>
          </w:p>
        </w:tc>
        <w:tc>
          <w:tcPr>
            <w:tcW w:w="960" w:type="dxa"/>
            <w:tcBorders>
              <w:top w:val="nil"/>
              <w:left w:val="nil"/>
              <w:bottom w:val="single" w:sz="4" w:space="0" w:color="auto"/>
              <w:right w:val="single" w:sz="4" w:space="0" w:color="auto"/>
            </w:tcBorders>
            <w:shd w:val="clear" w:color="auto" w:fill="auto"/>
            <w:noWrap/>
            <w:vAlign w:val="center"/>
            <w:hideMark/>
          </w:tcPr>
          <w:p w14:paraId="1296B6BF" w14:textId="77777777" w:rsidR="00352E12" w:rsidRPr="00352E12" w:rsidRDefault="00352E12" w:rsidP="00352E12">
            <w:pPr>
              <w:suppressAutoHyphens w:val="0"/>
              <w:spacing w:after="0" w:line="240" w:lineRule="auto"/>
              <w:jc w:val="center"/>
              <w:rPr>
                <w:rFonts w:ascii="Tah[" w:eastAsia="Times New Roman" w:hAnsi="Tah["/>
                <w:color w:val="000000"/>
              </w:rPr>
            </w:pPr>
            <w:r w:rsidRPr="00352E12">
              <w:rPr>
                <w:rFonts w:ascii="Tah[" w:eastAsia="Times New Roman" w:hAnsi="Tah["/>
                <w:color w:val="000000"/>
              </w:rPr>
              <w:t>18%</w:t>
            </w:r>
          </w:p>
        </w:tc>
        <w:tc>
          <w:tcPr>
            <w:tcW w:w="960" w:type="dxa"/>
            <w:tcBorders>
              <w:top w:val="nil"/>
              <w:left w:val="nil"/>
              <w:bottom w:val="single" w:sz="4" w:space="0" w:color="auto"/>
              <w:right w:val="single" w:sz="4" w:space="0" w:color="auto"/>
            </w:tcBorders>
            <w:shd w:val="clear" w:color="auto" w:fill="auto"/>
            <w:noWrap/>
            <w:vAlign w:val="center"/>
            <w:hideMark/>
          </w:tcPr>
          <w:p w14:paraId="3AED7E0D" w14:textId="77777777" w:rsidR="00352E12" w:rsidRPr="00352E12" w:rsidRDefault="00352E12" w:rsidP="00352E12">
            <w:pPr>
              <w:suppressAutoHyphens w:val="0"/>
              <w:spacing w:after="0" w:line="240" w:lineRule="auto"/>
              <w:jc w:val="center"/>
              <w:rPr>
                <w:rFonts w:ascii="Tah[" w:eastAsia="Times New Roman" w:hAnsi="Tah["/>
                <w:b/>
                <w:bCs/>
                <w:color w:val="000000"/>
              </w:rPr>
            </w:pPr>
            <w:r w:rsidRPr="00352E12">
              <w:rPr>
                <w:rFonts w:ascii="Tah[" w:eastAsia="Times New Roman" w:hAnsi="Tah["/>
                <w:b/>
                <w:bCs/>
                <w:color w:val="000000"/>
              </w:rPr>
              <w:t>82%</w:t>
            </w:r>
          </w:p>
        </w:tc>
      </w:tr>
      <w:tr w:rsidR="00352E12" w:rsidRPr="00352E12" w14:paraId="6393BD22" w14:textId="77777777" w:rsidTr="00352E12">
        <w:trPr>
          <w:trHeight w:val="300"/>
        </w:trPr>
        <w:tc>
          <w:tcPr>
            <w:tcW w:w="8400" w:type="dxa"/>
            <w:tcBorders>
              <w:top w:val="nil"/>
              <w:left w:val="single" w:sz="4" w:space="0" w:color="auto"/>
              <w:bottom w:val="single" w:sz="4" w:space="0" w:color="auto"/>
              <w:right w:val="single" w:sz="4" w:space="0" w:color="auto"/>
            </w:tcBorders>
            <w:shd w:val="clear" w:color="auto" w:fill="auto"/>
            <w:noWrap/>
            <w:vAlign w:val="center"/>
            <w:hideMark/>
          </w:tcPr>
          <w:p w14:paraId="3CE12027" w14:textId="77777777" w:rsidR="00352E12" w:rsidRPr="00352E12" w:rsidRDefault="00352E12" w:rsidP="00352E12">
            <w:pPr>
              <w:suppressAutoHyphens w:val="0"/>
              <w:spacing w:after="0" w:line="240" w:lineRule="auto"/>
              <w:jc w:val="center"/>
              <w:rPr>
                <w:rFonts w:ascii="Tah[" w:eastAsia="Times New Roman" w:hAnsi="Tah["/>
                <w:color w:val="000000"/>
              </w:rPr>
            </w:pPr>
            <w:r w:rsidRPr="00352E12">
              <w:rPr>
                <w:rFonts w:ascii="Tah[" w:eastAsia="Times New Roman" w:hAnsi="Tah["/>
                <w:color w:val="000000"/>
              </w:rPr>
              <w:t xml:space="preserve">Acompanhamento de </w:t>
            </w:r>
            <w:proofErr w:type="spellStart"/>
            <w:r w:rsidRPr="00352E12">
              <w:rPr>
                <w:rFonts w:ascii="Tah[" w:eastAsia="Times New Roman" w:hAnsi="Tah["/>
                <w:color w:val="000000"/>
              </w:rPr>
              <w:t>hormonização</w:t>
            </w:r>
            <w:proofErr w:type="spellEnd"/>
            <w:r w:rsidRPr="00352E12">
              <w:rPr>
                <w:rFonts w:ascii="Tah[" w:eastAsia="Times New Roman" w:hAnsi="Tah["/>
                <w:color w:val="000000"/>
              </w:rPr>
              <w:t xml:space="preserve"> no SUS</w:t>
            </w:r>
          </w:p>
        </w:tc>
        <w:tc>
          <w:tcPr>
            <w:tcW w:w="960" w:type="dxa"/>
            <w:tcBorders>
              <w:top w:val="nil"/>
              <w:left w:val="nil"/>
              <w:bottom w:val="single" w:sz="4" w:space="0" w:color="auto"/>
              <w:right w:val="single" w:sz="4" w:space="0" w:color="auto"/>
            </w:tcBorders>
            <w:shd w:val="clear" w:color="auto" w:fill="auto"/>
            <w:noWrap/>
            <w:vAlign w:val="center"/>
            <w:hideMark/>
          </w:tcPr>
          <w:p w14:paraId="239B3B9B" w14:textId="77777777" w:rsidR="00352E12" w:rsidRPr="00352E12" w:rsidRDefault="00352E12" w:rsidP="00352E12">
            <w:pPr>
              <w:suppressAutoHyphens w:val="0"/>
              <w:spacing w:after="0" w:line="240" w:lineRule="auto"/>
              <w:jc w:val="center"/>
              <w:rPr>
                <w:rFonts w:ascii="Tah[" w:eastAsia="Times New Roman" w:hAnsi="Tah["/>
                <w:color w:val="000000"/>
              </w:rPr>
            </w:pPr>
            <w:r w:rsidRPr="00352E12">
              <w:rPr>
                <w:rFonts w:ascii="Tah[" w:eastAsia="Times New Roman" w:hAnsi="Tah["/>
                <w:color w:val="000000"/>
              </w:rPr>
              <w:t>45%</w:t>
            </w:r>
          </w:p>
        </w:tc>
        <w:tc>
          <w:tcPr>
            <w:tcW w:w="960" w:type="dxa"/>
            <w:tcBorders>
              <w:top w:val="nil"/>
              <w:left w:val="nil"/>
              <w:bottom w:val="single" w:sz="4" w:space="0" w:color="auto"/>
              <w:right w:val="single" w:sz="4" w:space="0" w:color="auto"/>
            </w:tcBorders>
            <w:shd w:val="clear" w:color="auto" w:fill="auto"/>
            <w:noWrap/>
            <w:vAlign w:val="center"/>
            <w:hideMark/>
          </w:tcPr>
          <w:p w14:paraId="154A6F12" w14:textId="77777777" w:rsidR="00352E12" w:rsidRPr="00352E12" w:rsidRDefault="00352E12" w:rsidP="00352E12">
            <w:pPr>
              <w:suppressAutoHyphens w:val="0"/>
              <w:spacing w:after="0" w:line="240" w:lineRule="auto"/>
              <w:jc w:val="center"/>
              <w:rPr>
                <w:rFonts w:ascii="Tah[" w:eastAsia="Times New Roman" w:hAnsi="Tah["/>
                <w:b/>
                <w:bCs/>
                <w:color w:val="000000"/>
              </w:rPr>
            </w:pPr>
            <w:r w:rsidRPr="00352E12">
              <w:rPr>
                <w:rFonts w:ascii="Tah[" w:eastAsia="Times New Roman" w:hAnsi="Tah["/>
                <w:b/>
                <w:bCs/>
                <w:color w:val="000000"/>
              </w:rPr>
              <w:t>55%</w:t>
            </w:r>
          </w:p>
        </w:tc>
      </w:tr>
      <w:tr w:rsidR="00352E12" w:rsidRPr="00352E12" w14:paraId="4A6D3C42" w14:textId="77777777" w:rsidTr="00352E12">
        <w:trPr>
          <w:trHeight w:val="300"/>
        </w:trPr>
        <w:tc>
          <w:tcPr>
            <w:tcW w:w="8400" w:type="dxa"/>
            <w:tcBorders>
              <w:top w:val="nil"/>
              <w:left w:val="single" w:sz="4" w:space="0" w:color="auto"/>
              <w:bottom w:val="single" w:sz="4" w:space="0" w:color="auto"/>
              <w:right w:val="single" w:sz="4" w:space="0" w:color="auto"/>
            </w:tcBorders>
            <w:shd w:val="clear" w:color="auto" w:fill="auto"/>
            <w:noWrap/>
            <w:vAlign w:val="center"/>
            <w:hideMark/>
          </w:tcPr>
          <w:p w14:paraId="35CBB903" w14:textId="77777777" w:rsidR="00352E12" w:rsidRPr="00352E12" w:rsidRDefault="00352E12" w:rsidP="00352E12">
            <w:pPr>
              <w:suppressAutoHyphens w:val="0"/>
              <w:spacing w:after="0" w:line="240" w:lineRule="auto"/>
              <w:jc w:val="center"/>
              <w:rPr>
                <w:rFonts w:ascii="Tah[" w:eastAsia="Times New Roman" w:hAnsi="Tah["/>
                <w:color w:val="000000"/>
              </w:rPr>
            </w:pPr>
            <w:r w:rsidRPr="00352E12">
              <w:rPr>
                <w:rFonts w:ascii="Tah[" w:eastAsia="Times New Roman" w:hAnsi="Tah["/>
                <w:color w:val="000000"/>
              </w:rPr>
              <w:t>Uso de nome social ou retificado em cartão SUS</w:t>
            </w:r>
          </w:p>
        </w:tc>
        <w:tc>
          <w:tcPr>
            <w:tcW w:w="960" w:type="dxa"/>
            <w:tcBorders>
              <w:top w:val="nil"/>
              <w:left w:val="nil"/>
              <w:bottom w:val="single" w:sz="4" w:space="0" w:color="auto"/>
              <w:right w:val="single" w:sz="4" w:space="0" w:color="auto"/>
            </w:tcBorders>
            <w:shd w:val="clear" w:color="auto" w:fill="auto"/>
            <w:noWrap/>
            <w:vAlign w:val="center"/>
            <w:hideMark/>
          </w:tcPr>
          <w:p w14:paraId="63858500" w14:textId="77777777" w:rsidR="00352E12" w:rsidRPr="00352E12" w:rsidRDefault="00352E12" w:rsidP="00352E12">
            <w:pPr>
              <w:suppressAutoHyphens w:val="0"/>
              <w:spacing w:after="0" w:line="240" w:lineRule="auto"/>
              <w:jc w:val="center"/>
              <w:rPr>
                <w:rFonts w:ascii="Tah[" w:eastAsia="Times New Roman" w:hAnsi="Tah["/>
                <w:b/>
                <w:bCs/>
                <w:color w:val="000000"/>
              </w:rPr>
            </w:pPr>
            <w:r w:rsidRPr="00352E12">
              <w:rPr>
                <w:rFonts w:ascii="Tah[" w:eastAsia="Times New Roman" w:hAnsi="Tah["/>
                <w:b/>
                <w:bCs/>
                <w:color w:val="000000"/>
              </w:rPr>
              <w:t>73%</w:t>
            </w:r>
          </w:p>
        </w:tc>
        <w:tc>
          <w:tcPr>
            <w:tcW w:w="960" w:type="dxa"/>
            <w:tcBorders>
              <w:top w:val="nil"/>
              <w:left w:val="nil"/>
              <w:bottom w:val="single" w:sz="4" w:space="0" w:color="auto"/>
              <w:right w:val="single" w:sz="4" w:space="0" w:color="auto"/>
            </w:tcBorders>
            <w:shd w:val="clear" w:color="auto" w:fill="auto"/>
            <w:noWrap/>
            <w:vAlign w:val="center"/>
            <w:hideMark/>
          </w:tcPr>
          <w:p w14:paraId="144C33D5" w14:textId="77777777" w:rsidR="00352E12" w:rsidRPr="00352E12" w:rsidRDefault="00352E12" w:rsidP="00352E12">
            <w:pPr>
              <w:suppressAutoHyphens w:val="0"/>
              <w:spacing w:after="0" w:line="240" w:lineRule="auto"/>
              <w:jc w:val="center"/>
              <w:rPr>
                <w:rFonts w:ascii="Tah[" w:eastAsia="Times New Roman" w:hAnsi="Tah["/>
                <w:color w:val="000000"/>
              </w:rPr>
            </w:pPr>
            <w:r w:rsidRPr="00352E12">
              <w:rPr>
                <w:rFonts w:ascii="Tah[" w:eastAsia="Times New Roman" w:hAnsi="Tah["/>
                <w:color w:val="000000"/>
              </w:rPr>
              <w:t>27%</w:t>
            </w:r>
          </w:p>
        </w:tc>
      </w:tr>
      <w:tr w:rsidR="00352E12" w:rsidRPr="00352E12" w14:paraId="3C66DED2" w14:textId="77777777" w:rsidTr="00352E12">
        <w:trPr>
          <w:trHeight w:val="300"/>
        </w:trPr>
        <w:tc>
          <w:tcPr>
            <w:tcW w:w="8400" w:type="dxa"/>
            <w:tcBorders>
              <w:top w:val="nil"/>
              <w:left w:val="single" w:sz="4" w:space="0" w:color="auto"/>
              <w:bottom w:val="single" w:sz="4" w:space="0" w:color="auto"/>
              <w:right w:val="single" w:sz="4" w:space="0" w:color="auto"/>
            </w:tcBorders>
            <w:shd w:val="clear" w:color="auto" w:fill="auto"/>
            <w:noWrap/>
            <w:vAlign w:val="center"/>
            <w:hideMark/>
          </w:tcPr>
          <w:p w14:paraId="5BAD8D90" w14:textId="77777777" w:rsidR="00352E12" w:rsidRPr="00352E12" w:rsidRDefault="00352E12" w:rsidP="00352E12">
            <w:pPr>
              <w:suppressAutoHyphens w:val="0"/>
              <w:spacing w:after="0" w:line="240" w:lineRule="auto"/>
              <w:jc w:val="center"/>
              <w:rPr>
                <w:rFonts w:ascii="Tah[" w:eastAsia="Times New Roman" w:hAnsi="Tah["/>
                <w:color w:val="000000"/>
              </w:rPr>
            </w:pPr>
            <w:r w:rsidRPr="00352E12">
              <w:rPr>
                <w:rFonts w:ascii="Tah[" w:eastAsia="Times New Roman" w:hAnsi="Tah["/>
                <w:color w:val="000000"/>
              </w:rPr>
              <w:t>Constrangimento em relação ao nome social ou retificado no SUS</w:t>
            </w:r>
          </w:p>
        </w:tc>
        <w:tc>
          <w:tcPr>
            <w:tcW w:w="960" w:type="dxa"/>
            <w:tcBorders>
              <w:top w:val="nil"/>
              <w:left w:val="nil"/>
              <w:bottom w:val="single" w:sz="4" w:space="0" w:color="auto"/>
              <w:right w:val="single" w:sz="4" w:space="0" w:color="auto"/>
            </w:tcBorders>
            <w:shd w:val="clear" w:color="auto" w:fill="auto"/>
            <w:noWrap/>
            <w:vAlign w:val="center"/>
            <w:hideMark/>
          </w:tcPr>
          <w:p w14:paraId="2C1CA222" w14:textId="77777777" w:rsidR="00352E12" w:rsidRPr="00352E12" w:rsidRDefault="00352E12" w:rsidP="00352E12">
            <w:pPr>
              <w:suppressAutoHyphens w:val="0"/>
              <w:spacing w:after="0" w:line="240" w:lineRule="auto"/>
              <w:jc w:val="center"/>
              <w:rPr>
                <w:rFonts w:ascii="Tah[" w:eastAsia="Times New Roman" w:hAnsi="Tah["/>
                <w:b/>
                <w:bCs/>
                <w:color w:val="000000"/>
              </w:rPr>
            </w:pPr>
            <w:r w:rsidRPr="00352E12">
              <w:rPr>
                <w:rFonts w:ascii="Tah[" w:eastAsia="Times New Roman" w:hAnsi="Tah["/>
                <w:b/>
                <w:bCs/>
                <w:color w:val="000000"/>
              </w:rPr>
              <w:t>82%</w:t>
            </w:r>
          </w:p>
        </w:tc>
        <w:tc>
          <w:tcPr>
            <w:tcW w:w="960" w:type="dxa"/>
            <w:tcBorders>
              <w:top w:val="nil"/>
              <w:left w:val="nil"/>
              <w:bottom w:val="single" w:sz="4" w:space="0" w:color="auto"/>
              <w:right w:val="single" w:sz="4" w:space="0" w:color="auto"/>
            </w:tcBorders>
            <w:shd w:val="clear" w:color="auto" w:fill="auto"/>
            <w:noWrap/>
            <w:vAlign w:val="center"/>
            <w:hideMark/>
          </w:tcPr>
          <w:p w14:paraId="6184BD81" w14:textId="77777777" w:rsidR="00352E12" w:rsidRPr="00352E12" w:rsidRDefault="00352E12" w:rsidP="00352E12">
            <w:pPr>
              <w:suppressAutoHyphens w:val="0"/>
              <w:spacing w:after="0" w:line="240" w:lineRule="auto"/>
              <w:jc w:val="center"/>
              <w:rPr>
                <w:rFonts w:ascii="Tah[" w:eastAsia="Times New Roman" w:hAnsi="Tah["/>
                <w:color w:val="000000"/>
              </w:rPr>
            </w:pPr>
            <w:r w:rsidRPr="00352E12">
              <w:rPr>
                <w:rFonts w:ascii="Tah[" w:eastAsia="Times New Roman" w:hAnsi="Tah["/>
                <w:color w:val="000000"/>
              </w:rPr>
              <w:t>18%</w:t>
            </w:r>
          </w:p>
        </w:tc>
      </w:tr>
      <w:tr w:rsidR="00352E12" w:rsidRPr="00352E12" w14:paraId="7743C0B4" w14:textId="77777777" w:rsidTr="00352E12">
        <w:trPr>
          <w:trHeight w:val="300"/>
        </w:trPr>
        <w:tc>
          <w:tcPr>
            <w:tcW w:w="8400" w:type="dxa"/>
            <w:tcBorders>
              <w:top w:val="nil"/>
              <w:left w:val="single" w:sz="4" w:space="0" w:color="auto"/>
              <w:bottom w:val="single" w:sz="4" w:space="0" w:color="auto"/>
              <w:right w:val="single" w:sz="4" w:space="0" w:color="auto"/>
            </w:tcBorders>
            <w:shd w:val="clear" w:color="auto" w:fill="auto"/>
            <w:noWrap/>
            <w:vAlign w:val="center"/>
            <w:hideMark/>
          </w:tcPr>
          <w:p w14:paraId="517EF9C7" w14:textId="77777777" w:rsidR="00352E12" w:rsidRPr="00352E12" w:rsidRDefault="00352E12" w:rsidP="00352E12">
            <w:pPr>
              <w:suppressAutoHyphens w:val="0"/>
              <w:spacing w:after="0" w:line="240" w:lineRule="auto"/>
              <w:jc w:val="center"/>
              <w:rPr>
                <w:rFonts w:ascii="Tah[" w:eastAsia="Times New Roman" w:hAnsi="Tah["/>
                <w:color w:val="000000"/>
              </w:rPr>
            </w:pPr>
            <w:r w:rsidRPr="00352E12">
              <w:rPr>
                <w:rFonts w:ascii="Tah[" w:eastAsia="Times New Roman" w:hAnsi="Tah["/>
                <w:color w:val="000000"/>
              </w:rPr>
              <w:t>Constrangimento quanto às necessidades de pessoa transgênero</w:t>
            </w:r>
          </w:p>
        </w:tc>
        <w:tc>
          <w:tcPr>
            <w:tcW w:w="960" w:type="dxa"/>
            <w:tcBorders>
              <w:top w:val="nil"/>
              <w:left w:val="nil"/>
              <w:bottom w:val="single" w:sz="4" w:space="0" w:color="auto"/>
              <w:right w:val="single" w:sz="4" w:space="0" w:color="auto"/>
            </w:tcBorders>
            <w:shd w:val="clear" w:color="auto" w:fill="auto"/>
            <w:noWrap/>
            <w:vAlign w:val="center"/>
            <w:hideMark/>
          </w:tcPr>
          <w:p w14:paraId="0F4118D1" w14:textId="77777777" w:rsidR="00352E12" w:rsidRPr="00352E12" w:rsidRDefault="00352E12" w:rsidP="00352E12">
            <w:pPr>
              <w:suppressAutoHyphens w:val="0"/>
              <w:spacing w:after="0" w:line="240" w:lineRule="auto"/>
              <w:jc w:val="center"/>
              <w:rPr>
                <w:rFonts w:ascii="Tah[" w:eastAsia="Times New Roman" w:hAnsi="Tah["/>
                <w:b/>
                <w:bCs/>
                <w:color w:val="000000"/>
              </w:rPr>
            </w:pPr>
            <w:r w:rsidRPr="00352E12">
              <w:rPr>
                <w:rFonts w:ascii="Tah[" w:eastAsia="Times New Roman" w:hAnsi="Tah["/>
                <w:b/>
                <w:bCs/>
                <w:color w:val="000000"/>
              </w:rPr>
              <w:t>73%</w:t>
            </w:r>
          </w:p>
        </w:tc>
        <w:tc>
          <w:tcPr>
            <w:tcW w:w="960" w:type="dxa"/>
            <w:tcBorders>
              <w:top w:val="nil"/>
              <w:left w:val="nil"/>
              <w:bottom w:val="single" w:sz="4" w:space="0" w:color="auto"/>
              <w:right w:val="single" w:sz="4" w:space="0" w:color="auto"/>
            </w:tcBorders>
            <w:shd w:val="clear" w:color="auto" w:fill="auto"/>
            <w:noWrap/>
            <w:vAlign w:val="center"/>
            <w:hideMark/>
          </w:tcPr>
          <w:p w14:paraId="4F61D561" w14:textId="77777777" w:rsidR="00352E12" w:rsidRPr="00352E12" w:rsidRDefault="00352E12" w:rsidP="00352E12">
            <w:pPr>
              <w:suppressAutoHyphens w:val="0"/>
              <w:spacing w:after="0" w:line="240" w:lineRule="auto"/>
              <w:jc w:val="center"/>
              <w:rPr>
                <w:rFonts w:ascii="Tah[" w:eastAsia="Times New Roman" w:hAnsi="Tah["/>
                <w:color w:val="000000"/>
              </w:rPr>
            </w:pPr>
            <w:r w:rsidRPr="00352E12">
              <w:rPr>
                <w:rFonts w:ascii="Tah[" w:eastAsia="Times New Roman" w:hAnsi="Tah["/>
                <w:color w:val="000000"/>
              </w:rPr>
              <w:t>27%</w:t>
            </w:r>
          </w:p>
        </w:tc>
      </w:tr>
      <w:tr w:rsidR="00352E12" w:rsidRPr="00352E12" w14:paraId="730EDD2E" w14:textId="77777777" w:rsidTr="00352E12">
        <w:trPr>
          <w:trHeight w:val="300"/>
        </w:trPr>
        <w:tc>
          <w:tcPr>
            <w:tcW w:w="8400" w:type="dxa"/>
            <w:tcBorders>
              <w:top w:val="nil"/>
              <w:left w:val="single" w:sz="4" w:space="0" w:color="auto"/>
              <w:bottom w:val="single" w:sz="4" w:space="0" w:color="auto"/>
              <w:right w:val="single" w:sz="4" w:space="0" w:color="auto"/>
            </w:tcBorders>
            <w:shd w:val="clear" w:color="auto" w:fill="auto"/>
            <w:noWrap/>
            <w:vAlign w:val="center"/>
            <w:hideMark/>
          </w:tcPr>
          <w:p w14:paraId="7D44AAC1" w14:textId="77777777" w:rsidR="00352E12" w:rsidRPr="00352E12" w:rsidRDefault="00352E12" w:rsidP="00352E12">
            <w:pPr>
              <w:suppressAutoHyphens w:val="0"/>
              <w:spacing w:after="0" w:line="240" w:lineRule="auto"/>
              <w:jc w:val="center"/>
              <w:rPr>
                <w:rFonts w:ascii="Tah[" w:eastAsia="Times New Roman" w:hAnsi="Tah["/>
                <w:color w:val="000000"/>
              </w:rPr>
            </w:pPr>
            <w:r w:rsidRPr="00352E12">
              <w:rPr>
                <w:rFonts w:ascii="Tah[" w:eastAsia="Times New Roman" w:hAnsi="Tah["/>
                <w:color w:val="000000"/>
              </w:rPr>
              <w:t>Uso de serviço privado para necessidades não específicas da pessoa transgênero</w:t>
            </w:r>
          </w:p>
        </w:tc>
        <w:tc>
          <w:tcPr>
            <w:tcW w:w="960" w:type="dxa"/>
            <w:tcBorders>
              <w:top w:val="nil"/>
              <w:left w:val="nil"/>
              <w:bottom w:val="single" w:sz="4" w:space="0" w:color="auto"/>
              <w:right w:val="single" w:sz="4" w:space="0" w:color="auto"/>
            </w:tcBorders>
            <w:shd w:val="clear" w:color="auto" w:fill="auto"/>
            <w:noWrap/>
            <w:vAlign w:val="center"/>
            <w:hideMark/>
          </w:tcPr>
          <w:p w14:paraId="4E57A792" w14:textId="77777777" w:rsidR="00352E12" w:rsidRPr="00352E12" w:rsidRDefault="00352E12" w:rsidP="00352E12">
            <w:pPr>
              <w:suppressAutoHyphens w:val="0"/>
              <w:spacing w:after="0" w:line="240" w:lineRule="auto"/>
              <w:jc w:val="center"/>
              <w:rPr>
                <w:rFonts w:ascii="Tah[" w:eastAsia="Times New Roman" w:hAnsi="Tah["/>
                <w:b/>
                <w:bCs/>
                <w:color w:val="000000"/>
              </w:rPr>
            </w:pPr>
            <w:r w:rsidRPr="00352E12">
              <w:rPr>
                <w:rFonts w:ascii="Tah[" w:eastAsia="Times New Roman" w:hAnsi="Tah["/>
                <w:b/>
                <w:bCs/>
                <w:color w:val="000000"/>
              </w:rPr>
              <w:t>82%</w:t>
            </w:r>
          </w:p>
        </w:tc>
        <w:tc>
          <w:tcPr>
            <w:tcW w:w="960" w:type="dxa"/>
            <w:tcBorders>
              <w:top w:val="nil"/>
              <w:left w:val="nil"/>
              <w:bottom w:val="single" w:sz="4" w:space="0" w:color="auto"/>
              <w:right w:val="single" w:sz="4" w:space="0" w:color="auto"/>
            </w:tcBorders>
            <w:shd w:val="clear" w:color="auto" w:fill="auto"/>
            <w:noWrap/>
            <w:vAlign w:val="center"/>
            <w:hideMark/>
          </w:tcPr>
          <w:p w14:paraId="13C476D1" w14:textId="77777777" w:rsidR="00352E12" w:rsidRPr="00352E12" w:rsidRDefault="00352E12" w:rsidP="00352E12">
            <w:pPr>
              <w:suppressAutoHyphens w:val="0"/>
              <w:spacing w:after="0" w:line="240" w:lineRule="auto"/>
              <w:jc w:val="center"/>
              <w:rPr>
                <w:rFonts w:ascii="Tah[" w:eastAsia="Times New Roman" w:hAnsi="Tah["/>
                <w:color w:val="000000"/>
              </w:rPr>
            </w:pPr>
            <w:r w:rsidRPr="00352E12">
              <w:rPr>
                <w:rFonts w:ascii="Tah[" w:eastAsia="Times New Roman" w:hAnsi="Tah["/>
                <w:color w:val="000000"/>
              </w:rPr>
              <w:t>18%</w:t>
            </w:r>
          </w:p>
        </w:tc>
      </w:tr>
      <w:tr w:rsidR="00352E12" w:rsidRPr="00352E12" w14:paraId="1D7AFD0E" w14:textId="77777777" w:rsidTr="00352E12">
        <w:trPr>
          <w:trHeight w:val="300"/>
        </w:trPr>
        <w:tc>
          <w:tcPr>
            <w:tcW w:w="8400" w:type="dxa"/>
            <w:tcBorders>
              <w:top w:val="nil"/>
              <w:left w:val="single" w:sz="4" w:space="0" w:color="auto"/>
              <w:bottom w:val="single" w:sz="4" w:space="0" w:color="auto"/>
              <w:right w:val="single" w:sz="4" w:space="0" w:color="auto"/>
            </w:tcBorders>
            <w:shd w:val="clear" w:color="auto" w:fill="auto"/>
            <w:noWrap/>
            <w:vAlign w:val="center"/>
            <w:hideMark/>
          </w:tcPr>
          <w:p w14:paraId="1C4822D4" w14:textId="77777777" w:rsidR="00352E12" w:rsidRPr="00352E12" w:rsidRDefault="00352E12" w:rsidP="00352E12">
            <w:pPr>
              <w:suppressAutoHyphens w:val="0"/>
              <w:spacing w:after="0" w:line="240" w:lineRule="auto"/>
              <w:jc w:val="center"/>
              <w:rPr>
                <w:rFonts w:ascii="Tah[" w:eastAsia="Times New Roman" w:hAnsi="Tah["/>
                <w:color w:val="000000"/>
              </w:rPr>
            </w:pPr>
            <w:r w:rsidRPr="00352E12">
              <w:rPr>
                <w:rFonts w:ascii="Tah[" w:eastAsia="Times New Roman" w:hAnsi="Tah["/>
                <w:color w:val="000000"/>
              </w:rPr>
              <w:t>Uso de serviço privado para necessidades específicas da pessoa transgênero</w:t>
            </w:r>
          </w:p>
        </w:tc>
        <w:tc>
          <w:tcPr>
            <w:tcW w:w="960" w:type="dxa"/>
            <w:tcBorders>
              <w:top w:val="nil"/>
              <w:left w:val="nil"/>
              <w:bottom w:val="single" w:sz="4" w:space="0" w:color="auto"/>
              <w:right w:val="single" w:sz="4" w:space="0" w:color="auto"/>
            </w:tcBorders>
            <w:shd w:val="clear" w:color="auto" w:fill="auto"/>
            <w:noWrap/>
            <w:vAlign w:val="center"/>
            <w:hideMark/>
          </w:tcPr>
          <w:p w14:paraId="166CCEE6" w14:textId="77777777" w:rsidR="00352E12" w:rsidRPr="00352E12" w:rsidRDefault="00352E12" w:rsidP="00352E12">
            <w:pPr>
              <w:suppressAutoHyphens w:val="0"/>
              <w:spacing w:after="0" w:line="240" w:lineRule="auto"/>
              <w:jc w:val="center"/>
              <w:rPr>
                <w:rFonts w:ascii="Tah[" w:eastAsia="Times New Roman" w:hAnsi="Tah["/>
                <w:b/>
                <w:bCs/>
                <w:color w:val="000000"/>
              </w:rPr>
            </w:pPr>
            <w:r w:rsidRPr="00352E12">
              <w:rPr>
                <w:rFonts w:ascii="Tah[" w:eastAsia="Times New Roman" w:hAnsi="Tah["/>
                <w:b/>
                <w:bCs/>
                <w:color w:val="000000"/>
              </w:rPr>
              <w:t>91%</w:t>
            </w:r>
          </w:p>
        </w:tc>
        <w:tc>
          <w:tcPr>
            <w:tcW w:w="960" w:type="dxa"/>
            <w:tcBorders>
              <w:top w:val="nil"/>
              <w:left w:val="nil"/>
              <w:bottom w:val="single" w:sz="4" w:space="0" w:color="auto"/>
              <w:right w:val="single" w:sz="4" w:space="0" w:color="auto"/>
            </w:tcBorders>
            <w:shd w:val="clear" w:color="auto" w:fill="auto"/>
            <w:noWrap/>
            <w:vAlign w:val="center"/>
            <w:hideMark/>
          </w:tcPr>
          <w:p w14:paraId="674A03A7" w14:textId="77777777" w:rsidR="00352E12" w:rsidRPr="00352E12" w:rsidRDefault="00352E12" w:rsidP="00352E12">
            <w:pPr>
              <w:suppressAutoHyphens w:val="0"/>
              <w:spacing w:after="0" w:line="240" w:lineRule="auto"/>
              <w:jc w:val="center"/>
              <w:rPr>
                <w:rFonts w:ascii="Tah[" w:eastAsia="Times New Roman" w:hAnsi="Tah["/>
                <w:color w:val="000000"/>
              </w:rPr>
            </w:pPr>
            <w:r w:rsidRPr="00352E12">
              <w:rPr>
                <w:rFonts w:ascii="Tah[" w:eastAsia="Times New Roman" w:hAnsi="Tah["/>
                <w:color w:val="000000"/>
              </w:rPr>
              <w:t>9%</w:t>
            </w:r>
          </w:p>
        </w:tc>
      </w:tr>
    </w:tbl>
    <w:p w14:paraId="75B85A5D" w14:textId="19704839" w:rsidR="00352E12" w:rsidRDefault="00352E12" w:rsidP="00352E12">
      <w:pPr>
        <w:spacing w:after="0" w:line="360" w:lineRule="auto"/>
        <w:ind w:firstLine="709"/>
        <w:jc w:val="center"/>
        <w:rPr>
          <w:rFonts w:ascii="Arial" w:eastAsia="Arial" w:hAnsi="Arial" w:cs="Arial"/>
          <w:sz w:val="24"/>
          <w:szCs w:val="24"/>
        </w:rPr>
      </w:pPr>
      <w:r w:rsidRPr="00352E12">
        <w:rPr>
          <w:rFonts w:ascii="Arial" w:eastAsia="Arial" w:hAnsi="Arial" w:cs="Arial"/>
          <w:sz w:val="24"/>
          <w:szCs w:val="24"/>
        </w:rPr>
        <w:t xml:space="preserve">Já quanto as perguntas dissertativas sobre experiências particulares de cada correspondente, uma pessoa afirmou já ter sido constrangida ao ser chamada pelo seu nome em registro, e houve maioria nos relatos sobre falta de atendimento, seja especializado ou em demandas gerais. As pontuações individuais de cada domínio são aparentemente afetadas pelas de outros domínios, já que repostas baixas em um domínio podem indicar respostas também baixas em outros domínios, como no caso do participante G. Todos os candidatos responderem que terminaram o questionário sem auxílio e em menos de quinze minutos. Apesar disso, a extensão do mesmo pode ter sido um fator dificultador de adesão à pesquisa. Não é possível saber quantas pessoas acessaram o link e/ou o preencheram parcialmente. Por fim, </w:t>
      </w:r>
      <w:r w:rsidRPr="00352E12">
        <w:rPr>
          <w:rFonts w:ascii="Arial" w:eastAsia="Arial" w:hAnsi="Arial" w:cs="Arial"/>
          <w:sz w:val="24"/>
          <w:szCs w:val="24"/>
        </w:rPr>
        <w:lastRenderedPageBreak/>
        <w:t>não houve correspondentes cisgêneros para que servissem de comparação para a qualidade de vida de pessoas adultas no estado do Tocantins.</w:t>
      </w:r>
    </w:p>
    <w:p w14:paraId="0E787C8D" w14:textId="77777777" w:rsidR="00930701" w:rsidRDefault="00486485">
      <w:pPr>
        <w:numPr>
          <w:ilvl w:val="0"/>
          <w:numId w:val="2"/>
        </w:numPr>
        <w:spacing w:after="0" w:line="360" w:lineRule="auto"/>
        <w:jc w:val="both"/>
        <w:rPr>
          <w:rFonts w:ascii="Arial" w:eastAsia="Arial" w:hAnsi="Arial" w:cs="Arial"/>
          <w:b/>
          <w:sz w:val="24"/>
          <w:szCs w:val="24"/>
        </w:rPr>
      </w:pPr>
      <w:r>
        <w:rPr>
          <w:rFonts w:ascii="Arial" w:eastAsia="Arial" w:hAnsi="Arial" w:cs="Arial"/>
          <w:b/>
          <w:sz w:val="24"/>
          <w:szCs w:val="24"/>
        </w:rPr>
        <w:t>CONCLUSÃO/CONSIDERAÇÕES FINAIS</w:t>
      </w:r>
    </w:p>
    <w:p w14:paraId="3F4EE1D3" w14:textId="38BDFE20" w:rsidR="00930701" w:rsidRDefault="00352E12">
      <w:pPr>
        <w:spacing w:after="0" w:line="360" w:lineRule="auto"/>
        <w:ind w:firstLine="709"/>
        <w:jc w:val="both"/>
        <w:rPr>
          <w:rFonts w:ascii="Arial" w:eastAsia="Arial" w:hAnsi="Arial" w:cs="Arial"/>
          <w:sz w:val="24"/>
          <w:szCs w:val="24"/>
        </w:rPr>
      </w:pPr>
      <w:r w:rsidRPr="00352E12">
        <w:rPr>
          <w:rFonts w:ascii="Arial" w:eastAsia="Arial" w:hAnsi="Arial" w:cs="Arial"/>
          <w:sz w:val="24"/>
          <w:szCs w:val="24"/>
        </w:rPr>
        <w:t>O questionário serve como ferramenta para avaliação global da qualidade de vida e das experiências individuais da população transgênero do estado do Tocantins, dados que ainda são escassos na literatura. Fatores como o tamanho da ferramenta e o tempo de preenchimento da mesma podem ter afetado a adesão de correspondentes. O questionário continuará aberto até dezembro de 2024 para receber novas respostas</w:t>
      </w:r>
      <w:r w:rsidR="00486485">
        <w:rPr>
          <w:rFonts w:ascii="Arial" w:eastAsia="Arial" w:hAnsi="Arial" w:cs="Arial"/>
          <w:sz w:val="24"/>
          <w:szCs w:val="24"/>
        </w:rPr>
        <w:t>.</w:t>
      </w:r>
    </w:p>
    <w:p w14:paraId="615454C6" w14:textId="77777777" w:rsidR="00930701" w:rsidRDefault="00930701">
      <w:pPr>
        <w:spacing w:after="0" w:line="360" w:lineRule="auto"/>
        <w:jc w:val="both"/>
        <w:rPr>
          <w:rFonts w:ascii="Arial" w:eastAsia="Arial" w:hAnsi="Arial" w:cs="Arial"/>
          <w:sz w:val="24"/>
          <w:szCs w:val="24"/>
        </w:rPr>
      </w:pPr>
    </w:p>
    <w:p w14:paraId="7B452A22" w14:textId="7D38F85E" w:rsidR="00930701" w:rsidRDefault="00930701">
      <w:pPr>
        <w:spacing w:after="0" w:line="360" w:lineRule="auto"/>
        <w:ind w:firstLine="709"/>
        <w:jc w:val="both"/>
        <w:rPr>
          <w:rFonts w:ascii="Arial" w:eastAsia="Arial" w:hAnsi="Arial" w:cs="Arial"/>
          <w:sz w:val="24"/>
          <w:szCs w:val="24"/>
        </w:rPr>
      </w:pPr>
    </w:p>
    <w:p w14:paraId="276E645F" w14:textId="77777777" w:rsidR="00930701" w:rsidRDefault="00930701">
      <w:pPr>
        <w:spacing w:after="0" w:line="360" w:lineRule="auto"/>
        <w:jc w:val="both"/>
        <w:rPr>
          <w:rFonts w:ascii="Arial" w:eastAsia="Arial" w:hAnsi="Arial" w:cs="Arial"/>
          <w:sz w:val="24"/>
          <w:szCs w:val="24"/>
        </w:rPr>
      </w:pPr>
    </w:p>
    <w:p w14:paraId="510D5A77" w14:textId="77777777" w:rsidR="00930701" w:rsidRDefault="00486485">
      <w:pPr>
        <w:numPr>
          <w:ilvl w:val="0"/>
          <w:numId w:val="2"/>
        </w:numPr>
        <w:spacing w:after="0" w:line="360" w:lineRule="auto"/>
        <w:jc w:val="both"/>
        <w:rPr>
          <w:rFonts w:ascii="Arial" w:eastAsia="Arial" w:hAnsi="Arial" w:cs="Arial"/>
          <w:b/>
          <w:sz w:val="24"/>
          <w:szCs w:val="24"/>
        </w:rPr>
      </w:pPr>
      <w:r>
        <w:rPr>
          <w:rFonts w:ascii="Arial" w:eastAsia="Arial" w:hAnsi="Arial" w:cs="Arial"/>
          <w:b/>
          <w:sz w:val="24"/>
          <w:szCs w:val="24"/>
        </w:rPr>
        <w:t>REFERÊNCIAS</w:t>
      </w:r>
    </w:p>
    <w:p w14:paraId="6AE89902" w14:textId="460BEA21" w:rsidR="00352E12" w:rsidRPr="00352E12" w:rsidRDefault="00352E12" w:rsidP="00352E12">
      <w:pPr>
        <w:pStyle w:val="PargrafodaLista"/>
        <w:numPr>
          <w:ilvl w:val="1"/>
          <w:numId w:val="5"/>
        </w:numPr>
        <w:spacing w:after="0" w:line="240" w:lineRule="auto"/>
        <w:rPr>
          <w:rFonts w:ascii="Arial" w:eastAsia="Arial" w:hAnsi="Arial" w:cs="Arial"/>
          <w:sz w:val="24"/>
          <w:szCs w:val="24"/>
        </w:rPr>
      </w:pPr>
      <w:r w:rsidRPr="00352E12">
        <w:rPr>
          <w:rFonts w:ascii="Arial" w:eastAsia="Arial" w:hAnsi="Arial" w:cs="Arial"/>
          <w:sz w:val="24"/>
          <w:szCs w:val="24"/>
          <w:lang w:val="en-US"/>
        </w:rPr>
        <w:t xml:space="preserve">AMERICAN PSYCHOLOGICAL ASSOCIATION. </w:t>
      </w:r>
      <w:r w:rsidRPr="00352E12">
        <w:rPr>
          <w:rFonts w:ascii="Arial" w:eastAsia="Arial" w:hAnsi="Arial" w:cs="Arial"/>
          <w:b/>
          <w:bCs/>
          <w:sz w:val="24"/>
          <w:szCs w:val="24"/>
          <w:lang w:val="en-US"/>
        </w:rPr>
        <w:t>Understanding transgender people, gender identity and gender expression</w:t>
      </w:r>
      <w:r w:rsidRPr="00352E12">
        <w:rPr>
          <w:rFonts w:ascii="Arial" w:eastAsia="Arial" w:hAnsi="Arial" w:cs="Arial"/>
          <w:sz w:val="24"/>
          <w:szCs w:val="24"/>
          <w:lang w:val="en-US"/>
        </w:rPr>
        <w:t xml:space="preserve">. </w:t>
      </w:r>
      <w:r w:rsidRPr="00352E12">
        <w:rPr>
          <w:rFonts w:ascii="Arial" w:eastAsia="Arial" w:hAnsi="Arial" w:cs="Arial"/>
          <w:sz w:val="24"/>
          <w:szCs w:val="24"/>
        </w:rPr>
        <w:t>Disponível em: &lt;https://www.apa.org/topics/lgbtq/transgender-people-gender-identity-gender-expression&gt;.</w:t>
      </w:r>
    </w:p>
    <w:p w14:paraId="7842D291" w14:textId="73DF86D5" w:rsidR="00352E12" w:rsidRPr="00352E12" w:rsidRDefault="00352E12" w:rsidP="00352E12">
      <w:pPr>
        <w:pStyle w:val="PargrafodaLista"/>
        <w:numPr>
          <w:ilvl w:val="1"/>
          <w:numId w:val="5"/>
        </w:numPr>
        <w:spacing w:after="0" w:line="240" w:lineRule="auto"/>
        <w:rPr>
          <w:rFonts w:ascii="Arial" w:eastAsia="Arial" w:hAnsi="Arial" w:cs="Arial"/>
          <w:sz w:val="24"/>
          <w:szCs w:val="24"/>
        </w:rPr>
      </w:pPr>
      <w:proofErr w:type="spellStart"/>
      <w:r w:rsidRPr="00352E12">
        <w:rPr>
          <w:rFonts w:ascii="Arial" w:eastAsia="Arial" w:hAnsi="Arial" w:cs="Arial"/>
          <w:b/>
          <w:bCs/>
          <w:sz w:val="24"/>
          <w:szCs w:val="24"/>
        </w:rPr>
        <w:t>Transgender</w:t>
      </w:r>
      <w:proofErr w:type="spellEnd"/>
      <w:r w:rsidRPr="00352E12">
        <w:rPr>
          <w:rFonts w:ascii="Arial" w:eastAsia="Arial" w:hAnsi="Arial" w:cs="Arial"/>
          <w:b/>
          <w:bCs/>
          <w:sz w:val="24"/>
          <w:szCs w:val="24"/>
        </w:rPr>
        <w:t xml:space="preserve"> </w:t>
      </w:r>
      <w:proofErr w:type="spellStart"/>
      <w:r w:rsidRPr="00352E12">
        <w:rPr>
          <w:rFonts w:ascii="Arial" w:eastAsia="Arial" w:hAnsi="Arial" w:cs="Arial"/>
          <w:b/>
          <w:bCs/>
          <w:sz w:val="24"/>
          <w:szCs w:val="24"/>
        </w:rPr>
        <w:t>people</w:t>
      </w:r>
      <w:proofErr w:type="spellEnd"/>
      <w:r w:rsidRPr="00352E12">
        <w:rPr>
          <w:rFonts w:ascii="Arial" w:eastAsia="Arial" w:hAnsi="Arial" w:cs="Arial"/>
          <w:sz w:val="24"/>
          <w:szCs w:val="24"/>
        </w:rPr>
        <w:t>. Disponível em: &lt;https://www.who.int/teams/global-hiv-hepatitis-and-stis-programmes/populations/transgender-people&gt;.</w:t>
      </w:r>
    </w:p>
    <w:p w14:paraId="3694F3CC" w14:textId="2103CC99" w:rsidR="00352E12" w:rsidRPr="00352E12" w:rsidRDefault="00352E12" w:rsidP="00352E12">
      <w:pPr>
        <w:pStyle w:val="PargrafodaLista"/>
        <w:numPr>
          <w:ilvl w:val="1"/>
          <w:numId w:val="5"/>
        </w:numPr>
        <w:spacing w:after="0" w:line="240" w:lineRule="auto"/>
        <w:rPr>
          <w:rFonts w:ascii="Arial" w:eastAsia="Arial" w:hAnsi="Arial" w:cs="Arial"/>
          <w:sz w:val="24"/>
          <w:szCs w:val="24"/>
        </w:rPr>
      </w:pPr>
      <w:r w:rsidRPr="00352E12">
        <w:rPr>
          <w:rFonts w:ascii="Arial" w:eastAsia="Arial" w:hAnsi="Arial" w:cs="Arial"/>
          <w:sz w:val="24"/>
          <w:szCs w:val="24"/>
        </w:rPr>
        <w:t xml:space="preserve">FLECK, M. P. DE A. </w:t>
      </w:r>
      <w:r w:rsidRPr="00352E12">
        <w:rPr>
          <w:rFonts w:ascii="Arial" w:eastAsia="Arial" w:hAnsi="Arial" w:cs="Arial"/>
          <w:b/>
          <w:bCs/>
          <w:sz w:val="24"/>
          <w:szCs w:val="24"/>
        </w:rPr>
        <w:t xml:space="preserve">O instrumento de avaliação de qualidade de vida da Organização Mundial da Saúde (WHOQOL-100): </w:t>
      </w:r>
      <w:r w:rsidRPr="00352E12">
        <w:rPr>
          <w:rFonts w:ascii="Arial" w:eastAsia="Arial" w:hAnsi="Arial" w:cs="Arial"/>
          <w:b/>
          <w:bCs/>
          <w:sz w:val="24"/>
          <w:szCs w:val="24"/>
        </w:rPr>
        <w:lastRenderedPageBreak/>
        <w:t>características e perspectivas</w:t>
      </w:r>
      <w:r w:rsidRPr="00352E12">
        <w:rPr>
          <w:rFonts w:ascii="Arial" w:eastAsia="Arial" w:hAnsi="Arial" w:cs="Arial"/>
          <w:sz w:val="24"/>
          <w:szCs w:val="24"/>
        </w:rPr>
        <w:t>. Ciência &amp; Saúde Coletiva, v. 5, n. 1, p. 33–38, 2000.</w:t>
      </w:r>
    </w:p>
    <w:p w14:paraId="0B599AFA" w14:textId="30F33DCD" w:rsidR="00352E12" w:rsidRPr="00352E12" w:rsidRDefault="00352E12" w:rsidP="00352E12">
      <w:pPr>
        <w:pStyle w:val="PargrafodaLista"/>
        <w:numPr>
          <w:ilvl w:val="1"/>
          <w:numId w:val="5"/>
        </w:numPr>
        <w:spacing w:after="0" w:line="240" w:lineRule="auto"/>
        <w:rPr>
          <w:rFonts w:ascii="Arial" w:eastAsia="Arial" w:hAnsi="Arial" w:cs="Arial"/>
          <w:sz w:val="24"/>
          <w:szCs w:val="24"/>
          <w:lang w:val="en-US"/>
        </w:rPr>
      </w:pPr>
      <w:r w:rsidRPr="00352E12">
        <w:rPr>
          <w:rFonts w:ascii="Arial" w:eastAsia="Arial" w:hAnsi="Arial" w:cs="Arial"/>
          <w:sz w:val="24"/>
          <w:szCs w:val="24"/>
          <w:lang w:val="en-US"/>
        </w:rPr>
        <w:t xml:space="preserve">MORENZ, A. M. et al. </w:t>
      </w:r>
      <w:r w:rsidRPr="00352E12">
        <w:rPr>
          <w:rFonts w:ascii="Arial" w:eastAsia="Arial" w:hAnsi="Arial" w:cs="Arial"/>
          <w:b/>
          <w:bCs/>
          <w:sz w:val="24"/>
          <w:szCs w:val="24"/>
          <w:lang w:val="en-US"/>
        </w:rPr>
        <w:t>A Blueprint for Planning and Implementing a Transgender Health Program</w:t>
      </w:r>
      <w:r w:rsidRPr="00352E12">
        <w:rPr>
          <w:rFonts w:ascii="Arial" w:eastAsia="Arial" w:hAnsi="Arial" w:cs="Arial"/>
          <w:sz w:val="24"/>
          <w:szCs w:val="24"/>
          <w:lang w:val="en-US"/>
        </w:rPr>
        <w:t xml:space="preserve">. The Annals of Family Medicine, v. 18, n. 1, p. 73–79, </w:t>
      </w:r>
      <w:proofErr w:type="spellStart"/>
      <w:r w:rsidRPr="00352E12">
        <w:rPr>
          <w:rFonts w:ascii="Arial" w:eastAsia="Arial" w:hAnsi="Arial" w:cs="Arial"/>
          <w:sz w:val="24"/>
          <w:szCs w:val="24"/>
          <w:lang w:val="en-US"/>
        </w:rPr>
        <w:t>jan.</w:t>
      </w:r>
      <w:proofErr w:type="spellEnd"/>
      <w:r w:rsidRPr="00352E12">
        <w:rPr>
          <w:rFonts w:ascii="Arial" w:eastAsia="Arial" w:hAnsi="Arial" w:cs="Arial"/>
          <w:sz w:val="24"/>
          <w:szCs w:val="24"/>
          <w:lang w:val="en-US"/>
        </w:rPr>
        <w:t xml:space="preserve"> 2020.</w:t>
      </w:r>
    </w:p>
    <w:p w14:paraId="079B0F56" w14:textId="7486414C" w:rsidR="00352E12" w:rsidRPr="00352E12" w:rsidRDefault="00352E12" w:rsidP="00352E12">
      <w:pPr>
        <w:pStyle w:val="PargrafodaLista"/>
        <w:numPr>
          <w:ilvl w:val="1"/>
          <w:numId w:val="5"/>
        </w:numPr>
        <w:spacing w:after="0" w:line="240" w:lineRule="auto"/>
        <w:rPr>
          <w:rFonts w:ascii="Arial" w:eastAsia="Arial" w:hAnsi="Arial" w:cs="Arial"/>
          <w:sz w:val="24"/>
          <w:szCs w:val="24"/>
        </w:rPr>
      </w:pPr>
      <w:r w:rsidRPr="00352E12">
        <w:rPr>
          <w:rFonts w:ascii="Arial" w:eastAsia="Arial" w:hAnsi="Arial" w:cs="Arial"/>
          <w:sz w:val="24"/>
          <w:szCs w:val="24"/>
          <w:lang w:val="en-US"/>
        </w:rPr>
        <w:t xml:space="preserve">WORLD HEALTH ORGANIZATION. WHOQOL – </w:t>
      </w:r>
      <w:r w:rsidRPr="00352E12">
        <w:rPr>
          <w:rFonts w:ascii="Arial" w:eastAsia="Arial" w:hAnsi="Arial" w:cs="Arial"/>
          <w:b/>
          <w:bCs/>
          <w:sz w:val="24"/>
          <w:szCs w:val="24"/>
          <w:lang w:val="en-US"/>
        </w:rPr>
        <w:t>Measuring Quality of Life</w:t>
      </w:r>
      <w:r w:rsidRPr="00352E12">
        <w:rPr>
          <w:rFonts w:ascii="Arial" w:eastAsia="Arial" w:hAnsi="Arial" w:cs="Arial"/>
          <w:sz w:val="24"/>
          <w:szCs w:val="24"/>
          <w:lang w:val="en-US"/>
        </w:rPr>
        <w:t xml:space="preserve">. </w:t>
      </w:r>
      <w:r w:rsidRPr="00352E12">
        <w:rPr>
          <w:rFonts w:ascii="Arial" w:eastAsia="Arial" w:hAnsi="Arial" w:cs="Arial"/>
          <w:sz w:val="24"/>
          <w:szCs w:val="24"/>
        </w:rPr>
        <w:t>Disponível em: &lt;https://www.who.int/tools/</w:t>
      </w:r>
      <w:proofErr w:type="spellStart"/>
      <w:r w:rsidRPr="00352E12">
        <w:rPr>
          <w:rFonts w:ascii="Arial" w:eastAsia="Arial" w:hAnsi="Arial" w:cs="Arial"/>
          <w:sz w:val="24"/>
          <w:szCs w:val="24"/>
        </w:rPr>
        <w:t>whoqol</w:t>
      </w:r>
      <w:proofErr w:type="spellEnd"/>
      <w:r w:rsidRPr="00352E12">
        <w:rPr>
          <w:rFonts w:ascii="Arial" w:eastAsia="Arial" w:hAnsi="Arial" w:cs="Arial"/>
          <w:sz w:val="24"/>
          <w:szCs w:val="24"/>
        </w:rPr>
        <w:t>&gt;.</w:t>
      </w:r>
    </w:p>
    <w:p w14:paraId="62A817A7" w14:textId="296E1C59" w:rsidR="00352E12" w:rsidRPr="00352E12" w:rsidRDefault="00352E12" w:rsidP="00352E12">
      <w:pPr>
        <w:pStyle w:val="PargrafodaLista"/>
        <w:numPr>
          <w:ilvl w:val="1"/>
          <w:numId w:val="5"/>
        </w:numPr>
        <w:spacing w:after="0" w:line="240" w:lineRule="auto"/>
        <w:rPr>
          <w:rFonts w:ascii="Arial" w:eastAsia="Arial" w:hAnsi="Arial" w:cs="Arial"/>
          <w:sz w:val="24"/>
          <w:szCs w:val="24"/>
        </w:rPr>
      </w:pPr>
      <w:r w:rsidRPr="00352E12">
        <w:rPr>
          <w:rFonts w:ascii="Arial" w:eastAsia="Arial" w:hAnsi="Arial" w:cs="Arial"/>
          <w:sz w:val="24"/>
          <w:szCs w:val="24"/>
        </w:rPr>
        <w:t xml:space="preserve">HARALDSTAD, K. et al. </w:t>
      </w:r>
      <w:r w:rsidRPr="00352E12">
        <w:rPr>
          <w:rFonts w:ascii="Arial" w:eastAsia="Arial" w:hAnsi="Arial" w:cs="Arial"/>
          <w:b/>
          <w:bCs/>
          <w:sz w:val="24"/>
          <w:szCs w:val="24"/>
          <w:lang w:val="en-US"/>
        </w:rPr>
        <w:t xml:space="preserve">A Systematic Review of </w:t>
      </w:r>
      <w:proofErr w:type="gramStart"/>
      <w:r w:rsidRPr="00352E12">
        <w:rPr>
          <w:rFonts w:ascii="Arial" w:eastAsia="Arial" w:hAnsi="Arial" w:cs="Arial"/>
          <w:b/>
          <w:bCs/>
          <w:sz w:val="24"/>
          <w:szCs w:val="24"/>
          <w:lang w:val="en-US"/>
        </w:rPr>
        <w:t>Quality of Life</w:t>
      </w:r>
      <w:proofErr w:type="gramEnd"/>
      <w:r w:rsidRPr="00352E12">
        <w:rPr>
          <w:rFonts w:ascii="Arial" w:eastAsia="Arial" w:hAnsi="Arial" w:cs="Arial"/>
          <w:b/>
          <w:bCs/>
          <w:sz w:val="24"/>
          <w:szCs w:val="24"/>
          <w:lang w:val="en-US"/>
        </w:rPr>
        <w:t xml:space="preserve"> Research in Medicine and Health Sciences</w:t>
      </w:r>
      <w:r w:rsidRPr="00352E12">
        <w:rPr>
          <w:rFonts w:ascii="Arial" w:eastAsia="Arial" w:hAnsi="Arial" w:cs="Arial"/>
          <w:sz w:val="24"/>
          <w:szCs w:val="24"/>
          <w:lang w:val="en-US"/>
        </w:rPr>
        <w:t xml:space="preserve">. </w:t>
      </w:r>
      <w:proofErr w:type="spellStart"/>
      <w:r w:rsidRPr="00352E12">
        <w:rPr>
          <w:rFonts w:ascii="Arial" w:eastAsia="Arial" w:hAnsi="Arial" w:cs="Arial"/>
          <w:sz w:val="24"/>
          <w:szCs w:val="24"/>
        </w:rPr>
        <w:t>Quality</w:t>
      </w:r>
      <w:proofErr w:type="spellEnd"/>
      <w:r w:rsidRPr="00352E12">
        <w:rPr>
          <w:rFonts w:ascii="Arial" w:eastAsia="Arial" w:hAnsi="Arial" w:cs="Arial"/>
          <w:sz w:val="24"/>
          <w:szCs w:val="24"/>
        </w:rPr>
        <w:t xml:space="preserve"> </w:t>
      </w:r>
      <w:proofErr w:type="spellStart"/>
      <w:r w:rsidRPr="00352E12">
        <w:rPr>
          <w:rFonts w:ascii="Arial" w:eastAsia="Arial" w:hAnsi="Arial" w:cs="Arial"/>
          <w:sz w:val="24"/>
          <w:szCs w:val="24"/>
        </w:rPr>
        <w:t>of</w:t>
      </w:r>
      <w:proofErr w:type="spellEnd"/>
      <w:r w:rsidRPr="00352E12">
        <w:rPr>
          <w:rFonts w:ascii="Arial" w:eastAsia="Arial" w:hAnsi="Arial" w:cs="Arial"/>
          <w:sz w:val="24"/>
          <w:szCs w:val="24"/>
        </w:rPr>
        <w:t xml:space="preserve"> Life </w:t>
      </w:r>
      <w:proofErr w:type="spellStart"/>
      <w:r w:rsidRPr="00352E12">
        <w:rPr>
          <w:rFonts w:ascii="Arial" w:eastAsia="Arial" w:hAnsi="Arial" w:cs="Arial"/>
          <w:sz w:val="24"/>
          <w:szCs w:val="24"/>
        </w:rPr>
        <w:t>Research</w:t>
      </w:r>
      <w:proofErr w:type="spellEnd"/>
      <w:r w:rsidRPr="00352E12">
        <w:rPr>
          <w:rFonts w:ascii="Arial" w:eastAsia="Arial" w:hAnsi="Arial" w:cs="Arial"/>
          <w:sz w:val="24"/>
          <w:szCs w:val="24"/>
        </w:rPr>
        <w:t>, v. 28, n. 10, p. 2641–2650, 11 jun. 2019.</w:t>
      </w:r>
    </w:p>
    <w:p w14:paraId="7A947A64" w14:textId="0C8EF8E5" w:rsidR="00930701" w:rsidRPr="00352E12" w:rsidRDefault="00352E12" w:rsidP="00352E12">
      <w:pPr>
        <w:pStyle w:val="PargrafodaLista"/>
        <w:numPr>
          <w:ilvl w:val="1"/>
          <w:numId w:val="5"/>
        </w:numPr>
        <w:spacing w:after="0" w:line="240" w:lineRule="auto"/>
        <w:rPr>
          <w:rFonts w:ascii="Arial" w:eastAsia="Arial" w:hAnsi="Arial" w:cs="Arial"/>
          <w:sz w:val="24"/>
          <w:szCs w:val="24"/>
        </w:rPr>
      </w:pPr>
      <w:r w:rsidRPr="00352E12">
        <w:rPr>
          <w:rFonts w:ascii="Arial" w:eastAsia="Arial" w:hAnsi="Arial" w:cs="Arial"/>
          <w:b/>
          <w:bCs/>
          <w:sz w:val="24"/>
          <w:szCs w:val="24"/>
          <w:lang w:val="en-US"/>
        </w:rPr>
        <w:t>WHOQOL-BREF PROM Guide</w:t>
      </w:r>
      <w:r w:rsidRPr="00352E12">
        <w:rPr>
          <w:rFonts w:ascii="Arial" w:eastAsia="Arial" w:hAnsi="Arial" w:cs="Arial"/>
          <w:sz w:val="24"/>
          <w:szCs w:val="24"/>
          <w:lang w:val="en-US"/>
        </w:rPr>
        <w:t xml:space="preserve"> • Heartbeat Medical. </w:t>
      </w:r>
      <w:r w:rsidRPr="00352E12">
        <w:rPr>
          <w:rFonts w:ascii="Arial" w:eastAsia="Arial" w:hAnsi="Arial" w:cs="Arial"/>
          <w:sz w:val="24"/>
          <w:szCs w:val="24"/>
        </w:rPr>
        <w:t>Disponível em: &lt;https://heartbeat-med.com/</w:t>
      </w:r>
      <w:proofErr w:type="spellStart"/>
      <w:r w:rsidRPr="00352E12">
        <w:rPr>
          <w:rFonts w:ascii="Arial" w:eastAsia="Arial" w:hAnsi="Arial" w:cs="Arial"/>
          <w:sz w:val="24"/>
          <w:szCs w:val="24"/>
        </w:rPr>
        <w:t>resources</w:t>
      </w:r>
      <w:proofErr w:type="spellEnd"/>
      <w:r w:rsidRPr="00352E12">
        <w:rPr>
          <w:rFonts w:ascii="Arial" w:eastAsia="Arial" w:hAnsi="Arial" w:cs="Arial"/>
          <w:sz w:val="24"/>
          <w:szCs w:val="24"/>
        </w:rPr>
        <w:t>/</w:t>
      </w:r>
      <w:proofErr w:type="spellStart"/>
      <w:r w:rsidRPr="00352E12">
        <w:rPr>
          <w:rFonts w:ascii="Arial" w:eastAsia="Arial" w:hAnsi="Arial" w:cs="Arial"/>
          <w:sz w:val="24"/>
          <w:szCs w:val="24"/>
        </w:rPr>
        <w:t>whoqol-bref</w:t>
      </w:r>
      <w:proofErr w:type="spellEnd"/>
      <w:r w:rsidRPr="00352E12">
        <w:rPr>
          <w:rFonts w:ascii="Arial" w:eastAsia="Arial" w:hAnsi="Arial" w:cs="Arial"/>
          <w:sz w:val="24"/>
          <w:szCs w:val="24"/>
        </w:rPr>
        <w:t>/&gt;.</w:t>
      </w:r>
    </w:p>
    <w:p w14:paraId="2D283A4D" w14:textId="77777777" w:rsidR="00930701" w:rsidRDefault="00930701">
      <w:pPr>
        <w:spacing w:after="0" w:line="240" w:lineRule="auto"/>
        <w:ind w:left="720"/>
        <w:rPr>
          <w:rFonts w:ascii="Arial" w:eastAsia="Arial" w:hAnsi="Arial" w:cs="Arial"/>
          <w:sz w:val="24"/>
          <w:szCs w:val="24"/>
        </w:rPr>
      </w:pPr>
    </w:p>
    <w:p w14:paraId="4332D766" w14:textId="5C24C3C1" w:rsidR="00930701" w:rsidRDefault="00486485" w:rsidP="00352E12">
      <w:pPr>
        <w:numPr>
          <w:ilvl w:val="0"/>
          <w:numId w:val="2"/>
        </w:numPr>
        <w:spacing w:after="0" w:line="240" w:lineRule="auto"/>
        <w:rPr>
          <w:rFonts w:ascii="Arial" w:eastAsia="Arial" w:hAnsi="Arial" w:cs="Arial"/>
          <w:b/>
          <w:sz w:val="24"/>
          <w:szCs w:val="24"/>
        </w:rPr>
      </w:pPr>
      <w:r>
        <w:rPr>
          <w:rFonts w:ascii="Arial" w:eastAsia="Arial" w:hAnsi="Arial" w:cs="Arial"/>
          <w:b/>
          <w:sz w:val="24"/>
          <w:szCs w:val="24"/>
        </w:rPr>
        <w:t>AGRADECIMENTOS</w:t>
      </w:r>
    </w:p>
    <w:p w14:paraId="269E0C3F" w14:textId="77777777" w:rsidR="00352E12" w:rsidRPr="00352E12" w:rsidRDefault="00352E12" w:rsidP="00352E12">
      <w:pPr>
        <w:spacing w:after="0" w:line="240" w:lineRule="auto"/>
        <w:ind w:left="720"/>
        <w:rPr>
          <w:rFonts w:ascii="Arial" w:eastAsia="Arial" w:hAnsi="Arial" w:cs="Arial"/>
          <w:b/>
          <w:sz w:val="24"/>
          <w:szCs w:val="24"/>
        </w:rPr>
      </w:pPr>
    </w:p>
    <w:p w14:paraId="6803369E" w14:textId="780987AD" w:rsidR="00930701" w:rsidRDefault="00352E12" w:rsidP="00352E12">
      <w:pPr>
        <w:spacing w:after="0" w:line="240" w:lineRule="auto"/>
        <w:rPr>
          <w:rFonts w:ascii="Arial" w:eastAsia="Arial" w:hAnsi="Arial" w:cs="Arial"/>
          <w:sz w:val="24"/>
          <w:szCs w:val="24"/>
        </w:rPr>
      </w:pPr>
      <w:r w:rsidRPr="00352E12">
        <w:rPr>
          <w:rFonts w:ascii="Arial" w:eastAsia="Arial" w:hAnsi="Arial" w:cs="Arial"/>
          <w:sz w:val="24"/>
          <w:szCs w:val="24"/>
        </w:rPr>
        <w:t>O presente trabalho foi realizado com o apoio da Fundação de Amparo à Pesquisa no Tocantins, FAPT, em colaboração com a Universidade Federal do Norte do Tocantins, UFNT.</w:t>
      </w:r>
    </w:p>
    <w:sectPr w:rsidR="00930701">
      <w:type w:val="continuous"/>
      <w:pgSz w:w="11906" w:h="16838"/>
      <w:pgMar w:top="1418" w:right="1418" w:bottom="1418" w:left="1418" w:header="709" w:footer="709" w:gutter="0"/>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720F9" w14:textId="77777777" w:rsidR="00BF2FF4" w:rsidRDefault="00BF2FF4">
      <w:pPr>
        <w:spacing w:after="0" w:line="240" w:lineRule="auto"/>
      </w:pPr>
      <w:r>
        <w:separator/>
      </w:r>
    </w:p>
  </w:endnote>
  <w:endnote w:type="continuationSeparator" w:id="0">
    <w:p w14:paraId="38B55B38" w14:textId="77777777" w:rsidR="00BF2FF4" w:rsidRDefault="00BF2F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3C749" w14:textId="77777777" w:rsidR="00930701" w:rsidRDefault="00486485">
    <w:pPr>
      <w:jc w:val="right"/>
    </w:pPr>
    <w:r>
      <w:fldChar w:fldCharType="begin"/>
    </w:r>
    <w:r>
      <w:instrText>PAGE</w:instrText>
    </w:r>
    <w:r>
      <w:fldChar w:fldCharType="separate"/>
    </w:r>
    <w: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60F36" w14:textId="77777777" w:rsidR="00BF2FF4" w:rsidRDefault="00BF2FF4">
      <w:pPr>
        <w:rPr>
          <w:sz w:val="12"/>
        </w:rPr>
      </w:pPr>
      <w:r>
        <w:separator/>
      </w:r>
    </w:p>
  </w:footnote>
  <w:footnote w:type="continuationSeparator" w:id="0">
    <w:p w14:paraId="04229BA2" w14:textId="77777777" w:rsidR="00BF2FF4" w:rsidRDefault="00BF2FF4">
      <w:pPr>
        <w:rPr>
          <w:sz w:val="12"/>
        </w:rPr>
      </w:pPr>
      <w:r>
        <w:continuationSeparator/>
      </w:r>
    </w:p>
  </w:footnote>
  <w:footnote w:id="1">
    <w:p w14:paraId="41C1D47E" w14:textId="5F87576F" w:rsidR="00930701" w:rsidRDefault="00486485">
      <w:pPr>
        <w:spacing w:after="0" w:line="240" w:lineRule="auto"/>
        <w:ind w:left="142" w:hanging="142"/>
        <w:jc w:val="both"/>
        <w:rPr>
          <w:rFonts w:ascii="Arial" w:eastAsia="Arial" w:hAnsi="Arial" w:cs="Arial"/>
          <w:color w:val="000000"/>
          <w:sz w:val="20"/>
          <w:szCs w:val="20"/>
        </w:rPr>
      </w:pPr>
      <w:r>
        <w:rPr>
          <w:rStyle w:val="Caracteresdenotaderodap"/>
        </w:rPr>
        <w:footnoteRef/>
      </w:r>
      <w:r>
        <w:rPr>
          <w:rFonts w:ascii="Arial" w:eastAsia="Arial" w:hAnsi="Arial" w:cs="Arial"/>
          <w:color w:val="000000"/>
          <w:sz w:val="20"/>
          <w:szCs w:val="20"/>
        </w:rPr>
        <w:tab/>
        <w:t xml:space="preserve"> Bolsista do Programa de Iniciação Científica (PIBIC/</w:t>
      </w:r>
      <w:r w:rsidR="00AF5569">
        <w:rPr>
          <w:rFonts w:ascii="Arial" w:eastAsia="Arial" w:hAnsi="Arial" w:cs="Arial"/>
          <w:color w:val="000000"/>
          <w:sz w:val="20"/>
          <w:szCs w:val="20"/>
        </w:rPr>
        <w:t>FAPT</w:t>
      </w:r>
      <w:r>
        <w:rPr>
          <w:rFonts w:ascii="Arial" w:eastAsia="Arial" w:hAnsi="Arial" w:cs="Arial"/>
          <w:color w:val="000000"/>
          <w:sz w:val="20"/>
          <w:szCs w:val="20"/>
        </w:rPr>
        <w:t xml:space="preserve">). Universidade Federal do Norte do Tocantins (UFNT), </w:t>
      </w:r>
      <w:r w:rsidR="00AF5569">
        <w:rPr>
          <w:rFonts w:ascii="Arial" w:eastAsia="Arial" w:hAnsi="Arial" w:cs="Arial"/>
          <w:color w:val="000000"/>
          <w:sz w:val="20"/>
          <w:szCs w:val="20"/>
        </w:rPr>
        <w:t>Faculdade de Ciências da Saúde. Heitor.silva@ufnt.edu.br</w:t>
      </w:r>
      <w:r>
        <w:rPr>
          <w:rFonts w:ascii="Arial" w:eastAsia="Arial" w:hAnsi="Arial" w:cs="Arial"/>
          <w:color w:val="000000"/>
          <w:sz w:val="20"/>
          <w:szCs w:val="20"/>
        </w:rPr>
        <w:t xml:space="preserve">. </w:t>
      </w:r>
    </w:p>
  </w:footnote>
  <w:footnote w:id="2">
    <w:p w14:paraId="0FCAD69C" w14:textId="551C2076" w:rsidR="00930701" w:rsidRDefault="00486485">
      <w:pPr>
        <w:spacing w:after="0" w:line="240" w:lineRule="auto"/>
        <w:ind w:left="142" w:hanging="142"/>
        <w:jc w:val="both"/>
        <w:rPr>
          <w:color w:val="000000"/>
          <w:sz w:val="20"/>
          <w:szCs w:val="20"/>
        </w:rPr>
      </w:pPr>
      <w:r>
        <w:rPr>
          <w:rStyle w:val="Caracteresdenotaderodap"/>
        </w:rPr>
        <w:footnoteRef/>
      </w:r>
      <w:r>
        <w:rPr>
          <w:rFonts w:ascii="Arial" w:eastAsia="Arial" w:hAnsi="Arial" w:cs="Arial"/>
          <w:color w:val="000000"/>
          <w:sz w:val="20"/>
          <w:szCs w:val="20"/>
        </w:rPr>
        <w:tab/>
        <w:t xml:space="preserve"> Professora Doutora d</w:t>
      </w:r>
      <w:r w:rsidR="00AF5569">
        <w:rPr>
          <w:rFonts w:ascii="Arial" w:eastAsia="Arial" w:hAnsi="Arial" w:cs="Arial"/>
          <w:color w:val="000000"/>
          <w:sz w:val="20"/>
          <w:szCs w:val="20"/>
        </w:rPr>
        <w:t>o curso de Medicina</w:t>
      </w:r>
      <w:r>
        <w:rPr>
          <w:rFonts w:ascii="Arial" w:eastAsia="Arial" w:hAnsi="Arial" w:cs="Arial"/>
          <w:color w:val="000000"/>
          <w:sz w:val="20"/>
          <w:szCs w:val="20"/>
        </w:rPr>
        <w:t xml:space="preserve">, Universidade Federal </w:t>
      </w:r>
      <w:r w:rsidR="00AF5569">
        <w:rPr>
          <w:rFonts w:ascii="Arial" w:eastAsia="Arial" w:hAnsi="Arial" w:cs="Arial"/>
          <w:color w:val="000000"/>
          <w:sz w:val="20"/>
          <w:szCs w:val="20"/>
        </w:rPr>
        <w:t>do Norte do Tocantins</w:t>
      </w:r>
      <w:r>
        <w:rPr>
          <w:rFonts w:ascii="Arial" w:eastAsia="Arial" w:hAnsi="Arial" w:cs="Arial"/>
          <w:color w:val="000000"/>
          <w:sz w:val="20"/>
          <w:szCs w:val="20"/>
        </w:rPr>
        <w:t xml:space="preserve"> (UF</w:t>
      </w:r>
      <w:r w:rsidR="00AF5569">
        <w:rPr>
          <w:rFonts w:ascii="Arial" w:eastAsia="Arial" w:hAnsi="Arial" w:cs="Arial"/>
          <w:color w:val="000000"/>
          <w:sz w:val="20"/>
          <w:szCs w:val="20"/>
        </w:rPr>
        <w:t>NT</w:t>
      </w:r>
      <w:r>
        <w:rPr>
          <w:rFonts w:ascii="Arial" w:eastAsia="Arial" w:hAnsi="Arial" w:cs="Arial"/>
          <w:color w:val="000000"/>
          <w:sz w:val="20"/>
          <w:szCs w:val="20"/>
        </w:rPr>
        <w:t>)</w:t>
      </w:r>
      <w:r w:rsidR="00AF5569">
        <w:rPr>
          <w:rFonts w:ascii="Arial" w:eastAsia="Arial" w:hAnsi="Arial" w:cs="Arial"/>
          <w:color w:val="000000"/>
          <w:sz w:val="20"/>
          <w:szCs w:val="20"/>
        </w:rPr>
        <w:t>. Andrielly.jesus</w:t>
      </w:r>
      <w:r>
        <w:rPr>
          <w:rFonts w:ascii="Arial" w:eastAsia="Arial" w:hAnsi="Arial" w:cs="Arial"/>
          <w:color w:val="000000"/>
          <w:sz w:val="20"/>
          <w:szCs w:val="20"/>
        </w:rPr>
        <w:t>@</w:t>
      </w:r>
      <w:r w:rsidR="00AF5569">
        <w:rPr>
          <w:rFonts w:ascii="Arial" w:eastAsia="Arial" w:hAnsi="Arial" w:cs="Arial"/>
          <w:color w:val="000000"/>
          <w:sz w:val="20"/>
          <w:szCs w:val="20"/>
        </w:rPr>
        <w:t>ufnt.edu.br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753FE" w14:textId="77777777" w:rsidR="00930701" w:rsidRDefault="00486485">
    <w:r>
      <w:rPr>
        <w:noProof/>
      </w:rPr>
      <w:drawing>
        <wp:anchor distT="0" distB="0" distL="0" distR="0" simplePos="0" relativeHeight="18" behindDoc="0" locked="0" layoutInCell="0" allowOverlap="1" wp14:anchorId="4C9C3833" wp14:editId="2024E069">
          <wp:simplePos x="0" y="0"/>
          <wp:positionH relativeFrom="column">
            <wp:align>center</wp:align>
          </wp:positionH>
          <wp:positionV relativeFrom="paragraph">
            <wp:posOffset>635</wp:posOffset>
          </wp:positionV>
          <wp:extent cx="5759450" cy="1919605"/>
          <wp:effectExtent l="0" t="0" r="0" b="0"/>
          <wp:wrapSquare wrapText="largest"/>
          <wp:docPr id="1" name="Figura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9"/>
                  <pic:cNvPicPr>
                    <a:picLocks noChangeAspect="1" noChangeArrowheads="1"/>
                  </pic:cNvPicPr>
                </pic:nvPicPr>
                <pic:blipFill>
                  <a:blip r:embed="rId1"/>
                  <a:stretch>
                    <a:fillRect/>
                  </a:stretch>
                </pic:blipFill>
                <pic:spPr bwMode="auto">
                  <a:xfrm>
                    <a:off x="0" y="0"/>
                    <a:ext cx="5759450" cy="1919605"/>
                  </a:xfrm>
                  <a:prstGeom prst="rect">
                    <a:avLst/>
                  </a:prstGeom>
                </pic:spPr>
              </pic:pic>
            </a:graphicData>
          </a:graphic>
        </wp:anchor>
      </w:drawing>
    </w:r>
  </w:p>
  <w:p w14:paraId="7E0DF7EF" w14:textId="77777777" w:rsidR="00930701" w:rsidRDefault="00930701"/>
  <w:p w14:paraId="78ED82A8" w14:textId="77777777" w:rsidR="00930701" w:rsidRDefault="00930701"/>
  <w:p w14:paraId="4ABA6A88" w14:textId="77777777" w:rsidR="00930701" w:rsidRDefault="00930701"/>
  <w:p w14:paraId="6C95B4DA" w14:textId="77777777" w:rsidR="00930701" w:rsidRDefault="00930701"/>
  <w:p w14:paraId="4647FA0B" w14:textId="77777777" w:rsidR="00930701" w:rsidRDefault="00930701"/>
  <w:p w14:paraId="525052BC" w14:textId="77777777" w:rsidR="00930701" w:rsidRDefault="00930701"/>
  <w:p w14:paraId="6E82CEDC" w14:textId="77777777" w:rsidR="00930701" w:rsidRDefault="0093070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825555"/>
    <w:multiLevelType w:val="hybridMultilevel"/>
    <w:tmpl w:val="D64839E0"/>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 w15:restartNumberingAfterBreak="0">
    <w:nsid w:val="4D7C4209"/>
    <w:multiLevelType w:val="multilevel"/>
    <w:tmpl w:val="23D8A26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52357C45"/>
    <w:multiLevelType w:val="multilevel"/>
    <w:tmpl w:val="8F84624C"/>
    <w:lvl w:ilvl="0">
      <w:start w:val="1"/>
      <w:numFmt w:val="bullet"/>
      <w:lvlText w:val="•"/>
      <w:lvlJc w:val="left"/>
      <w:pPr>
        <w:tabs>
          <w:tab w:val="num" w:pos="0"/>
        </w:tabs>
        <w:ind w:left="720" w:hanging="360"/>
      </w:pPr>
      <w:rPr>
        <w:rFonts w:ascii="Arial" w:hAnsi="Arial" w:cs="Arial" w:hint="default"/>
      </w:rPr>
    </w:lvl>
    <w:lvl w:ilvl="1">
      <w:start w:val="1"/>
      <w:numFmt w:val="bullet"/>
      <w:lvlText w:val="•"/>
      <w:lvlJc w:val="left"/>
      <w:pPr>
        <w:tabs>
          <w:tab w:val="num" w:pos="0"/>
        </w:tabs>
        <w:ind w:left="1440" w:hanging="360"/>
      </w:pPr>
      <w:rPr>
        <w:rFonts w:ascii="Arial" w:hAnsi="Arial" w:cs="Arial" w:hint="default"/>
      </w:rPr>
    </w:lvl>
    <w:lvl w:ilvl="2">
      <w:start w:val="1"/>
      <w:numFmt w:val="bullet"/>
      <w:lvlText w:val="•"/>
      <w:lvlJc w:val="left"/>
      <w:pPr>
        <w:tabs>
          <w:tab w:val="num" w:pos="0"/>
        </w:tabs>
        <w:ind w:left="2160" w:hanging="360"/>
      </w:pPr>
      <w:rPr>
        <w:rFonts w:ascii="Arial" w:hAnsi="Arial" w:cs="Arial" w:hint="default"/>
      </w:rPr>
    </w:lvl>
    <w:lvl w:ilvl="3">
      <w:start w:val="1"/>
      <w:numFmt w:val="bullet"/>
      <w:lvlText w:val="•"/>
      <w:lvlJc w:val="left"/>
      <w:pPr>
        <w:tabs>
          <w:tab w:val="num" w:pos="0"/>
        </w:tabs>
        <w:ind w:left="2880" w:hanging="360"/>
      </w:pPr>
      <w:rPr>
        <w:rFonts w:ascii="Arial" w:hAnsi="Arial" w:cs="Arial" w:hint="default"/>
      </w:rPr>
    </w:lvl>
    <w:lvl w:ilvl="4">
      <w:start w:val="1"/>
      <w:numFmt w:val="bullet"/>
      <w:lvlText w:val="•"/>
      <w:lvlJc w:val="left"/>
      <w:pPr>
        <w:tabs>
          <w:tab w:val="num" w:pos="0"/>
        </w:tabs>
        <w:ind w:left="3600" w:hanging="360"/>
      </w:pPr>
      <w:rPr>
        <w:rFonts w:ascii="Arial" w:hAnsi="Arial" w:cs="Arial" w:hint="default"/>
      </w:rPr>
    </w:lvl>
    <w:lvl w:ilvl="5">
      <w:start w:val="1"/>
      <w:numFmt w:val="bullet"/>
      <w:lvlText w:val="•"/>
      <w:lvlJc w:val="left"/>
      <w:pPr>
        <w:tabs>
          <w:tab w:val="num" w:pos="0"/>
        </w:tabs>
        <w:ind w:left="4320" w:hanging="360"/>
      </w:pPr>
      <w:rPr>
        <w:rFonts w:ascii="Arial" w:hAnsi="Arial" w:cs="Arial" w:hint="default"/>
      </w:rPr>
    </w:lvl>
    <w:lvl w:ilvl="6">
      <w:start w:val="1"/>
      <w:numFmt w:val="bullet"/>
      <w:lvlText w:val="•"/>
      <w:lvlJc w:val="left"/>
      <w:pPr>
        <w:tabs>
          <w:tab w:val="num" w:pos="0"/>
        </w:tabs>
        <w:ind w:left="5040" w:hanging="360"/>
      </w:pPr>
      <w:rPr>
        <w:rFonts w:ascii="Arial" w:hAnsi="Arial" w:cs="Arial" w:hint="default"/>
      </w:rPr>
    </w:lvl>
    <w:lvl w:ilvl="7">
      <w:start w:val="1"/>
      <w:numFmt w:val="bullet"/>
      <w:lvlText w:val="•"/>
      <w:lvlJc w:val="left"/>
      <w:pPr>
        <w:tabs>
          <w:tab w:val="num" w:pos="0"/>
        </w:tabs>
        <w:ind w:left="5760" w:hanging="360"/>
      </w:pPr>
      <w:rPr>
        <w:rFonts w:ascii="Arial" w:hAnsi="Arial" w:cs="Arial" w:hint="default"/>
      </w:rPr>
    </w:lvl>
    <w:lvl w:ilvl="8">
      <w:start w:val="1"/>
      <w:numFmt w:val="bullet"/>
      <w:lvlText w:val="•"/>
      <w:lvlJc w:val="left"/>
      <w:pPr>
        <w:tabs>
          <w:tab w:val="num" w:pos="0"/>
        </w:tabs>
        <w:ind w:left="6480" w:hanging="360"/>
      </w:pPr>
      <w:rPr>
        <w:rFonts w:ascii="Arial" w:hAnsi="Arial" w:cs="Arial" w:hint="default"/>
      </w:rPr>
    </w:lvl>
  </w:abstractNum>
  <w:abstractNum w:abstractNumId="3" w15:restartNumberingAfterBreak="0">
    <w:nsid w:val="60D80AEE"/>
    <w:multiLevelType w:val="multilevel"/>
    <w:tmpl w:val="D5A258A6"/>
    <w:lvl w:ilvl="0">
      <w:start w:val="1"/>
      <w:numFmt w:val="upperRoman"/>
      <w:lvlText w:val="%1."/>
      <w:lvlJc w:val="right"/>
      <w:pPr>
        <w:tabs>
          <w:tab w:val="num" w:pos="0"/>
        </w:tabs>
        <w:ind w:left="720" w:hanging="360"/>
      </w:pPr>
      <w:rPr>
        <w:u w:val="none"/>
      </w:rPr>
    </w:lvl>
    <w:lvl w:ilvl="1">
      <w:start w:val="1"/>
      <w:numFmt w:val="upperLetter"/>
      <w:lvlText w:val="%2."/>
      <w:lvlJc w:val="left"/>
      <w:pPr>
        <w:tabs>
          <w:tab w:val="num" w:pos="0"/>
        </w:tabs>
        <w:ind w:left="1440" w:hanging="360"/>
      </w:pPr>
      <w:rPr>
        <w:u w:val="none"/>
      </w:rPr>
    </w:lvl>
    <w:lvl w:ilvl="2">
      <w:start w:val="1"/>
      <w:numFmt w:val="decimal"/>
      <w:lvlText w:val="%3."/>
      <w:lvlJc w:val="left"/>
      <w:pPr>
        <w:tabs>
          <w:tab w:val="num" w:pos="0"/>
        </w:tabs>
        <w:ind w:left="2160" w:hanging="360"/>
      </w:pPr>
      <w:rPr>
        <w:u w:val="none"/>
      </w:rPr>
    </w:lvl>
    <w:lvl w:ilvl="3">
      <w:start w:val="1"/>
      <w:numFmt w:val="lowerLetter"/>
      <w:lvlText w:val="%4)"/>
      <w:lvlJc w:val="left"/>
      <w:pPr>
        <w:tabs>
          <w:tab w:val="num" w:pos="0"/>
        </w:tabs>
        <w:ind w:left="2880" w:hanging="360"/>
      </w:pPr>
      <w:rPr>
        <w:u w:val="none"/>
      </w:rPr>
    </w:lvl>
    <w:lvl w:ilvl="4">
      <w:start w:val="1"/>
      <w:numFmt w:val="decimal"/>
      <w:lvlText w:val="(%5)"/>
      <w:lvlJc w:val="left"/>
      <w:pPr>
        <w:tabs>
          <w:tab w:val="num" w:pos="0"/>
        </w:tabs>
        <w:ind w:left="3600" w:hanging="360"/>
      </w:pPr>
      <w:rPr>
        <w:u w:val="none"/>
      </w:rPr>
    </w:lvl>
    <w:lvl w:ilvl="5">
      <w:start w:val="1"/>
      <w:numFmt w:val="lowerLetter"/>
      <w:lvlText w:val="(%6)"/>
      <w:lvlJc w:val="left"/>
      <w:pPr>
        <w:tabs>
          <w:tab w:val="num" w:pos="0"/>
        </w:tabs>
        <w:ind w:left="4320" w:hanging="360"/>
      </w:pPr>
      <w:rPr>
        <w:u w:val="none"/>
      </w:rPr>
    </w:lvl>
    <w:lvl w:ilvl="6">
      <w:start w:val="1"/>
      <w:numFmt w:val="lowerRoman"/>
      <w:lvlText w:val="(%7)"/>
      <w:lvlJc w:val="righ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4" w15:restartNumberingAfterBreak="0">
    <w:nsid w:val="72E74687"/>
    <w:multiLevelType w:val="multilevel"/>
    <w:tmpl w:val="FC4223B8"/>
    <w:lvl w:ilvl="0">
      <w:start w:val="1"/>
      <w:numFmt w:val="upperRoman"/>
      <w:lvlText w:val="%1."/>
      <w:lvlJc w:val="right"/>
      <w:pPr>
        <w:tabs>
          <w:tab w:val="num" w:pos="0"/>
        </w:tabs>
        <w:ind w:left="720" w:hanging="360"/>
      </w:pPr>
      <w:rPr>
        <w:u w:val="none"/>
      </w:rPr>
    </w:lvl>
    <w:lvl w:ilvl="1">
      <w:start w:val="1"/>
      <w:numFmt w:val="decimal"/>
      <w:lvlText w:val="%2."/>
      <w:lvlJc w:val="left"/>
      <w:pPr>
        <w:ind w:left="1440" w:hanging="360"/>
      </w:pPr>
    </w:lvl>
    <w:lvl w:ilvl="2">
      <w:start w:val="1"/>
      <w:numFmt w:val="decimal"/>
      <w:lvlText w:val="%3."/>
      <w:lvlJc w:val="left"/>
      <w:pPr>
        <w:tabs>
          <w:tab w:val="num" w:pos="0"/>
        </w:tabs>
        <w:ind w:left="2160" w:hanging="360"/>
      </w:pPr>
      <w:rPr>
        <w:u w:val="none"/>
      </w:rPr>
    </w:lvl>
    <w:lvl w:ilvl="3">
      <w:start w:val="1"/>
      <w:numFmt w:val="lowerLetter"/>
      <w:lvlText w:val="%4)"/>
      <w:lvlJc w:val="left"/>
      <w:pPr>
        <w:tabs>
          <w:tab w:val="num" w:pos="0"/>
        </w:tabs>
        <w:ind w:left="2880" w:hanging="360"/>
      </w:pPr>
      <w:rPr>
        <w:u w:val="none"/>
      </w:rPr>
    </w:lvl>
    <w:lvl w:ilvl="4">
      <w:start w:val="1"/>
      <w:numFmt w:val="decimal"/>
      <w:lvlText w:val="(%5)"/>
      <w:lvlJc w:val="left"/>
      <w:pPr>
        <w:tabs>
          <w:tab w:val="num" w:pos="0"/>
        </w:tabs>
        <w:ind w:left="3600" w:hanging="360"/>
      </w:pPr>
      <w:rPr>
        <w:u w:val="none"/>
      </w:rPr>
    </w:lvl>
    <w:lvl w:ilvl="5">
      <w:start w:val="1"/>
      <w:numFmt w:val="lowerLetter"/>
      <w:lvlText w:val="(%6)"/>
      <w:lvlJc w:val="left"/>
      <w:pPr>
        <w:tabs>
          <w:tab w:val="num" w:pos="0"/>
        </w:tabs>
        <w:ind w:left="4320" w:hanging="360"/>
      </w:pPr>
      <w:rPr>
        <w:u w:val="none"/>
      </w:rPr>
    </w:lvl>
    <w:lvl w:ilvl="6">
      <w:start w:val="1"/>
      <w:numFmt w:val="lowerRoman"/>
      <w:lvlText w:val="(%7)"/>
      <w:lvlJc w:val="righ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num w:numId="1" w16cid:durableId="140540977">
    <w:abstractNumId w:val="2"/>
  </w:num>
  <w:num w:numId="2" w16cid:durableId="660351138">
    <w:abstractNumId w:val="3"/>
  </w:num>
  <w:num w:numId="3" w16cid:durableId="643236484">
    <w:abstractNumId w:val="1"/>
  </w:num>
  <w:num w:numId="4" w16cid:durableId="669260412">
    <w:abstractNumId w:val="0"/>
  </w:num>
  <w:num w:numId="5" w16cid:durableId="20986759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701"/>
    <w:rsid w:val="00352E12"/>
    <w:rsid w:val="00442634"/>
    <w:rsid w:val="00486485"/>
    <w:rsid w:val="00930701"/>
    <w:rsid w:val="00AE58FC"/>
    <w:rsid w:val="00AF5569"/>
    <w:rsid w:val="00BF2FF4"/>
    <w:rsid w:val="00FB1073"/>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F99EF"/>
  <w15:docId w15:val="{E0D7C60F-7EE9-4BDD-BFAD-A0139DCC4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7AF7"/>
    <w:pPr>
      <w:spacing w:after="160" w:line="259" w:lineRule="auto"/>
    </w:p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extodenotaderodapChar">
    <w:name w:val="Texto de nota de rodapé Char"/>
    <w:basedOn w:val="Fontepargpadro"/>
    <w:link w:val="Textodenotaderodap"/>
    <w:uiPriority w:val="99"/>
    <w:semiHidden/>
    <w:qFormat/>
    <w:rsid w:val="00FC3814"/>
    <w:rPr>
      <w:sz w:val="20"/>
      <w:szCs w:val="20"/>
    </w:rPr>
  </w:style>
  <w:style w:type="character" w:customStyle="1" w:styleId="ncoradanotaderodap">
    <w:name w:val="Âncora da nota de rodapé"/>
    <w:rPr>
      <w:vertAlign w:val="superscript"/>
    </w:rPr>
  </w:style>
  <w:style w:type="character" w:customStyle="1" w:styleId="FootnoteCharacters">
    <w:name w:val="Footnote Characters"/>
    <w:basedOn w:val="Fontepargpadro"/>
    <w:uiPriority w:val="99"/>
    <w:semiHidden/>
    <w:unhideWhenUsed/>
    <w:qFormat/>
    <w:rsid w:val="00FC3814"/>
    <w:rPr>
      <w:vertAlign w:val="superscript"/>
    </w:rPr>
  </w:style>
  <w:style w:type="character" w:customStyle="1" w:styleId="Caracteresdenotaderodap">
    <w:name w:val="Caracteres de nota de rodapé"/>
    <w:qFormat/>
  </w:style>
  <w:style w:type="character" w:customStyle="1" w:styleId="ncoradanotadefim">
    <w:name w:val="Âncora da nota de fim"/>
    <w:rPr>
      <w:vertAlign w:val="superscript"/>
    </w:rPr>
  </w:style>
  <w:style w:type="character" w:customStyle="1" w:styleId="Caracteresdenotadefim">
    <w:name w:val="Caracteres de nota de fim"/>
    <w:qFormat/>
  </w:style>
  <w:style w:type="paragraph" w:styleId="Ttulo">
    <w:name w:val="Title"/>
    <w:basedOn w:val="Normal"/>
    <w:next w:val="Corpodetexto"/>
    <w:uiPriority w:val="10"/>
    <w:qFormat/>
    <w:pPr>
      <w:keepNext/>
      <w:keepLines/>
      <w:spacing w:before="480" w:after="120"/>
    </w:pPr>
    <w:rPr>
      <w:b/>
      <w:sz w:val="72"/>
      <w:szCs w:val="72"/>
    </w:rPr>
  </w:style>
  <w:style w:type="paragraph" w:styleId="Corpodetexto">
    <w:name w:val="Body Text"/>
    <w:basedOn w:val="Normal"/>
    <w:pPr>
      <w:spacing w:after="140" w:line="276" w:lineRule="auto"/>
    </w:p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styleId="Textodenotaderodap">
    <w:name w:val="footnote text"/>
    <w:basedOn w:val="Normal"/>
    <w:link w:val="TextodenotaderodapChar"/>
    <w:uiPriority w:val="99"/>
    <w:semiHidden/>
    <w:unhideWhenUsed/>
    <w:rsid w:val="00FC3814"/>
    <w:pPr>
      <w:spacing w:after="0" w:line="240" w:lineRule="auto"/>
    </w:pPr>
    <w:rPr>
      <w:sz w:val="20"/>
      <w:szCs w:val="20"/>
    </w:rPr>
  </w:style>
  <w:style w:type="paragraph" w:styleId="NormalWeb">
    <w:name w:val="Normal (Web)"/>
    <w:basedOn w:val="Normal"/>
    <w:uiPriority w:val="99"/>
    <w:unhideWhenUsed/>
    <w:qFormat/>
    <w:rsid w:val="00017C63"/>
    <w:pPr>
      <w:spacing w:beforeAutospacing="1" w:afterAutospacing="1" w:line="240" w:lineRule="auto"/>
    </w:pPr>
    <w:rPr>
      <w:rFonts w:ascii="Times New Roman" w:eastAsia="Times New Roman" w:hAnsi="Times New Roman" w:cs="Times New Roman"/>
      <w:sz w:val="24"/>
      <w:szCs w:val="24"/>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CabealhoeRodap">
    <w:name w:val="Cabeçalho e Rodapé"/>
    <w:basedOn w:val="Normal"/>
    <w:qFormat/>
  </w:style>
  <w:style w:type="paragraph" w:styleId="Cabealho">
    <w:name w:val="header"/>
    <w:basedOn w:val="CabealhoeRodap"/>
  </w:style>
  <w:style w:type="paragraph" w:styleId="Rodap">
    <w:name w:val="footer"/>
    <w:basedOn w:val="CabealhoeRodap"/>
  </w:style>
  <w:style w:type="paragraph" w:customStyle="1" w:styleId="Contedodoquadro">
    <w:name w:val="Conteúdo do quadro"/>
    <w:basedOn w:val="Normal"/>
    <w:qFormat/>
  </w:style>
  <w:style w:type="table" w:customStyle="1" w:styleId="TableNormal">
    <w:name w:val="Table Normal"/>
    <w:tblPr>
      <w:tblCellMar>
        <w:top w:w="0" w:type="dxa"/>
        <w:left w:w="0" w:type="dxa"/>
        <w:bottom w:w="0" w:type="dxa"/>
        <w:right w:w="0" w:type="dxa"/>
      </w:tblCellMar>
    </w:tblPr>
  </w:style>
  <w:style w:type="paragraph" w:styleId="PargrafodaLista">
    <w:name w:val="List Paragraph"/>
    <w:basedOn w:val="Normal"/>
    <w:uiPriority w:val="34"/>
    <w:qFormat/>
    <w:rsid w:val="00AF55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540408">
      <w:bodyDiv w:val="1"/>
      <w:marLeft w:val="0"/>
      <w:marRight w:val="0"/>
      <w:marTop w:val="0"/>
      <w:marBottom w:val="0"/>
      <w:divBdr>
        <w:top w:val="none" w:sz="0" w:space="0" w:color="auto"/>
        <w:left w:val="none" w:sz="0" w:space="0" w:color="auto"/>
        <w:bottom w:val="none" w:sz="0" w:space="0" w:color="auto"/>
        <w:right w:val="none" w:sz="0" w:space="0" w:color="auto"/>
      </w:divBdr>
    </w:div>
    <w:div w:id="5626422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D:\Meu%20Drive\Estudos%20e%20Faculdade\Qualidade%20de%20vida%20de%20pessoas%20trans%20tocantinenses\Tabela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t-BR"/>
              <a:t>Pontuação convertida para os domínios do</a:t>
            </a:r>
            <a:r>
              <a:rPr lang="pt-BR" baseline="0"/>
              <a:t> WHOQOL-BREF</a:t>
            </a:r>
            <a:endParaRPr lang="pt-B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t-BR"/>
        </a:p>
      </c:txPr>
    </c:title>
    <c:autoTitleDeleted val="0"/>
    <c:plotArea>
      <c:layout/>
      <c:barChart>
        <c:barDir val="col"/>
        <c:grouping val="clustered"/>
        <c:varyColors val="0"/>
        <c:ser>
          <c:idx val="0"/>
          <c:order val="0"/>
          <c:tx>
            <c:strRef>
              <c:f>Planilha4!$B$1</c:f>
              <c:strCache>
                <c:ptCount val="1"/>
                <c:pt idx="0">
                  <c:v>Saúde física</c:v>
                </c:pt>
              </c:strCache>
            </c:strRef>
          </c:tx>
          <c:spPr>
            <a:solidFill>
              <a:schemeClr val="accent1"/>
            </a:solidFill>
            <a:ln>
              <a:noFill/>
            </a:ln>
            <a:effectLst/>
          </c:spPr>
          <c:invertIfNegative val="0"/>
          <c:cat>
            <c:strRef>
              <c:f>Planilha4!$A$2:$A$14</c:f>
              <c:strCache>
                <c:ptCount val="13"/>
                <c:pt idx="0">
                  <c:v>A</c:v>
                </c:pt>
                <c:pt idx="1">
                  <c:v>B</c:v>
                </c:pt>
                <c:pt idx="2">
                  <c:v>C</c:v>
                </c:pt>
                <c:pt idx="3">
                  <c:v>D</c:v>
                </c:pt>
                <c:pt idx="4">
                  <c:v>E</c:v>
                </c:pt>
                <c:pt idx="5">
                  <c:v>F</c:v>
                </c:pt>
                <c:pt idx="6">
                  <c:v>G</c:v>
                </c:pt>
                <c:pt idx="7">
                  <c:v>H</c:v>
                </c:pt>
                <c:pt idx="8">
                  <c:v>I</c:v>
                </c:pt>
                <c:pt idx="9">
                  <c:v>J</c:v>
                </c:pt>
                <c:pt idx="10">
                  <c:v>K</c:v>
                </c:pt>
                <c:pt idx="12">
                  <c:v>MÉDIA</c:v>
                </c:pt>
              </c:strCache>
            </c:strRef>
          </c:cat>
          <c:val>
            <c:numRef>
              <c:f>Planilha4!$B$2:$B$14</c:f>
              <c:numCache>
                <c:formatCode>General</c:formatCode>
                <c:ptCount val="13"/>
                <c:pt idx="0">
                  <c:v>82.142857142857139</c:v>
                </c:pt>
                <c:pt idx="1">
                  <c:v>57.142857142857139</c:v>
                </c:pt>
                <c:pt idx="2">
                  <c:v>46.428571428571431</c:v>
                </c:pt>
                <c:pt idx="3">
                  <c:v>67.857142857142861</c:v>
                </c:pt>
                <c:pt idx="4">
                  <c:v>71.428571428571431</c:v>
                </c:pt>
                <c:pt idx="5">
                  <c:v>67.857142857142861</c:v>
                </c:pt>
                <c:pt idx="6">
                  <c:v>21.428571428571431</c:v>
                </c:pt>
                <c:pt idx="7">
                  <c:v>71.428571428571431</c:v>
                </c:pt>
                <c:pt idx="8">
                  <c:v>64.285714285714292</c:v>
                </c:pt>
                <c:pt idx="9">
                  <c:v>50</c:v>
                </c:pt>
                <c:pt idx="10">
                  <c:v>60.714285714285708</c:v>
                </c:pt>
                <c:pt idx="12">
                  <c:v>64.285714285714292</c:v>
                </c:pt>
              </c:numCache>
            </c:numRef>
          </c:val>
          <c:extLst>
            <c:ext xmlns:c16="http://schemas.microsoft.com/office/drawing/2014/chart" uri="{C3380CC4-5D6E-409C-BE32-E72D297353CC}">
              <c16:uniqueId val="{00000000-9D06-4CBD-9D5B-40A0B3E2A406}"/>
            </c:ext>
          </c:extLst>
        </c:ser>
        <c:ser>
          <c:idx val="1"/>
          <c:order val="1"/>
          <c:tx>
            <c:strRef>
              <c:f>Planilha4!$C$1</c:f>
              <c:strCache>
                <c:ptCount val="1"/>
                <c:pt idx="0">
                  <c:v>Saúde psicológica</c:v>
                </c:pt>
              </c:strCache>
            </c:strRef>
          </c:tx>
          <c:spPr>
            <a:solidFill>
              <a:schemeClr val="accent2"/>
            </a:solidFill>
            <a:ln>
              <a:noFill/>
            </a:ln>
            <a:effectLst/>
          </c:spPr>
          <c:invertIfNegative val="0"/>
          <c:cat>
            <c:strRef>
              <c:f>Planilha4!$A$2:$A$14</c:f>
              <c:strCache>
                <c:ptCount val="13"/>
                <c:pt idx="0">
                  <c:v>A</c:v>
                </c:pt>
                <c:pt idx="1">
                  <c:v>B</c:v>
                </c:pt>
                <c:pt idx="2">
                  <c:v>C</c:v>
                </c:pt>
                <c:pt idx="3">
                  <c:v>D</c:v>
                </c:pt>
                <c:pt idx="4">
                  <c:v>E</c:v>
                </c:pt>
                <c:pt idx="5">
                  <c:v>F</c:v>
                </c:pt>
                <c:pt idx="6">
                  <c:v>G</c:v>
                </c:pt>
                <c:pt idx="7">
                  <c:v>H</c:v>
                </c:pt>
                <c:pt idx="8">
                  <c:v>I</c:v>
                </c:pt>
                <c:pt idx="9">
                  <c:v>J</c:v>
                </c:pt>
                <c:pt idx="10">
                  <c:v>K</c:v>
                </c:pt>
                <c:pt idx="12">
                  <c:v>MÉDIA</c:v>
                </c:pt>
              </c:strCache>
            </c:strRef>
          </c:cat>
          <c:val>
            <c:numRef>
              <c:f>Planilha4!$C$2:$C$14</c:f>
              <c:numCache>
                <c:formatCode>General</c:formatCode>
                <c:ptCount val="13"/>
                <c:pt idx="0">
                  <c:v>62.5</c:v>
                </c:pt>
                <c:pt idx="1">
                  <c:v>50</c:v>
                </c:pt>
                <c:pt idx="2">
                  <c:v>58.333333333333336</c:v>
                </c:pt>
                <c:pt idx="3">
                  <c:v>75</c:v>
                </c:pt>
                <c:pt idx="4">
                  <c:v>87.5</c:v>
                </c:pt>
                <c:pt idx="5">
                  <c:v>70.833333333333343</c:v>
                </c:pt>
                <c:pt idx="6">
                  <c:v>41.666666666666664</c:v>
                </c:pt>
                <c:pt idx="7">
                  <c:v>87.5</c:v>
                </c:pt>
                <c:pt idx="8">
                  <c:v>62.5</c:v>
                </c:pt>
                <c:pt idx="9">
                  <c:v>45.833333333333336</c:v>
                </c:pt>
                <c:pt idx="10">
                  <c:v>45.833333333333336</c:v>
                </c:pt>
                <c:pt idx="12">
                  <c:v>62.5</c:v>
                </c:pt>
              </c:numCache>
            </c:numRef>
          </c:val>
          <c:extLst>
            <c:ext xmlns:c16="http://schemas.microsoft.com/office/drawing/2014/chart" uri="{C3380CC4-5D6E-409C-BE32-E72D297353CC}">
              <c16:uniqueId val="{00000001-9D06-4CBD-9D5B-40A0B3E2A406}"/>
            </c:ext>
          </c:extLst>
        </c:ser>
        <c:ser>
          <c:idx val="2"/>
          <c:order val="2"/>
          <c:tx>
            <c:strRef>
              <c:f>Planilha4!$D$1</c:f>
              <c:strCache>
                <c:ptCount val="1"/>
                <c:pt idx="0">
                  <c:v>Relações sociais</c:v>
                </c:pt>
              </c:strCache>
            </c:strRef>
          </c:tx>
          <c:spPr>
            <a:solidFill>
              <a:schemeClr val="accent3"/>
            </a:solidFill>
            <a:ln>
              <a:noFill/>
            </a:ln>
            <a:effectLst/>
          </c:spPr>
          <c:invertIfNegative val="0"/>
          <c:cat>
            <c:strRef>
              <c:f>Planilha4!$A$2:$A$14</c:f>
              <c:strCache>
                <c:ptCount val="13"/>
                <c:pt idx="0">
                  <c:v>A</c:v>
                </c:pt>
                <c:pt idx="1">
                  <c:v>B</c:v>
                </c:pt>
                <c:pt idx="2">
                  <c:v>C</c:v>
                </c:pt>
                <c:pt idx="3">
                  <c:v>D</c:v>
                </c:pt>
                <c:pt idx="4">
                  <c:v>E</c:v>
                </c:pt>
                <c:pt idx="5">
                  <c:v>F</c:v>
                </c:pt>
                <c:pt idx="6">
                  <c:v>G</c:v>
                </c:pt>
                <c:pt idx="7">
                  <c:v>H</c:v>
                </c:pt>
                <c:pt idx="8">
                  <c:v>I</c:v>
                </c:pt>
                <c:pt idx="9">
                  <c:v>J</c:v>
                </c:pt>
                <c:pt idx="10">
                  <c:v>K</c:v>
                </c:pt>
                <c:pt idx="12">
                  <c:v>MÉDIA</c:v>
                </c:pt>
              </c:strCache>
            </c:strRef>
          </c:cat>
          <c:val>
            <c:numRef>
              <c:f>Planilha4!$D$2:$D$14</c:f>
              <c:numCache>
                <c:formatCode>General</c:formatCode>
                <c:ptCount val="13"/>
                <c:pt idx="0">
                  <c:v>66.666666666666657</c:v>
                </c:pt>
                <c:pt idx="1">
                  <c:v>75</c:v>
                </c:pt>
                <c:pt idx="2">
                  <c:v>75</c:v>
                </c:pt>
                <c:pt idx="3">
                  <c:v>58.333333333333336</c:v>
                </c:pt>
                <c:pt idx="4">
                  <c:v>33.333333333333336</c:v>
                </c:pt>
                <c:pt idx="5">
                  <c:v>75</c:v>
                </c:pt>
                <c:pt idx="6">
                  <c:v>50</c:v>
                </c:pt>
                <c:pt idx="7">
                  <c:v>100</c:v>
                </c:pt>
                <c:pt idx="8">
                  <c:v>66.666666666666657</c:v>
                </c:pt>
                <c:pt idx="9">
                  <c:v>33.333333333333336</c:v>
                </c:pt>
                <c:pt idx="10">
                  <c:v>41.666666666666664</c:v>
                </c:pt>
                <c:pt idx="12">
                  <c:v>66.666666666666657</c:v>
                </c:pt>
              </c:numCache>
            </c:numRef>
          </c:val>
          <c:extLst>
            <c:ext xmlns:c16="http://schemas.microsoft.com/office/drawing/2014/chart" uri="{C3380CC4-5D6E-409C-BE32-E72D297353CC}">
              <c16:uniqueId val="{00000002-9D06-4CBD-9D5B-40A0B3E2A406}"/>
            </c:ext>
          </c:extLst>
        </c:ser>
        <c:ser>
          <c:idx val="3"/>
          <c:order val="3"/>
          <c:tx>
            <c:strRef>
              <c:f>Planilha4!$E$1</c:f>
              <c:strCache>
                <c:ptCount val="1"/>
                <c:pt idx="0">
                  <c:v>Ambiente</c:v>
                </c:pt>
              </c:strCache>
            </c:strRef>
          </c:tx>
          <c:spPr>
            <a:solidFill>
              <a:schemeClr val="accent4"/>
            </a:solidFill>
            <a:ln>
              <a:noFill/>
            </a:ln>
            <a:effectLst/>
          </c:spPr>
          <c:invertIfNegative val="0"/>
          <c:cat>
            <c:strRef>
              <c:f>Planilha4!$A$2:$A$14</c:f>
              <c:strCache>
                <c:ptCount val="13"/>
                <c:pt idx="0">
                  <c:v>A</c:v>
                </c:pt>
                <c:pt idx="1">
                  <c:v>B</c:v>
                </c:pt>
                <c:pt idx="2">
                  <c:v>C</c:v>
                </c:pt>
                <c:pt idx="3">
                  <c:v>D</c:v>
                </c:pt>
                <c:pt idx="4">
                  <c:v>E</c:v>
                </c:pt>
                <c:pt idx="5">
                  <c:v>F</c:v>
                </c:pt>
                <c:pt idx="6">
                  <c:v>G</c:v>
                </c:pt>
                <c:pt idx="7">
                  <c:v>H</c:v>
                </c:pt>
                <c:pt idx="8">
                  <c:v>I</c:v>
                </c:pt>
                <c:pt idx="9">
                  <c:v>J</c:v>
                </c:pt>
                <c:pt idx="10">
                  <c:v>K</c:v>
                </c:pt>
                <c:pt idx="12">
                  <c:v>MÉDIA</c:v>
                </c:pt>
              </c:strCache>
            </c:strRef>
          </c:cat>
          <c:val>
            <c:numRef>
              <c:f>Planilha4!$E$2:$E$14</c:f>
              <c:numCache>
                <c:formatCode>General</c:formatCode>
                <c:ptCount val="13"/>
                <c:pt idx="0">
                  <c:v>43.75</c:v>
                </c:pt>
                <c:pt idx="1">
                  <c:v>59.375</c:v>
                </c:pt>
                <c:pt idx="2">
                  <c:v>50</c:v>
                </c:pt>
                <c:pt idx="3">
                  <c:v>56.25</c:v>
                </c:pt>
                <c:pt idx="4">
                  <c:v>71.875</c:v>
                </c:pt>
                <c:pt idx="5">
                  <c:v>56.25</c:v>
                </c:pt>
                <c:pt idx="6">
                  <c:v>28.125</c:v>
                </c:pt>
                <c:pt idx="7">
                  <c:v>50</c:v>
                </c:pt>
                <c:pt idx="8">
                  <c:v>81.25</c:v>
                </c:pt>
                <c:pt idx="9">
                  <c:v>46.875</c:v>
                </c:pt>
                <c:pt idx="10">
                  <c:v>25</c:v>
                </c:pt>
                <c:pt idx="12">
                  <c:v>50</c:v>
                </c:pt>
              </c:numCache>
            </c:numRef>
          </c:val>
          <c:extLst>
            <c:ext xmlns:c16="http://schemas.microsoft.com/office/drawing/2014/chart" uri="{C3380CC4-5D6E-409C-BE32-E72D297353CC}">
              <c16:uniqueId val="{00000003-9D06-4CBD-9D5B-40A0B3E2A406}"/>
            </c:ext>
          </c:extLst>
        </c:ser>
        <c:dLbls>
          <c:showLegendKey val="0"/>
          <c:showVal val="0"/>
          <c:showCatName val="0"/>
          <c:showSerName val="0"/>
          <c:showPercent val="0"/>
          <c:showBubbleSize val="0"/>
        </c:dLbls>
        <c:gapWidth val="219"/>
        <c:overlap val="-27"/>
        <c:axId val="1573461519"/>
        <c:axId val="1573461999"/>
      </c:barChart>
      <c:catAx>
        <c:axId val="157346151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1573461999"/>
        <c:crosses val="autoZero"/>
        <c:auto val="1"/>
        <c:lblAlgn val="ctr"/>
        <c:lblOffset val="100"/>
        <c:noMultiLvlLbl val="0"/>
      </c:catAx>
      <c:valAx>
        <c:axId val="157346199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157346151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iCDAcAD4NZUUv3YLesX1x1TMsyrw==">CgMxLjA4AHIhMVZvRkhmQW51QUg2OHhQeHo5UF91ZWZ3VVh0V3htREJj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13</Pages>
  <Words>2216</Words>
  <Characters>11972</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Anônimo</dc:creator>
  <dc:description/>
  <cp:lastModifiedBy>Heitor Donizete</cp:lastModifiedBy>
  <cp:revision>3</cp:revision>
  <dcterms:created xsi:type="dcterms:W3CDTF">2024-08-20T23:24:00Z</dcterms:created>
  <dcterms:modified xsi:type="dcterms:W3CDTF">2024-10-24T00:56:00Z</dcterms:modified>
  <dc:language>pt-BR</dc:language>
</cp:coreProperties>
</file>