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2361" w:rsidRPr="008A27CE" w:rsidRDefault="008A27CE" w:rsidP="008A27CE">
      <w:pPr>
        <w:pStyle w:val="Ttulo1"/>
        <w:spacing w:line="360" w:lineRule="auto"/>
        <w:ind w:firstLine="0"/>
        <w:rPr>
          <w:rFonts w:ascii="Arial" w:hAnsi="Arial" w:cs="Arial"/>
          <w:color w:val="000000" w:themeColor="text1"/>
          <w:sz w:val="24"/>
          <w:szCs w:val="24"/>
        </w:rPr>
      </w:pPr>
      <w:r w:rsidRPr="008A27C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742361" w:rsidRPr="008A27CE">
        <w:rPr>
          <w:rFonts w:ascii="Arial" w:hAnsi="Arial" w:cs="Arial"/>
          <w:color w:val="000000" w:themeColor="text1"/>
          <w:sz w:val="24"/>
          <w:szCs w:val="24"/>
        </w:rPr>
        <w:t>“ENSINO DA HISTÓRIA E DA CULTURA INDÍGENA” NA SALA DE AULA DA EDUCAÇÃO BÁSICA: reflexões e possibilidades para o ensino intercultural</w:t>
      </w:r>
    </w:p>
    <w:p w:rsidR="00734A5C" w:rsidRPr="008A27CE" w:rsidRDefault="00734A5C" w:rsidP="008A27CE">
      <w:pPr>
        <w:spacing w:line="36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734A5C" w:rsidRPr="008A27CE" w:rsidRDefault="00742361" w:rsidP="008A27CE">
      <w:pPr>
        <w:spacing w:after="0" w:line="360" w:lineRule="auto"/>
        <w:jc w:val="right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A27CE">
        <w:rPr>
          <w:rFonts w:ascii="Arial" w:hAnsi="Arial" w:cs="Arial"/>
          <w:b/>
          <w:bCs/>
          <w:color w:val="000000" w:themeColor="text1"/>
          <w:sz w:val="24"/>
          <w:szCs w:val="24"/>
        </w:rPr>
        <w:t>José Kleiton Vieira de Lima Ferreira</w:t>
      </w:r>
    </w:p>
    <w:p w:rsidR="00734A5C" w:rsidRPr="008A27CE" w:rsidRDefault="00734A5C" w:rsidP="008A27CE">
      <w:pPr>
        <w:spacing w:after="0" w:line="360" w:lineRule="auto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8A27CE">
        <w:rPr>
          <w:rFonts w:ascii="Arial" w:hAnsi="Arial" w:cs="Arial"/>
          <w:color w:val="000000" w:themeColor="text1"/>
          <w:sz w:val="24"/>
          <w:szCs w:val="24"/>
        </w:rPr>
        <w:t>(</w:t>
      </w:r>
      <w:r w:rsidR="00742361" w:rsidRPr="008A27CE">
        <w:rPr>
          <w:rFonts w:ascii="Arial" w:hAnsi="Arial" w:cs="Arial"/>
          <w:color w:val="000000" w:themeColor="text1"/>
          <w:sz w:val="24"/>
          <w:szCs w:val="24"/>
        </w:rPr>
        <w:t>SEDUC; FRM)</w:t>
      </w:r>
    </w:p>
    <w:p w:rsidR="00734A5C" w:rsidRPr="008A27CE" w:rsidRDefault="00734A5C" w:rsidP="008A27CE">
      <w:pPr>
        <w:spacing w:after="0" w:line="360" w:lineRule="auto"/>
        <w:jc w:val="right"/>
        <w:rPr>
          <w:rFonts w:ascii="Arial" w:hAnsi="Arial" w:cs="Arial"/>
          <w:color w:val="000000" w:themeColor="text1"/>
          <w:sz w:val="24"/>
          <w:szCs w:val="24"/>
        </w:rPr>
      </w:pPr>
      <w:r w:rsidRPr="008A27CE">
        <w:rPr>
          <w:rFonts w:ascii="Arial" w:hAnsi="Arial" w:cs="Arial"/>
          <w:color w:val="000000" w:themeColor="text1"/>
          <w:sz w:val="24"/>
          <w:szCs w:val="24"/>
        </w:rPr>
        <w:t>(</w:t>
      </w:r>
      <w:r w:rsidR="00742361" w:rsidRPr="008A27CE">
        <w:rPr>
          <w:rFonts w:ascii="Arial" w:hAnsi="Arial" w:cs="Arial"/>
          <w:color w:val="000000" w:themeColor="text1"/>
          <w:sz w:val="24"/>
          <w:szCs w:val="24"/>
        </w:rPr>
        <w:t>kleitonvieiradlf@g</w:t>
      </w:r>
      <w:r w:rsidRPr="008A27CE">
        <w:rPr>
          <w:rFonts w:ascii="Arial" w:hAnsi="Arial" w:cs="Arial"/>
          <w:color w:val="000000" w:themeColor="text1"/>
          <w:sz w:val="24"/>
          <w:szCs w:val="24"/>
        </w:rPr>
        <w:t>mail</w:t>
      </w:r>
      <w:r w:rsidR="00742361" w:rsidRPr="008A27CE">
        <w:rPr>
          <w:rFonts w:ascii="Arial" w:hAnsi="Arial" w:cs="Arial"/>
          <w:color w:val="000000" w:themeColor="text1"/>
          <w:sz w:val="24"/>
          <w:szCs w:val="24"/>
        </w:rPr>
        <w:t>.com</w:t>
      </w:r>
      <w:r w:rsidR="008A27CE">
        <w:rPr>
          <w:rFonts w:ascii="Arial" w:hAnsi="Arial" w:cs="Arial"/>
          <w:color w:val="000000" w:themeColor="text1"/>
          <w:sz w:val="24"/>
          <w:szCs w:val="24"/>
        </w:rPr>
        <w:t>)</w:t>
      </w:r>
    </w:p>
    <w:p w:rsidR="002A4832" w:rsidRPr="008A27CE" w:rsidRDefault="002A4832" w:rsidP="008A27CE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734A5C" w:rsidRPr="008A27CE" w:rsidRDefault="00734A5C" w:rsidP="008A27CE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A27CE">
        <w:rPr>
          <w:rFonts w:ascii="Arial" w:hAnsi="Arial" w:cs="Arial"/>
          <w:b/>
          <w:bCs/>
          <w:color w:val="000000" w:themeColor="text1"/>
          <w:sz w:val="24"/>
          <w:szCs w:val="24"/>
        </w:rPr>
        <w:t>1 INTRODUÇÃO</w:t>
      </w:r>
    </w:p>
    <w:p w:rsidR="00CB7EE3" w:rsidRPr="008A27CE" w:rsidRDefault="00742361" w:rsidP="008A27CE">
      <w:pPr>
        <w:spacing w:line="36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A inserção da temática indígena nas aulas da Educação Básica é fundamental para avanços e transformações no que tange as mentalidades a respeito da compreensão sobre o papel dos povos indígenas na formação do Brasil, bem como suas diversas e diferentes existências no contexto atual. Para aproximar os diferentes grupos sociais às realidades contemporâneas dos povos indígenas e evitar que velhos e novos preconceitos, orientados por ideologias desenvolvimentistas, superioridade racial e espiritual, permaneçam sendo propagados se vislumbra a escolarização como promissora para construção de uma sociedade com atores sociais compreensivos da pluralidade cultural e “educados” para as relações </w:t>
      </w:r>
      <w:r w:rsidR="00CB7EE3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étnico-raciais. </w:t>
      </w:r>
    </w:p>
    <w:p w:rsidR="008A27CE" w:rsidRPr="008A27CE" w:rsidRDefault="008A27CE" w:rsidP="008A27CE">
      <w:pPr>
        <w:spacing w:line="360" w:lineRule="auto"/>
        <w:ind w:firstLine="708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O maior esforço neste ensaio é problematizar e refletir sobre as possibilidades de transcender o ensino da temática para além das aulas “conteudista” e busco direcionar a atenção para outras percepções de ensino-aprendizagem possíveis a partir dos estudos sobre os povos indígenas, sugerindo que estes ensinos devam superar a abordagem simplificada da “história e da cultura dos povos indígenas” na Educação Básica. Para isso, considero importante trazer um pouco das interações indígenas com a escolarização e como ela foi utilizada por sujeitos indígenas como instrumento de acesso a conhecimentos científicos e códigos culturais das sociedades não indígenas eurocentradas, em seguida, apresentar reflexões e provocações sobre o objeto de conhecimento da temática indígena e quais habilidades espera-se que estudantes alcancem a partir desses objetos de conhecimentos. </w:t>
      </w:r>
    </w:p>
    <w:p w:rsidR="00734A5C" w:rsidRPr="008A27CE" w:rsidRDefault="00734A5C" w:rsidP="008A27CE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A27CE">
        <w:rPr>
          <w:rFonts w:ascii="Arial" w:hAnsi="Arial" w:cs="Arial"/>
          <w:b/>
          <w:bCs/>
          <w:color w:val="000000" w:themeColor="text1"/>
          <w:sz w:val="24"/>
          <w:szCs w:val="24"/>
        </w:rPr>
        <w:lastRenderedPageBreak/>
        <w:t xml:space="preserve">2 OBJETIVOS </w:t>
      </w:r>
    </w:p>
    <w:p w:rsidR="00742361" w:rsidRPr="008A27CE" w:rsidRDefault="008A27CE" w:rsidP="008A27CE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O objetivo deste texto</w:t>
      </w:r>
      <w:r w:rsidR="00742361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é trazer luz ao </w:t>
      </w:r>
      <w:r w:rsidR="00742361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debate sobre a importância e a neces</w:t>
      </w:r>
      <w:r w:rsidR="00CB7EE3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sidade de se trabalhar objetos de conhecimentos</w:t>
      </w:r>
      <w:r w:rsidR="00742361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contemporâneos para que a Educação para as Relações Étnico-raciais tenha eficácia e não recaia em erros que há tempos são produzidos e reproduzidos nas escolas que, por sua vez, estimulam os preconceitos em relação aos povos indígenas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; Refletir sobre a lei 11.645 e possibilidades de ensinoaprendizagem da temática indígena contemporânea </w:t>
      </w:r>
    </w:p>
    <w:p w:rsidR="00734A5C" w:rsidRPr="008A27CE" w:rsidRDefault="00734A5C" w:rsidP="008A27CE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A27CE">
        <w:rPr>
          <w:rFonts w:ascii="Arial" w:hAnsi="Arial" w:cs="Arial"/>
          <w:b/>
          <w:bCs/>
          <w:color w:val="000000" w:themeColor="text1"/>
          <w:sz w:val="24"/>
          <w:szCs w:val="24"/>
        </w:rPr>
        <w:t>3 METODOLOGIA</w:t>
      </w:r>
    </w:p>
    <w:p w:rsidR="003D171B" w:rsidRPr="008A27CE" w:rsidRDefault="008A27CE" w:rsidP="008A27CE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Este ensaio é resultado de problematizações e inquietações </w:t>
      </w:r>
      <w:r w:rsidR="003D171B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provocadas a partir de 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meu trabalho </w:t>
      </w:r>
      <w:r w:rsidR="003D171B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no território Xukuru-Kariri Mata da Cafurna entre 2019 e 2020 quando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, a partir do trabalho etnográfico, descrevi </w:t>
      </w:r>
      <w:r w:rsidR="003D171B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aspectos do processo de elaboração da educação escolar indígena diferenciada na referida aldeia, bem como a importância e o significado desta escolarização para os/as indígenas. </w:t>
      </w:r>
    </w:p>
    <w:p w:rsidR="003D171B" w:rsidRPr="008A27CE" w:rsidRDefault="003D171B" w:rsidP="008A27CE">
      <w:pPr>
        <w:spacing w:line="36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Os momentos da pesquisa - elaborada a partir de observação na escola e de entrevistas com estudantes, professoras, gestoras escolares e lideranças indígenas - foi imersão no modo como os indígenas apreendem e buscam etnificar (ou seja, ressignificam a escola e a educação em instituição com especificidades indígenas)  a educação escolar. </w:t>
      </w:r>
    </w:p>
    <w:p w:rsidR="003D171B" w:rsidRPr="008A27CE" w:rsidRDefault="003D171B" w:rsidP="008A27CE">
      <w:pPr>
        <w:spacing w:line="36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Ao passo que compreendia como os indígenas etnificavam a educação escolar, também surgiam questões sobre o que nós, “não indígenas”, aprendemos e sabemos dos universos simbólicos, cultuais e políticos indígenas e quais aprendizados alcançamos a partir do que aprendemos sobre os indígenas ao longo da vida e, sobretudo, na escola.</w:t>
      </w:r>
    </w:p>
    <w:p w:rsidR="00F44463" w:rsidRPr="008A27CE" w:rsidRDefault="00F44463" w:rsidP="008A27CE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</w:p>
    <w:p w:rsidR="00734A5C" w:rsidRPr="008A27CE" w:rsidRDefault="00734A5C" w:rsidP="008A27CE">
      <w:pPr>
        <w:spacing w:line="360" w:lineRule="auto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A27CE">
        <w:rPr>
          <w:rFonts w:ascii="Arial" w:hAnsi="Arial" w:cs="Arial"/>
          <w:b/>
          <w:bCs/>
          <w:color w:val="000000" w:themeColor="text1"/>
          <w:sz w:val="24"/>
          <w:szCs w:val="24"/>
        </w:rPr>
        <w:t>4 RESULTADOS E DISCUSSÃO</w:t>
      </w:r>
    </w:p>
    <w:p w:rsidR="003D171B" w:rsidRPr="008A27CE" w:rsidRDefault="003D171B" w:rsidP="008A27CE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Um texto clássico que trata o conceito de Educação, talvez uma leitura obrigatória a todos que pesquisam educação escolar ou que passaram por cursos de licenciaturas, é do antropólogo Carlos Rodrigues Brandão;  me refiro ao livro “O que é Educação”.  Publicado primeiramente em 1981, o livro nos oferece um fio condutor 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lastRenderedPageBreak/>
        <w:t>para pensar as várias maneiras de educação que ocorrem simultaneamente à escolarização. Mas um ponto em especial do livro contribui para as minhas provocações nesse ensaio: a experiência das relações, por meio de uma carta, entre indígenas e o governo do estado norte-americano da Virgínia que coloca em questão os princípios educativos indígenas e os ocidentais. Um trecho da carta citada por Brandão traz a resposta negativa ao convite para que jovens indígenas tivessem contato com a educação escolar tão comum entre os “brancos”. O trecho diz o seguinte:</w:t>
      </w:r>
    </w:p>
    <w:p w:rsidR="003D171B" w:rsidRPr="008A27CE" w:rsidRDefault="003D171B" w:rsidP="008A27CE">
      <w:pPr>
        <w:spacing w:line="240" w:lineRule="auto"/>
        <w:ind w:left="1701"/>
        <w:jc w:val="both"/>
        <w:rPr>
          <w:rFonts w:ascii="Arial" w:eastAsia="Times New Roman" w:hAnsi="Arial" w:cs="Arial"/>
          <w:color w:val="000000" w:themeColor="text1"/>
          <w:sz w:val="20"/>
          <w:szCs w:val="20"/>
        </w:rPr>
      </w:pPr>
      <w:r w:rsidRPr="008A27CE">
        <w:rPr>
          <w:rFonts w:ascii="Arial" w:eastAsia="Times New Roman" w:hAnsi="Arial" w:cs="Arial"/>
          <w:color w:val="000000" w:themeColor="text1"/>
          <w:sz w:val="20"/>
          <w:szCs w:val="20"/>
        </w:rPr>
        <w:t>Nós estamos convencidos, portanto, que os senhores desejam o bem para nós e agradecemos de todo o coração. Mas aqueles que são sábios reconhecem que diferentes nações têm concepções diferentes das coisas e, sendo assim, os senhores não ficarão ofendidos ao saber que a vossa ideia de educação não é a mesma que a nossa. Muitos dos nossos bravos guerreiros foram formados nas escolas do Norte e aprenderam toda a vossa ciência. Mas, quando eles voltavam para nós, eles eram maus corredores, ignorantes da vida da floresta e incapazes de suportarem o frio e a fome. Não sabiam como caçar o veado, matar o inimigo e construir uma caban</w:t>
      </w:r>
      <w:r w:rsidR="008A27CE" w:rsidRPr="008A27CE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a, e falavam </w:t>
      </w:r>
      <w:r w:rsidRPr="008A27CE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nossa língua muito mal. Eles eram, portanto, totalmente inúteis. Não serviam como guerreiros, como caçadores ou como conselheiros. Ficamos extremamente agradecidos pela vossa oferta e, embora não possamos aceitá-la, para mostrar a nossa gratidão oferecemos aos nobres senhores de Virgínia que nos enviem alguns dos seus jovens, que lhes ensinaremos tudo o que sabemos e faremos deles, homens (Apud, BRANDÃO, 1981, p. 9). </w:t>
      </w:r>
    </w:p>
    <w:p w:rsidR="003D171B" w:rsidRPr="008A27CE" w:rsidRDefault="003D171B" w:rsidP="008A27CE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A carta em questão, escrita em contexto social e histórico diferentes do contemporâneo demonstra o distanciamento entre os princípios educativos valorizados por aqueles indígenas e a escolarização norte-americana, diferente do contexto atual brasileiro em que a escolarização faz parte das organizações sociais indígenas e que questões indígenas devem ser trabalhadas nas escolas em obediência a Lei 11.645.  O trabalho de Brandão (1981) já sinalizava para a importância da aproximação entre princípios educativos diferentes que estão entrelaçados aos respectivos modos de construir social e culturalmente as pessoas e a</w:t>
      </w:r>
      <w:r w:rsidR="008A27CE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tualmente a lei 11.645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pode contribuir positivamente para um</w:t>
      </w:r>
      <w:r w:rsidR="008A27CE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projeto de humanidade</w:t>
      </w:r>
      <w:r w:rsidR="008A27CE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equânime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. Para isto é necessário que o ensino da temática indígena na Educação Básica não se reduza a metodologias conteudistas, </w:t>
      </w:r>
      <w:r w:rsidR="008A27CE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e a respeito deste ponto há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questões/problemas que devem ser tensionados para o avanço do ensino da e sobre a temática indígena.</w:t>
      </w:r>
    </w:p>
    <w:p w:rsidR="003D171B" w:rsidRPr="008A27CE" w:rsidRDefault="003D171B" w:rsidP="008A27CE">
      <w:pPr>
        <w:spacing w:line="36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Por algumas razões – entre elas a formação dos professores, pois apenas recentemente foram incluídas nos cursos de graduação disciplinas como “Saberes e 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lastRenderedPageBreak/>
        <w:t>Metodologias do Ensino da Temática Afro, Afro-brasileira e Indígena” e “Educação e Diversidade Etnorracial”</w:t>
      </w:r>
      <w:r w:rsidR="008A27CE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;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a fragilidade de Formação Continuada que alcancem professores das redes pública e privada; a ausência de material didático coerente com as questões na contemporaneidade – o ensino da temática indíg</w:t>
      </w:r>
      <w:r w:rsidR="008A27CE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ena pode amargar dificuldades para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alcançar as/aos estudantes nos moldes que se objetiva a partir da Lei e não haver um ensino contemplativo sobre a temática</w:t>
      </w:r>
      <w:r w:rsidR="008A27CE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, inclusive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correndo riscos de reproduzir estereótipos e preconceitos como, por exemplo, limitar ou unificar os povos indígenas a práticas culturais idênticas como se todos fossem iguais, utilizar roupas e adereços rituais como elemento de “indianidade’ que reforça o estereótipo de que indígenas vivem constantemente com cocas, seminus, em festividades, caçando, pescando e vivendo em ocas</w:t>
      </w:r>
      <w:r w:rsidR="008A27CE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,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e todo esse ensino</w:t>
      </w:r>
      <w:r w:rsidR="008A27CE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(para o bem ou para o mal)</w:t>
      </w:r>
      <w:r w:rsid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sendo isolado a datas específicas como a Semana do Índio, Semana d</w:t>
      </w:r>
      <w:r w:rsid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o Folclore e Feiras de Culturas </w:t>
      </w:r>
      <w:r w:rsidR="008A27CE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ou se referindo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aos </w:t>
      </w:r>
      <w:r w:rsidR="008A27CE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povos 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indígenas no pret</w:t>
      </w:r>
      <w:r w:rsidR="008A27CE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érito como se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não existissem contemporaneamente em todas as regiões do Brasil.</w:t>
      </w:r>
    </w:p>
    <w:p w:rsidR="003D171B" w:rsidRPr="008A27CE" w:rsidRDefault="003D171B" w:rsidP="008A27CE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Professores podem está contribuindo para legitimar e reproduzir preconceitos por tratarem com exotismo e ou folclorizando os povos indígenas e deixando passar momentos pertinentes para  ensinar de maneira consistente e substancial a temática indígena, justamente por estes professores não terem conhecimentos condizentes com a temática, não apenas pela formação acadêmica deficitária tendo em vista os curtos espaços para a temática, ou fragilidades em formações continuadas, mas também pela fragilidade na educação básica sobre os povos indígenas. </w:t>
      </w:r>
    </w:p>
    <w:p w:rsidR="003D171B" w:rsidRPr="008A27CE" w:rsidRDefault="003D171B" w:rsidP="008A27CE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Trata-se de um espiral de problemas: o espaço insuficiente e/ou inadequado para a questão indígena na educação básica não leva um letramento etnicorracial</w:t>
      </w:r>
      <w:r w:rsidR="008A27CE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para os/as estudantes egressos/as, por sua vez, a formação acadêmica desses estudantes e futuros profissionais que irão tratar da temática indígena ou que lidam com a diversidade etnicorracial não dispõe de tempo suficiente em suas matrizes curriculares para o debate que, no caso dos professores de componentes de ciências humanas e linguagens em obediências a  Lei 11.645, irão lecionar sobre a temática. </w:t>
      </w:r>
    </w:p>
    <w:p w:rsidR="003D171B" w:rsidRPr="008A27CE" w:rsidRDefault="003D171B" w:rsidP="008A27CE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Com isso, não quero dizer que não há professores que, por algumas razões, conseguem trabalhar a temática em sala de aula e busquem tratar da “história e 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lastRenderedPageBreak/>
        <w:t>cultura indígena” de maneira transversal e/ou interdisciplinar. Mas, também, para o modo como estes objetos de conhecimentos estão sendo problematizados, pois para além de se perguntar sobre os objetos de conhecimentos trabalhados para a execução da Lei 11.645 é preciso pr</w:t>
      </w:r>
      <w:r w:rsidR="008A27CE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oblematizar como esses objetos – pensando em casos que 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professores trabalham assuntos contemporâneos aos povos indígenas – são trabalhados e quais ensinamentos os professores canalizam para que estudantes aprendam</w:t>
      </w:r>
      <w:r w:rsidR="008A27CE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: Os povos indígenas como sujeitos distantes de nós promovendo um distanciamento discursivo e ideológico dos sujeitos não indígenas para com indígenas? Isso não favoreceria em nada a construção de uma sociedade com mentalidade ajustada à diversidade étnicorracial.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  </w:t>
      </w:r>
    </w:p>
    <w:p w:rsidR="008A27CE" w:rsidRPr="008A27CE" w:rsidRDefault="003D171B" w:rsidP="008A27CE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Os avanços legislativos que norteiam o sistema educacional devem ser acompanhados de avanços</w:t>
      </w:r>
      <w:r w:rsidR="008A27CE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nas práticas pedagógica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s e da maneira como coordenações escolares e professores/as apreendem e conduzem a temática indígena para alcançarmos um ensino-aprendizado em que a geração atual de estudantes não apenas aprendam “sobre a história e a cultura indígena” com a exposição e explicação de conteúdos, bem como compreendam que há diferentes visões de mundo e que isso tenha interferência em</w:t>
      </w:r>
      <w:r w:rsidR="008A27CE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suas vidas. </w:t>
      </w:r>
    </w:p>
    <w:p w:rsidR="008A27CE" w:rsidRPr="008A27CE" w:rsidRDefault="003D171B" w:rsidP="008A27CE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Caso contrário, ensino sobre os povos indígenas, mesmo que no maior dos esforços para contemplar a realidade contemporânea em comprimento a lei 11.645/2009, pode ter efeito semelhante ao de museus que armazena artefatos que carregam histórias e memórias de um grupo social e suas práticas culturais,  muito capitalizado como importante para o arcabouço de conhecimento ou para ampliar o arcabouço cultural de atores sociais</w:t>
      </w:r>
      <w:r w:rsidR="008A27CE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que visitam este tipo de museu.</w:t>
      </w:r>
    </w:p>
    <w:p w:rsidR="003D171B" w:rsidRPr="008A27CE" w:rsidRDefault="008A27CE" w:rsidP="008A27CE">
      <w:pPr>
        <w:spacing w:line="360" w:lineRule="auto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Com </w:t>
      </w:r>
      <w:r w:rsidR="003D171B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efeitos pedagógicos limitados, os museus – assim como o ensino simplesmente conteudista da temática indígena – nesses moldes não promovem aprendizado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s</w:t>
      </w:r>
      <w:r w:rsidR="003D171B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junto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s</w:t>
      </w:r>
      <w:r w:rsidR="003D171B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a esses grupos por expor conteúdos esvaziados de seus sentidos e significados de onde são provenientes. Assim, as aulas também poderão estar contribuindo para a folclorização dos povos indígenas e dando manutenção as estruturas racistas que enaltecem os distanciamentos geográficos e temporais entre indígenas e não indígenas e desta forma instigando – ainda que sem essas </w:t>
      </w:r>
      <w:r w:rsidR="003D171B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lastRenderedPageBreak/>
        <w:t>intenções – os estereótipos de indígenas que vivem em selvas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,</w:t>
      </w:r>
      <w:r w:rsidR="003D171B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além de marginalizar os conhecimentos indígenas excluindo dos conteúdos escolares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.</w:t>
      </w:r>
      <w:r w:rsidR="003D171B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</w:t>
      </w:r>
    </w:p>
    <w:p w:rsidR="00734A5C" w:rsidRPr="008A27CE" w:rsidRDefault="00734A5C" w:rsidP="008A27CE">
      <w:pPr>
        <w:spacing w:line="360" w:lineRule="auto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A27CE">
        <w:rPr>
          <w:rFonts w:ascii="Arial" w:hAnsi="Arial" w:cs="Arial"/>
          <w:b/>
          <w:bCs/>
          <w:color w:val="000000" w:themeColor="text1"/>
          <w:sz w:val="24"/>
          <w:szCs w:val="24"/>
        </w:rPr>
        <w:t>5 CONSIDERAÇÕES FINAIS</w:t>
      </w:r>
    </w:p>
    <w:p w:rsidR="003D171B" w:rsidRPr="008A27CE" w:rsidRDefault="003D171B" w:rsidP="008A27CE">
      <w:pPr>
        <w:spacing w:line="360" w:lineRule="auto"/>
        <w:ind w:firstLine="708"/>
        <w:jc w:val="both"/>
        <w:rPr>
          <w:rFonts w:ascii="Arial" w:eastAsia="Times New Roman" w:hAnsi="Arial" w:cs="Arial"/>
          <w:color w:val="000000" w:themeColor="text1"/>
          <w:sz w:val="24"/>
          <w:szCs w:val="24"/>
        </w:rPr>
      </w:pP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As ações e intencionalidades indígenas em dialogar com a ciência ocidental e ter domínios e habilidades com sistemas jurídicos administrativos a partir dos direitos diferenciados que os assistem não faz do Estado brasileiro um sistema democrático. Inclusive, caso não haja aprendiz</w:t>
      </w:r>
      <w:r w:rsidR="008A27CE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agem dos operadores do Direito,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dos legisladores, dos servidores públicos  de modo que –  a médio e longo pra</w:t>
      </w:r>
      <w:r w:rsidR="008A27CE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zo – possam transformar as instituições estatais – que ainda reproduzem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racismo estrutural, institucional </w:t>
      </w:r>
      <w:r w:rsidR="008A27CE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 epstemicídios – 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em espaços e instituições </w:t>
      </w:r>
      <w:r w:rsidR="008A27CE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de/para diálogo 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plurais </w:t>
      </w:r>
      <w:r w:rsidR="008A27CE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e com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diversidade etnicorraciais </w:t>
      </w:r>
      <w:r w:rsidR="008A27CE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não 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poder</w:t>
      </w:r>
      <w:r w:rsidR="008A27CE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e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mos falar que o est</w:t>
      </w:r>
      <w:r w:rsidR="008A27CE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ado democrático de direito 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está consolidado. </w:t>
      </w:r>
    </w:p>
    <w:p w:rsidR="003D171B" w:rsidRPr="008A27CE" w:rsidRDefault="008A27CE" w:rsidP="008A27CE">
      <w:pPr>
        <w:spacing w:line="360" w:lineRule="auto"/>
        <w:ind w:firstLine="708"/>
        <w:jc w:val="both"/>
        <w:rPr>
          <w:rFonts w:ascii="Arial" w:hAnsi="Arial" w:cs="Arial"/>
          <w:b/>
          <w:bCs/>
          <w:color w:val="000000" w:themeColor="text1"/>
          <w:sz w:val="24"/>
          <w:szCs w:val="24"/>
        </w:rPr>
      </w:pP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Para isto, é necessário que a temática indígena, assim como todas as outros que constituem a diversidade étnicorracial, seja trabalhada a partir da realidade histórica e contemporânea dos povos e evitar a folclorização dos povos, buscando tratar das suas existências enquanto sujeitos de ação, produtores de conhecimentos e experiências contributivas para os sujeitos não indígenas. </w:t>
      </w:r>
      <w:r w:rsidR="003D171B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O ensino da temática indígena pode promover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uma comunicação contributiva entre estudantes</w:t>
      </w:r>
      <w:r w:rsidR="003D171B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 e os povos indígena por meio de dados quantitativos, qualitativos históricos e antropológicos contextualizados e trazendo as trajetórias dos 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 xml:space="preserve">diversos e diferentes </w:t>
      </w:r>
      <w:r w:rsidR="003D171B"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povos indígenas</w:t>
      </w:r>
      <w:r w:rsidRPr="008A27CE">
        <w:rPr>
          <w:rFonts w:ascii="Arial" w:eastAsia="Times New Roman" w:hAnsi="Arial" w:cs="Arial"/>
          <w:color w:val="000000" w:themeColor="text1"/>
          <w:sz w:val="24"/>
          <w:szCs w:val="24"/>
        </w:rPr>
        <w:t>, as cosmovisões e modos de interagir com o mundo, bem como a atuação política diante da administração pública.</w:t>
      </w:r>
    </w:p>
    <w:p w:rsidR="00734A5C" w:rsidRDefault="00734A5C" w:rsidP="00EE0695">
      <w:pPr>
        <w:rPr>
          <w:rFonts w:ascii="Arial" w:hAnsi="Arial" w:cs="Arial"/>
          <w:b/>
          <w:bCs/>
          <w:sz w:val="24"/>
          <w:szCs w:val="24"/>
        </w:rPr>
      </w:pPr>
      <w:r w:rsidRPr="00D41288">
        <w:rPr>
          <w:rFonts w:ascii="Arial" w:hAnsi="Arial" w:cs="Arial"/>
          <w:b/>
          <w:bCs/>
          <w:sz w:val="24"/>
          <w:szCs w:val="24"/>
        </w:rPr>
        <w:t>REFERÊNCIAS</w:t>
      </w:r>
    </w:p>
    <w:p w:rsidR="00F44463" w:rsidRPr="008A27CE" w:rsidRDefault="008A27CE" w:rsidP="00F44463">
      <w:pPr>
        <w:rPr>
          <w:rFonts w:ascii="Arial" w:hAnsi="Arial" w:cs="Arial"/>
          <w:color w:val="1F1F1F"/>
          <w:sz w:val="24"/>
          <w:szCs w:val="24"/>
          <w:shd w:val="clear" w:color="auto" w:fill="FFFFFF"/>
        </w:rPr>
      </w:pPr>
      <w:r w:rsidRPr="008A27CE">
        <w:rPr>
          <w:rFonts w:ascii="Arial" w:hAnsi="Arial" w:cs="Arial"/>
          <w:color w:val="040C28"/>
          <w:sz w:val="24"/>
          <w:szCs w:val="24"/>
        </w:rPr>
        <w:t>BRANDÃO, Carlos Rodrigues.</w:t>
      </w:r>
      <w:r w:rsidRPr="008A27CE">
        <w:rPr>
          <w:rFonts w:ascii="Arial" w:hAnsi="Arial" w:cs="Arial"/>
          <w:color w:val="1F1F1F"/>
          <w:sz w:val="24"/>
          <w:szCs w:val="24"/>
          <w:shd w:val="clear" w:color="auto" w:fill="FFFFFF"/>
        </w:rPr>
        <w:t> </w:t>
      </w:r>
      <w:r w:rsidRPr="008A27CE">
        <w:rPr>
          <w:rFonts w:ascii="Arial" w:hAnsi="Arial" w:cs="Arial"/>
          <w:color w:val="040C28"/>
          <w:sz w:val="24"/>
          <w:szCs w:val="24"/>
        </w:rPr>
        <w:t>O que é educação.</w:t>
      </w:r>
      <w:r w:rsidRPr="008A27CE">
        <w:rPr>
          <w:rFonts w:ascii="Arial" w:hAnsi="Arial" w:cs="Arial"/>
          <w:color w:val="1F1F1F"/>
          <w:sz w:val="24"/>
          <w:szCs w:val="24"/>
          <w:shd w:val="clear" w:color="auto" w:fill="FFFFFF"/>
        </w:rPr>
        <w:t> </w:t>
      </w:r>
      <w:r w:rsidRPr="008A27CE">
        <w:rPr>
          <w:rFonts w:ascii="Arial" w:hAnsi="Arial" w:cs="Arial"/>
          <w:color w:val="040C28"/>
          <w:sz w:val="24"/>
          <w:szCs w:val="24"/>
        </w:rPr>
        <w:t>São Paulo: Editora Brasiliense, 2002</w:t>
      </w:r>
      <w:r w:rsidRPr="008A27CE">
        <w:rPr>
          <w:rFonts w:ascii="Arial" w:hAnsi="Arial" w:cs="Arial"/>
          <w:color w:val="1F1F1F"/>
          <w:sz w:val="24"/>
          <w:szCs w:val="24"/>
          <w:shd w:val="clear" w:color="auto" w:fill="FFFFFF"/>
        </w:rPr>
        <w:t>.</w:t>
      </w:r>
    </w:p>
    <w:p w:rsidR="008A27CE" w:rsidRPr="008A27CE" w:rsidRDefault="008A27CE" w:rsidP="00F44463">
      <w:pPr>
        <w:rPr>
          <w:rFonts w:ascii="Arial" w:hAnsi="Arial" w:cs="Arial"/>
          <w:color w:val="040C28"/>
          <w:sz w:val="24"/>
          <w:szCs w:val="24"/>
        </w:rPr>
      </w:pPr>
      <w:r w:rsidRPr="008A27CE">
        <w:rPr>
          <w:rFonts w:ascii="Arial" w:hAnsi="Arial" w:cs="Arial"/>
          <w:color w:val="040C28"/>
          <w:sz w:val="24"/>
          <w:szCs w:val="24"/>
        </w:rPr>
        <w:t>BRASIL.</w:t>
      </w:r>
      <w:r w:rsidRPr="008A27CE">
        <w:rPr>
          <w:rFonts w:ascii="Arial" w:hAnsi="Arial" w:cs="Arial"/>
          <w:color w:val="1F1F1F"/>
          <w:sz w:val="24"/>
          <w:szCs w:val="24"/>
          <w:shd w:val="clear" w:color="auto" w:fill="FFFFFF"/>
        </w:rPr>
        <w:t> </w:t>
      </w:r>
      <w:r w:rsidRPr="008A27CE">
        <w:rPr>
          <w:rFonts w:ascii="Arial" w:hAnsi="Arial" w:cs="Arial"/>
          <w:color w:val="040C28"/>
          <w:sz w:val="24"/>
          <w:szCs w:val="24"/>
        </w:rPr>
        <w:t>Lei 11.645/08 de 10 de Março de 2008.</w:t>
      </w:r>
      <w:r w:rsidRPr="008A27CE">
        <w:rPr>
          <w:rFonts w:ascii="Arial" w:hAnsi="Arial" w:cs="Arial"/>
          <w:color w:val="1F1F1F"/>
          <w:sz w:val="24"/>
          <w:szCs w:val="24"/>
          <w:shd w:val="clear" w:color="auto" w:fill="FFFFFF"/>
        </w:rPr>
        <w:t> </w:t>
      </w:r>
      <w:r w:rsidRPr="008A27CE">
        <w:rPr>
          <w:rFonts w:ascii="Arial" w:hAnsi="Arial" w:cs="Arial"/>
          <w:color w:val="040C28"/>
          <w:sz w:val="24"/>
          <w:szCs w:val="24"/>
        </w:rPr>
        <w:t>Diário Oficial da União, Poder Executivo, Brasília</w:t>
      </w:r>
    </w:p>
    <w:p w:rsidR="008A27CE" w:rsidRPr="008A27CE" w:rsidRDefault="008A27CE" w:rsidP="008A27CE">
      <w:p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FERREIRA, José Kleiton Vieira de Lima. </w:t>
      </w:r>
      <w:r w:rsidRPr="008A27CE">
        <w:rPr>
          <w:rFonts w:ascii="Arial" w:hAnsi="Arial" w:cs="Arial"/>
          <w:bCs/>
          <w:sz w:val="24"/>
          <w:szCs w:val="24"/>
        </w:rPr>
        <w:t>A Educação Escolar na Aldeia Mata da Cafurn</w:t>
      </w:r>
      <w:r>
        <w:rPr>
          <w:rFonts w:ascii="Arial" w:hAnsi="Arial" w:cs="Arial"/>
          <w:bCs/>
          <w:sz w:val="24"/>
          <w:szCs w:val="24"/>
        </w:rPr>
        <w:t xml:space="preserve">a: um estudo sobre a construção </w:t>
      </w:r>
      <w:r w:rsidRPr="008A27CE">
        <w:rPr>
          <w:rFonts w:ascii="Arial" w:hAnsi="Arial" w:cs="Arial"/>
          <w:bCs/>
          <w:sz w:val="24"/>
          <w:szCs w:val="24"/>
        </w:rPr>
        <w:t>da educação diferenciada entre os Xukuru-Kariri-AL</w:t>
      </w:r>
      <w:r>
        <w:rPr>
          <w:rFonts w:ascii="Arial" w:hAnsi="Arial" w:cs="Arial"/>
          <w:bCs/>
          <w:sz w:val="24"/>
          <w:szCs w:val="24"/>
        </w:rPr>
        <w:t>. Dissertação de mestrado. PPGAS/UFAL, 2020</w:t>
      </w:r>
    </w:p>
    <w:sectPr w:rsidR="008A27CE" w:rsidRPr="008A27CE" w:rsidSect="00492CA6">
      <w:headerReference w:type="default" r:id="rId6"/>
      <w:footerReference w:type="default" r:id="rId7"/>
      <w:pgSz w:w="11906" w:h="16838"/>
      <w:pgMar w:top="2268" w:right="1134" w:bottom="1134" w:left="1701" w:header="709" w:footer="386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1A50" w:rsidRDefault="00021A50" w:rsidP="001B1D38">
      <w:pPr>
        <w:spacing w:after="0" w:line="240" w:lineRule="auto"/>
      </w:pPr>
      <w:r>
        <w:separator/>
      </w:r>
    </w:p>
  </w:endnote>
  <w:endnote w:type="continuationSeparator" w:id="1">
    <w:p w:rsidR="00021A50" w:rsidRDefault="00021A50" w:rsidP="001B1D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5206224"/>
      <w:docPartObj>
        <w:docPartGallery w:val="Page Numbers (Bottom of Page)"/>
        <w:docPartUnique/>
      </w:docPartObj>
    </w:sdtPr>
    <w:sdtContent>
      <w:p w:rsidR="001B1D38" w:rsidRDefault="008D3373">
        <w:pPr>
          <w:pStyle w:val="Rodap"/>
          <w:jc w:val="right"/>
        </w:pPr>
        <w:r>
          <w:fldChar w:fldCharType="begin"/>
        </w:r>
        <w:r w:rsidR="001B1D38">
          <w:instrText>PAGE   \* MERGEFORMAT</w:instrText>
        </w:r>
        <w:r>
          <w:fldChar w:fldCharType="separate"/>
        </w:r>
        <w:r w:rsidR="008A27CE">
          <w:rPr>
            <w:noProof/>
          </w:rPr>
          <w:t>4</w:t>
        </w:r>
        <w:r>
          <w:fldChar w:fldCharType="end"/>
        </w:r>
      </w:p>
    </w:sdtContent>
  </w:sdt>
  <w:p w:rsidR="001B1D38" w:rsidRDefault="001B1D38" w:rsidP="003A734A">
    <w:pPr>
      <w:pStyle w:val="Rodap"/>
      <w:jc w:val="cen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1A50" w:rsidRDefault="00021A50" w:rsidP="001B1D38">
      <w:pPr>
        <w:spacing w:after="0" w:line="240" w:lineRule="auto"/>
      </w:pPr>
      <w:r>
        <w:separator/>
      </w:r>
    </w:p>
  </w:footnote>
  <w:footnote w:type="continuationSeparator" w:id="1">
    <w:p w:rsidR="00021A50" w:rsidRDefault="00021A50" w:rsidP="001B1D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92CA6" w:rsidRDefault="008D3373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89.75pt;margin-top:-30pt;width:609pt;height:110.4pt;z-index:251659264">
          <v:imagedata r:id="rId1" o:title=""/>
        </v:shape>
        <o:OLEObject Type="Embed" ProgID="CorelDraw.Graphic.25" ShapeID="_x0000_s2050" DrawAspect="Content" ObjectID="_1788449509" r:id="rId2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hyphenationZone w:val="425"/>
  <w:characterSpacingControl w:val="doNotCompress"/>
  <w:hdrShapeDefaults>
    <o:shapedefaults v:ext="edit" spidmax="1229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34A5C"/>
    <w:rsid w:val="00021A50"/>
    <w:rsid w:val="00021E99"/>
    <w:rsid w:val="000340E8"/>
    <w:rsid w:val="000405F6"/>
    <w:rsid w:val="00047608"/>
    <w:rsid w:val="000B01EB"/>
    <w:rsid w:val="001B1D38"/>
    <w:rsid w:val="00243615"/>
    <w:rsid w:val="002A4832"/>
    <w:rsid w:val="002A58A4"/>
    <w:rsid w:val="002B4174"/>
    <w:rsid w:val="002E74A7"/>
    <w:rsid w:val="003864F2"/>
    <w:rsid w:val="003A734A"/>
    <w:rsid w:val="003D171B"/>
    <w:rsid w:val="00492CA6"/>
    <w:rsid w:val="004C23DC"/>
    <w:rsid w:val="004F2CC0"/>
    <w:rsid w:val="0058628B"/>
    <w:rsid w:val="00592E73"/>
    <w:rsid w:val="00593B58"/>
    <w:rsid w:val="005D3DB5"/>
    <w:rsid w:val="005F6A15"/>
    <w:rsid w:val="00600391"/>
    <w:rsid w:val="00650693"/>
    <w:rsid w:val="0065391B"/>
    <w:rsid w:val="006E276C"/>
    <w:rsid w:val="00715049"/>
    <w:rsid w:val="007231C0"/>
    <w:rsid w:val="00734A5C"/>
    <w:rsid w:val="00742361"/>
    <w:rsid w:val="007C279C"/>
    <w:rsid w:val="00816E9A"/>
    <w:rsid w:val="0085184F"/>
    <w:rsid w:val="008A27CE"/>
    <w:rsid w:val="008D3373"/>
    <w:rsid w:val="00991EDA"/>
    <w:rsid w:val="009A37B8"/>
    <w:rsid w:val="00A175AA"/>
    <w:rsid w:val="00A36ED0"/>
    <w:rsid w:val="00AC2687"/>
    <w:rsid w:val="00AF6E9D"/>
    <w:rsid w:val="00B54111"/>
    <w:rsid w:val="00B76CF2"/>
    <w:rsid w:val="00BE2BD7"/>
    <w:rsid w:val="00C40193"/>
    <w:rsid w:val="00CB7EE3"/>
    <w:rsid w:val="00CE058D"/>
    <w:rsid w:val="00D41288"/>
    <w:rsid w:val="00D44C98"/>
    <w:rsid w:val="00D64B88"/>
    <w:rsid w:val="00D91611"/>
    <w:rsid w:val="00EE0695"/>
    <w:rsid w:val="00EF3832"/>
    <w:rsid w:val="00F44463"/>
    <w:rsid w:val="00F62283"/>
    <w:rsid w:val="00FC11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6E9D"/>
  </w:style>
  <w:style w:type="paragraph" w:styleId="Ttulo1">
    <w:name w:val="heading 1"/>
    <w:basedOn w:val="Normal"/>
    <w:next w:val="Normal"/>
    <w:link w:val="Ttulo1Char"/>
    <w:uiPriority w:val="9"/>
    <w:qFormat/>
    <w:rsid w:val="00742361"/>
    <w:pPr>
      <w:keepNext/>
      <w:keepLines/>
      <w:spacing w:before="480" w:after="0" w:line="240" w:lineRule="auto"/>
      <w:ind w:firstLine="1134"/>
      <w:jc w:val="both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pt-BR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5184F"/>
    <w:pPr>
      <w:keepNext/>
      <w:keepLines/>
      <w:spacing w:before="40" w:after="0" w:line="276" w:lineRule="auto"/>
      <w:outlineLvl w:val="4"/>
    </w:pPr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D412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B1D38"/>
  </w:style>
  <w:style w:type="paragraph" w:styleId="Rodap">
    <w:name w:val="footer"/>
    <w:basedOn w:val="Normal"/>
    <w:link w:val="RodapChar"/>
    <w:uiPriority w:val="99"/>
    <w:unhideWhenUsed/>
    <w:rsid w:val="001B1D3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B1D38"/>
  </w:style>
  <w:style w:type="character" w:customStyle="1" w:styleId="Ttulo5Char">
    <w:name w:val="Título 5 Char"/>
    <w:basedOn w:val="Fontepargpadro"/>
    <w:link w:val="Ttulo5"/>
    <w:uiPriority w:val="9"/>
    <w:semiHidden/>
    <w:rsid w:val="0085184F"/>
    <w:rPr>
      <w:rFonts w:asciiTheme="majorHAnsi" w:eastAsiaTheme="majorEastAsia" w:hAnsiTheme="majorHAnsi" w:cstheme="majorBidi"/>
      <w:color w:val="2F5496" w:themeColor="accent1" w:themeShade="BF"/>
      <w:lang w:val="es-ES_tradnl"/>
    </w:rPr>
  </w:style>
  <w:style w:type="character" w:customStyle="1" w:styleId="color16">
    <w:name w:val="color_16"/>
    <w:basedOn w:val="Fontepargpadro"/>
    <w:rsid w:val="0085184F"/>
  </w:style>
  <w:style w:type="character" w:customStyle="1" w:styleId="Ttulo1Char">
    <w:name w:val="Título 1 Char"/>
    <w:basedOn w:val="Fontepargpadro"/>
    <w:link w:val="Ttulo1"/>
    <w:uiPriority w:val="9"/>
    <w:rsid w:val="00742361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6</Pages>
  <Words>2043</Words>
  <Characters>11038</Characters>
  <Application>Microsoft Office Word</Application>
  <DocSecurity>0</DocSecurity>
  <Lines>91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Eraldo</dc:creator>
  <cp:keywords/>
  <dc:description/>
  <cp:lastModifiedBy>Kleiton Ferreira</cp:lastModifiedBy>
  <cp:revision>8</cp:revision>
  <dcterms:created xsi:type="dcterms:W3CDTF">2024-07-30T10:13:00Z</dcterms:created>
  <dcterms:modified xsi:type="dcterms:W3CDTF">2024-09-21T21:45:00Z</dcterms:modified>
</cp:coreProperties>
</file>