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Pr>
        <w:drawing>
          <wp:anchor allowOverlap="1" behindDoc="0" distB="114300" distT="114300" distL="114300" distR="114300" hidden="0" layoutInCell="1" locked="0" relativeHeight="0" simplePos="0">
            <wp:simplePos x="0" y="0"/>
            <wp:positionH relativeFrom="page">
              <wp:posOffset>47625</wp:posOffset>
            </wp:positionH>
            <wp:positionV relativeFrom="page">
              <wp:posOffset>-76199</wp:posOffset>
            </wp:positionV>
            <wp:extent cx="7515225" cy="10744200"/>
            <wp:effectExtent b="0" l="0" r="0" t="0"/>
            <wp:wrapNone/>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515225" cy="107442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23">
      <w:pPr>
        <w:pStyle w:val="Title"/>
        <w:tabs>
          <w:tab w:val="left" w:leader="none" w:pos="2392"/>
        </w:tabs>
        <w:spacing w:line="192" w:lineRule="auto"/>
        <w:ind w:left="1110" w:firstLine="0"/>
        <w:rPr/>
        <w:sectPr>
          <w:pgSz w:h="16840" w:w="11910" w:orient="portrait"/>
          <w:pgMar w:bottom="280" w:top="1920" w:left="1559" w:right="1700" w:header="360" w:footer="360"/>
          <w:pgNumType w:start="1"/>
        </w:sect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widowControl w:val="1"/>
        <w:spacing w:line="360" w:lineRule="auto"/>
        <w:ind w:hanging="2"/>
        <w:jc w:val="center"/>
        <w:rPr>
          <w:sz w:val="24"/>
          <w:szCs w:val="24"/>
        </w:rPr>
      </w:pPr>
      <w:r w:rsidDel="00000000" w:rsidR="00000000" w:rsidRPr="00000000">
        <w:rPr>
          <w:sz w:val="24"/>
          <w:szCs w:val="24"/>
          <w:rtl w:val="0"/>
        </w:rPr>
        <w:t xml:space="preserve">Alison Fernando Jeronymo Eduardo</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7">
      <w:pPr>
        <w:widowControl w:val="1"/>
        <w:spacing w:line="360" w:lineRule="auto"/>
        <w:ind w:hanging="2"/>
        <w:jc w:val="center"/>
        <w:rPr>
          <w:sz w:val="24"/>
          <w:szCs w:val="24"/>
          <w:vertAlign w:val="superscript"/>
        </w:rPr>
      </w:pPr>
      <w:r w:rsidDel="00000000" w:rsidR="00000000" w:rsidRPr="00000000">
        <w:rPr>
          <w:sz w:val="24"/>
          <w:szCs w:val="24"/>
          <w:rtl w:val="0"/>
        </w:rPr>
        <w:t xml:space="preserve">Vinicius Piccin Dalbianco</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28">
      <w:pPr>
        <w:widowControl w:val="1"/>
        <w:spacing w:line="360" w:lineRule="auto"/>
        <w:ind w:hanging="2"/>
        <w:jc w:val="center"/>
        <w:rPr>
          <w:sz w:val="24"/>
          <w:szCs w:val="24"/>
          <w:vertAlign w:val="superscript"/>
        </w:rPr>
      </w:pPr>
      <w:r w:rsidDel="00000000" w:rsidR="00000000" w:rsidRPr="00000000">
        <w:rPr>
          <w:sz w:val="24"/>
          <w:szCs w:val="24"/>
          <w:highlight w:val="white"/>
          <w:rtl w:val="0"/>
        </w:rPr>
        <w:t xml:space="preserve">Pedro Emanoel Peres Diani</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29">
      <w:pPr>
        <w:widowControl w:val="1"/>
        <w:spacing w:line="360" w:lineRule="auto"/>
        <w:ind w:hanging="2"/>
        <w:rPr>
          <w:color w:val="ff0000"/>
          <w:sz w:val="24"/>
          <w:szCs w:val="24"/>
        </w:rPr>
      </w:pPr>
      <w:r w:rsidDel="00000000" w:rsidR="00000000" w:rsidRPr="00000000">
        <w:rPr>
          <w:rtl w:val="0"/>
        </w:rPr>
      </w:r>
    </w:p>
    <w:p w:rsidR="00000000" w:rsidDel="00000000" w:rsidP="00000000" w:rsidRDefault="00000000" w:rsidRPr="00000000" w14:paraId="0000002A">
      <w:pPr>
        <w:widowControl w:val="1"/>
        <w:spacing w:line="360" w:lineRule="auto"/>
        <w:ind w:hanging="2"/>
        <w:rPr>
          <w:sz w:val="24"/>
          <w:szCs w:val="24"/>
        </w:rPr>
      </w:pPr>
      <w:r w:rsidDel="00000000" w:rsidR="00000000" w:rsidRPr="00000000">
        <w:rPr>
          <w:b w:val="1"/>
          <w:sz w:val="24"/>
          <w:szCs w:val="24"/>
          <w:rtl w:val="0"/>
        </w:rPr>
        <w:t xml:space="preserve">GT 01:</w:t>
      </w:r>
      <w:r w:rsidDel="00000000" w:rsidR="00000000" w:rsidRPr="00000000">
        <w:rPr>
          <w:sz w:val="24"/>
          <w:szCs w:val="24"/>
          <w:rtl w:val="0"/>
        </w:rPr>
        <w:t xml:space="preserve"> ESTADO, POLÍTICAS PÚBLICAS E SISTEMAS AGROALIMENTARES</w:t>
      </w:r>
    </w:p>
    <w:p w:rsidR="00000000" w:rsidDel="00000000" w:rsidP="00000000" w:rsidRDefault="00000000" w:rsidRPr="00000000" w14:paraId="0000002B">
      <w:pPr>
        <w:widowControl w:val="1"/>
        <w:tabs>
          <w:tab w:val="left" w:leader="none" w:pos="3544"/>
        </w:tabs>
        <w:spacing w:line="360" w:lineRule="auto"/>
        <w:ind w:hanging="2"/>
        <w:jc w:val="center"/>
        <w:rPr>
          <w:b w:val="1"/>
          <w:color w:val="ff0000"/>
          <w:sz w:val="24"/>
          <w:szCs w:val="24"/>
        </w:rPr>
      </w:pPr>
      <w:r w:rsidDel="00000000" w:rsidR="00000000" w:rsidRPr="00000000">
        <w:rPr>
          <w:rtl w:val="0"/>
        </w:rPr>
      </w:r>
    </w:p>
    <w:p w:rsidR="00000000" w:rsidDel="00000000" w:rsidP="00000000" w:rsidRDefault="00000000" w:rsidRPr="00000000" w14:paraId="0000002C">
      <w:pPr>
        <w:keepNext w:val="1"/>
        <w:keepLines w:val="1"/>
        <w:widowControl w:val="1"/>
        <w:spacing w:line="360" w:lineRule="auto"/>
        <w:ind w:left="0"/>
        <w:jc w:val="center"/>
        <w:rPr>
          <w:b w:val="1"/>
          <w:sz w:val="24"/>
          <w:szCs w:val="24"/>
        </w:rPr>
      </w:pPr>
      <w:r w:rsidDel="00000000" w:rsidR="00000000" w:rsidRPr="00000000">
        <w:rPr>
          <w:b w:val="1"/>
          <w:sz w:val="24"/>
          <w:szCs w:val="24"/>
          <w:rtl w:val="0"/>
        </w:rPr>
        <w:t xml:space="preserve"> DIAGNÓSTICO DO ASSENTAMENTO IBICUÍ : POTENCIALIDADES E DESAFIOS PARA PROMOÇÃO DE POLÍTICAS PÚBLICAS E SISTEMAS AGROALIMENTARES</w:t>
      </w:r>
    </w:p>
    <w:p w:rsidR="00000000" w:rsidDel="00000000" w:rsidP="00000000" w:rsidRDefault="00000000" w:rsidRPr="00000000" w14:paraId="0000002D">
      <w:pPr>
        <w:widowControl w:val="1"/>
        <w:spacing w:line="360" w:lineRule="auto"/>
        <w:ind w:hanging="2"/>
        <w:jc w:val="center"/>
        <w:rPr>
          <w:b w:val="1"/>
          <w:sz w:val="24"/>
          <w:szCs w:val="24"/>
        </w:rPr>
      </w:pPr>
      <w:r w:rsidDel="00000000" w:rsidR="00000000" w:rsidRPr="00000000">
        <w:rPr>
          <w:rtl w:val="0"/>
        </w:rPr>
      </w:r>
    </w:p>
    <w:p w:rsidR="00000000" w:rsidDel="00000000" w:rsidP="00000000" w:rsidRDefault="00000000" w:rsidRPr="00000000" w14:paraId="0000002E">
      <w:pPr>
        <w:widowControl w:val="1"/>
        <w:spacing w:line="360" w:lineRule="auto"/>
        <w:ind w:hanging="2"/>
        <w:jc w:val="center"/>
        <w:rPr>
          <w:b w:val="1"/>
          <w:sz w:val="24"/>
          <w:szCs w:val="24"/>
        </w:rPr>
      </w:pPr>
      <w:r w:rsidDel="00000000" w:rsidR="00000000" w:rsidRPr="00000000">
        <w:rPr>
          <w:b w:val="1"/>
          <w:sz w:val="24"/>
          <w:szCs w:val="24"/>
          <w:rtl w:val="0"/>
        </w:rPr>
        <w:t xml:space="preserve">RESUMO </w:t>
      </w:r>
    </w:p>
    <w:p w:rsidR="00000000" w:rsidDel="00000000" w:rsidP="00000000" w:rsidRDefault="00000000" w:rsidRPr="00000000" w14:paraId="0000002F">
      <w:pPr>
        <w:widowControl w:val="1"/>
        <w:spacing w:line="360" w:lineRule="auto"/>
        <w:ind w:hanging="2"/>
        <w:jc w:val="both"/>
        <w:rPr>
          <w:sz w:val="24"/>
          <w:szCs w:val="24"/>
        </w:rPr>
      </w:pPr>
      <w:r w:rsidDel="00000000" w:rsidR="00000000" w:rsidRPr="00000000">
        <w:rPr>
          <w:sz w:val="24"/>
          <w:szCs w:val="24"/>
          <w:rtl w:val="0"/>
        </w:rPr>
        <w:t xml:space="preserve">Este trabalho contextualiza o assentamento da reforma agrária Ibicuí, em Santana do Livramento no Rio Grande do Sul, trazendo uma possível dinâmica de cooperação entre políticas públicas, agricultura familiar e sistemas agroalimentares sustentáveis, possibilitando contribuições para o fortalecimento e desenvolvimento de comunidades rurais. O objetivo do trabalho é demonstrar um diagnóstico sobre o assentamento Ibicuí, utilizando como banco de dados o SIGRA, buscando formular alternativas para políticas públicas de segurança alimentar. Com a análise de dados obtidos através da ferramenta de gestão rural, SIGRA, foi elaborado um retrato de alguns indicadores de desenvolvimento rural. E com base nas informações obtidas, conclui-se que, a discussão de políticas públicas e investimentos em infraestrutura são necessários para possibilitar a autonomia e segurança alimentar das famílias assentadas no assentamento Ibicuí.</w:t>
      </w:r>
    </w:p>
    <w:p w:rsidR="00000000" w:rsidDel="00000000" w:rsidP="00000000" w:rsidRDefault="00000000" w:rsidRPr="00000000" w14:paraId="00000030">
      <w:pPr>
        <w:widowControl w:val="1"/>
        <w:spacing w:line="360" w:lineRule="auto"/>
        <w:ind w:hanging="2"/>
        <w:jc w:val="both"/>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Palavras-chave:</w:t>
      </w:r>
      <w:r w:rsidDel="00000000" w:rsidR="00000000" w:rsidRPr="00000000">
        <w:rPr>
          <w:sz w:val="24"/>
          <w:szCs w:val="24"/>
          <w:rtl w:val="0"/>
        </w:rPr>
        <w:t xml:space="preserve"> assentamento da reforma agrária; sistema de informação; políticas públicas.</w:t>
      </w:r>
      <w:r w:rsidDel="00000000" w:rsidR="00000000" w:rsidRPr="00000000">
        <w:rPr>
          <w:rtl w:val="0"/>
        </w:rPr>
      </w:r>
    </w:p>
    <w:p w:rsidR="00000000" w:rsidDel="00000000" w:rsidP="00000000" w:rsidRDefault="00000000" w:rsidRPr="00000000" w14:paraId="00000031">
      <w:pPr>
        <w:widowControl w:val="1"/>
        <w:spacing w:line="360" w:lineRule="auto"/>
        <w:jc w:val="both"/>
        <w:rPr>
          <w:b w:val="1"/>
          <w:sz w:val="24"/>
          <w:szCs w:val="24"/>
        </w:rPr>
      </w:pPr>
      <w:r w:rsidDel="00000000" w:rsidR="00000000" w:rsidRPr="00000000">
        <w:rPr>
          <w:rtl w:val="0"/>
        </w:rPr>
      </w:r>
    </w:p>
    <w:p w:rsidR="00000000" w:rsidDel="00000000" w:rsidP="00000000" w:rsidRDefault="00000000" w:rsidRPr="00000000" w14:paraId="00000032">
      <w:pPr>
        <w:widowControl w:val="1"/>
        <w:spacing w:line="360" w:lineRule="auto"/>
        <w:jc w:val="both"/>
        <w:rPr>
          <w:sz w:val="24"/>
          <w:szCs w:val="24"/>
        </w:rPr>
      </w:pPr>
      <w:r w:rsidDel="00000000" w:rsidR="00000000" w:rsidRPr="00000000">
        <w:rPr>
          <w:sz w:val="24"/>
          <w:szCs w:val="24"/>
          <w:rtl w:val="0"/>
        </w:rPr>
        <w:t xml:space="preserve">INTRODUÇÃO</w:t>
      </w:r>
    </w:p>
    <w:p w:rsidR="00000000" w:rsidDel="00000000" w:rsidP="00000000" w:rsidRDefault="00000000" w:rsidRPr="00000000" w14:paraId="00000033">
      <w:pPr>
        <w:widowControl w:val="1"/>
        <w:spacing w:line="360" w:lineRule="auto"/>
        <w:ind w:firstLine="708"/>
        <w:jc w:val="both"/>
        <w:rPr>
          <w:sz w:val="24"/>
          <w:szCs w:val="24"/>
          <w:highlight w:val="white"/>
        </w:rPr>
      </w:pPr>
      <w:r w:rsidDel="00000000" w:rsidR="00000000" w:rsidRPr="00000000">
        <w:rPr>
          <w:sz w:val="24"/>
          <w:szCs w:val="24"/>
          <w:highlight w:val="white"/>
          <w:rtl w:val="0"/>
        </w:rPr>
        <w:t xml:space="preserve">A política pública de reforma agrária ao longo dos anos no Brasil, vem encontrando nos assentamentos rurais de reforma agrária uma forma de garantir o acesso à terra e às moradia adequada a grupos populacionais que viviam em situação de vulnerabilidade social e econômica. Desde de meados de 1990 o estado do Rio Grande do Sul, vem se destacando com a implementação de diversos assentamentos rurais da reforma agrária em seu território. </w:t>
      </w:r>
      <w:r w:rsidDel="00000000" w:rsidR="00000000" w:rsidRPr="00000000">
        <w:rPr>
          <w:sz w:val="24"/>
          <w:szCs w:val="24"/>
          <w:highlight w:val="white"/>
          <w:rtl w:val="0"/>
        </w:rPr>
        <w:t xml:space="preserve">Atualmente</w:t>
      </w:r>
      <w:r w:rsidDel="00000000" w:rsidR="00000000" w:rsidRPr="00000000">
        <w:rPr>
          <w:sz w:val="24"/>
          <w:szCs w:val="24"/>
          <w:highlight w:val="white"/>
          <w:rtl w:val="0"/>
        </w:rPr>
        <w:t xml:space="preserve"> o estado gaúcho conta com uma população de cerca de 32.829 pessoas assentadas e organizados entre 11 mil famílias localizadas em 304 assentamentos situados em 86 municípios gaúchos SIGRA (2016) (EDUARDO et al., 2024, p. 12549). Os assentamentos rurais do município de Santana do Livramento são reconhecidos, por gerar inúmeras relações espontâneas, como os processos de auto- organização, oferecendo possibilidades concretas de fornecimento de alimentos para a so</w:t>
      </w:r>
      <w:r w:rsidDel="00000000" w:rsidR="00000000" w:rsidRPr="00000000">
        <w:rPr>
          <w:sz w:val="24"/>
          <w:szCs w:val="24"/>
          <w:highlight w:val="white"/>
          <w:rtl w:val="0"/>
        </w:rPr>
        <w:t xml:space="preserve">ciedade (FERRON e FROIN, 2020, p. 30) e também para o seu autoconsumo. Os assentamentos rurais são uma importante estratégia de combate à pobreza rural e de promoção da inclusão social no campo, além da contribuição para a promoção </w:t>
      </w:r>
      <w:r w:rsidDel="00000000" w:rsidR="00000000" w:rsidRPr="00000000">
        <w:rPr>
          <w:sz w:val="24"/>
          <w:szCs w:val="24"/>
          <w:highlight w:val="white"/>
          <w:rtl w:val="0"/>
        </w:rPr>
        <w:t xml:space="preserve">da Segurança Alimentar e Nutricional (SAN).</w:t>
      </w:r>
      <w:r w:rsidDel="00000000" w:rsidR="00000000" w:rsidRPr="00000000">
        <w:rPr>
          <w:sz w:val="24"/>
          <w:szCs w:val="24"/>
          <w:highlight w:val="white"/>
          <w:rtl w:val="0"/>
        </w:rPr>
        <w:t xml:space="preserve"> “Quando bem planejados e implementados, esses assentamentos podem ser uma solução eficaz para a questão agrária e contribuir para a segurança alimentar e o desenvolvimento sustentável das comunidades rurais" </w:t>
      </w:r>
      <w:r w:rsidDel="00000000" w:rsidR="00000000" w:rsidRPr="00000000">
        <w:rPr>
          <w:sz w:val="24"/>
          <w:szCs w:val="24"/>
          <w:highlight w:val="white"/>
          <w:rtl w:val="0"/>
        </w:rPr>
        <w:t xml:space="preserve">(MIRANDA, 2015, p. 53)</w:t>
      </w:r>
      <w:r w:rsidDel="00000000" w:rsidR="00000000" w:rsidRPr="00000000">
        <w:rPr>
          <w:sz w:val="24"/>
          <w:szCs w:val="24"/>
          <w:highlight w:val="white"/>
          <w:rtl w:val="0"/>
        </w:rPr>
        <w:t xml:space="preserve">.</w:t>
      </w:r>
      <w:r w:rsidDel="00000000" w:rsidR="00000000" w:rsidRPr="00000000">
        <w:rPr>
          <w:rtl w:val="0"/>
        </w:rPr>
      </w:r>
    </w:p>
    <w:p w:rsidR="00000000" w:rsidDel="00000000" w:rsidP="00000000" w:rsidRDefault="00000000" w:rsidRPr="00000000" w14:paraId="00000034">
      <w:pPr>
        <w:widowControl w:val="1"/>
        <w:spacing w:line="360" w:lineRule="auto"/>
        <w:ind w:firstLine="720"/>
        <w:jc w:val="both"/>
        <w:rPr>
          <w:sz w:val="24"/>
          <w:szCs w:val="24"/>
          <w:highlight w:val="white"/>
        </w:rPr>
      </w:pPr>
      <w:r w:rsidDel="00000000" w:rsidR="00000000" w:rsidRPr="00000000">
        <w:rPr>
          <w:sz w:val="24"/>
          <w:szCs w:val="24"/>
          <w:highlight w:val="white"/>
          <w:rtl w:val="0"/>
        </w:rPr>
        <w:t xml:space="preserve">Este estudo está articulado em três momentos, primeiro a tarefa é discutir a potencialidade do banco de dados do SIGRA, que pode ser utilizado para realização de diagnósticos preliminares sobre as condições de vida das famílias, dos lotes, infra-estruturas e produção das famílias assentadas em um determinado território. Segundo é demonstrado através de um retrato, como as informações do SIGRA, podem ser traduzidas em um relatório técnico com diversas informações das famílias, dos lotes, infra-estruturas e produção. E em um terceiro momento nas considerações finais elencar a importância de se ter   políticas públicas que podem ser desenhadas  a partir de um diagnóstico da localidade. </w:t>
      </w:r>
      <w:r w:rsidDel="00000000" w:rsidR="00000000" w:rsidRPr="00000000">
        <w:rPr>
          <w:rtl w:val="0"/>
        </w:rPr>
      </w:r>
    </w:p>
    <w:p w:rsidR="00000000" w:rsidDel="00000000" w:rsidP="00000000" w:rsidRDefault="00000000" w:rsidRPr="00000000" w14:paraId="00000035">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widowControl w:val="1"/>
        <w:spacing w:line="360" w:lineRule="auto"/>
        <w:ind w:left="0" w:right="4" w:firstLine="0"/>
        <w:jc w:val="both"/>
        <w:rPr>
          <w:sz w:val="24"/>
          <w:szCs w:val="24"/>
          <w:highlight w:val="white"/>
        </w:rPr>
      </w:pPr>
      <w:r w:rsidDel="00000000" w:rsidR="00000000" w:rsidRPr="00000000">
        <w:rPr>
          <w:sz w:val="24"/>
          <w:szCs w:val="24"/>
          <w:highlight w:val="white"/>
          <w:rtl w:val="0"/>
        </w:rPr>
        <w:t xml:space="preserve">SISTEMA INTEGRADO DE GESTÃO RURAL DA ATES (</w:t>
      </w:r>
      <w:r w:rsidDel="00000000" w:rsidR="00000000" w:rsidRPr="00000000">
        <w:rPr>
          <w:sz w:val="24"/>
          <w:szCs w:val="24"/>
          <w:highlight w:val="white"/>
          <w:rtl w:val="0"/>
        </w:rPr>
        <w:t xml:space="preserve">SIGRA</w:t>
      </w:r>
      <w:r w:rsidDel="00000000" w:rsidR="00000000" w:rsidRPr="00000000">
        <w:rPr>
          <w:sz w:val="24"/>
          <w:szCs w:val="24"/>
          <w:highlight w:val="white"/>
          <w:rtl w:val="0"/>
        </w:rPr>
        <w:t xml:space="preserve">) </w:t>
      </w:r>
    </w:p>
    <w:p w:rsidR="00000000" w:rsidDel="00000000" w:rsidP="00000000" w:rsidRDefault="00000000" w:rsidRPr="00000000" w14:paraId="00000037">
      <w:pPr>
        <w:widowControl w:val="1"/>
        <w:spacing w:line="360" w:lineRule="auto"/>
        <w:ind w:right="4" w:firstLine="708"/>
        <w:jc w:val="both"/>
        <w:rPr>
          <w:sz w:val="24"/>
          <w:szCs w:val="24"/>
          <w:highlight w:val="white"/>
        </w:rPr>
      </w:pPr>
      <w:r w:rsidDel="00000000" w:rsidR="00000000" w:rsidRPr="00000000">
        <w:rPr>
          <w:sz w:val="24"/>
          <w:szCs w:val="24"/>
          <w:highlight w:val="white"/>
          <w:rtl w:val="0"/>
        </w:rPr>
        <w:t xml:space="preserve">O </w:t>
      </w:r>
      <w:r w:rsidDel="00000000" w:rsidR="00000000" w:rsidRPr="00000000">
        <w:rPr>
          <w:sz w:val="24"/>
          <w:szCs w:val="24"/>
          <w:highlight w:val="white"/>
          <w:rtl w:val="0"/>
        </w:rPr>
        <w:t xml:space="preserve">Sistema Integrado de Gestão Rural da ATES (SIGRA) é um sistema informatizado criado pela Universidade Federal de Santa Maria (UFSM), em cooperação com o Instituto Nacional de colonização e Reforma Agrária (INCRA), criado em 2011, com o objetivo de qualificar a atuação dos </w:t>
      </w:r>
      <w:r w:rsidDel="00000000" w:rsidR="00000000" w:rsidRPr="00000000">
        <w:rPr>
          <w:sz w:val="24"/>
          <w:szCs w:val="24"/>
          <w:highlight w:val="white"/>
          <w:rtl w:val="0"/>
        </w:rPr>
        <w:t xml:space="preserve">técnicos de Extensão Rural (ER)</w:t>
      </w:r>
      <w:r w:rsidDel="00000000" w:rsidR="00000000" w:rsidRPr="00000000">
        <w:rPr>
          <w:sz w:val="24"/>
          <w:szCs w:val="24"/>
          <w:highlight w:val="white"/>
          <w:rtl w:val="0"/>
        </w:rPr>
        <w:t xml:space="preserve"> em assentamentos da reforma agrária e para atender às demandas do Programa de Assessoria Técnica, Social e Ambiental (ATES) no Rio Grande do Sul.</w:t>
      </w:r>
      <w:r w:rsidDel="00000000" w:rsidR="00000000" w:rsidRPr="00000000">
        <w:rPr>
          <w:rtl w:val="0"/>
        </w:rPr>
      </w:r>
    </w:p>
    <w:p w:rsidR="00000000" w:rsidDel="00000000" w:rsidP="00000000" w:rsidRDefault="00000000" w:rsidRPr="00000000" w14:paraId="00000038">
      <w:pPr>
        <w:widowControl w:val="1"/>
        <w:spacing w:line="360" w:lineRule="auto"/>
        <w:ind w:left="0" w:firstLine="720"/>
        <w:jc w:val="both"/>
        <w:rPr>
          <w:sz w:val="24"/>
          <w:szCs w:val="24"/>
        </w:rPr>
      </w:pPr>
      <w:r w:rsidDel="00000000" w:rsidR="00000000" w:rsidRPr="00000000">
        <w:rPr>
          <w:sz w:val="24"/>
          <w:szCs w:val="24"/>
          <w:highlight w:val="white"/>
          <w:rtl w:val="0"/>
        </w:rPr>
        <w:t xml:space="preserve">O SIGRA é uma ferramenta que facilita a organização e o gerenciamento de informações dos assentamentos rurais,colaborando para criação de políticas e ações de desenvolvimento rural. O sistema é </w:t>
      </w:r>
      <w:r w:rsidDel="00000000" w:rsidR="00000000" w:rsidRPr="00000000">
        <w:rPr>
          <w:sz w:val="24"/>
          <w:szCs w:val="24"/>
          <w:highlight w:val="white"/>
          <w:rtl w:val="0"/>
        </w:rPr>
        <w:t xml:space="preserve">dividido em quatro partes</w:t>
      </w:r>
      <w:r w:rsidDel="00000000" w:rsidR="00000000" w:rsidRPr="00000000">
        <w:rPr>
          <w:sz w:val="24"/>
          <w:szCs w:val="24"/>
          <w:highlight w:val="white"/>
          <w:vertAlign w:val="superscript"/>
        </w:rPr>
        <w:footnoteReference w:customMarkFollows="0" w:id="3"/>
      </w:r>
      <w:r w:rsidDel="00000000" w:rsidR="00000000" w:rsidRPr="00000000">
        <w:rPr>
          <w:sz w:val="24"/>
          <w:szCs w:val="24"/>
          <w:highlight w:val="white"/>
          <w:rtl w:val="0"/>
        </w:rPr>
        <w:t xml:space="preserve">: i) Quem são?; ii) Como vivem?; iii) Como são os lotes?; iv) O que produzem?. </w:t>
      </w:r>
      <w:r w:rsidDel="00000000" w:rsidR="00000000" w:rsidRPr="00000000">
        <w:rPr>
          <w:sz w:val="24"/>
          <w:szCs w:val="24"/>
          <w:highlight w:val="white"/>
          <w:rtl w:val="0"/>
        </w:rPr>
        <w:t xml:space="preserve">Além disso, oferece dados atualizados e detalhados, complementando fontes como </w:t>
      </w:r>
      <w:r w:rsidDel="00000000" w:rsidR="00000000" w:rsidRPr="00000000">
        <w:rPr>
          <w:sz w:val="24"/>
          <w:szCs w:val="24"/>
          <w:highlight w:val="white"/>
          <w:rtl w:val="0"/>
        </w:rPr>
        <w:t xml:space="preserve">Instituto Brasileiro de Geografia e Estatística (</w:t>
      </w:r>
      <w:r w:rsidDel="00000000" w:rsidR="00000000" w:rsidRPr="00000000">
        <w:rPr>
          <w:sz w:val="24"/>
          <w:szCs w:val="24"/>
          <w:highlight w:val="white"/>
          <w:rtl w:val="0"/>
        </w:rPr>
        <w:t xml:space="preserve">IBGE), e também permite o acesso em tempo real por técnicos, instituições e famílias assentadas. O instrumento foi testado nos estados do Rio Grande do Sul e de Santa Catarina para construção de diagnósticos  para monitoramento e planejamento do desenvolvimento dos assentamentos, a fim de demonstrar e qualificar a atuação dos técnicos de ER</w:t>
      </w:r>
      <w:r w:rsidDel="00000000" w:rsidR="00000000" w:rsidRPr="00000000">
        <w:rPr>
          <w:sz w:val="24"/>
          <w:szCs w:val="24"/>
          <w:rtl w:val="0"/>
        </w:rPr>
        <w:t xml:space="preserve">.</w:t>
      </w:r>
    </w:p>
    <w:p w:rsidR="00000000" w:rsidDel="00000000" w:rsidP="00000000" w:rsidRDefault="00000000" w:rsidRPr="00000000" w14:paraId="00000039">
      <w:pPr>
        <w:widowControl w:val="1"/>
        <w:spacing w:line="360" w:lineRule="auto"/>
        <w:ind w:right="4" w:firstLine="708"/>
        <w:jc w:val="both"/>
        <w:rPr>
          <w:i w:val="1"/>
          <w:sz w:val="24"/>
          <w:szCs w:val="24"/>
          <w:highlight w:val="yellow"/>
        </w:rPr>
      </w:pPr>
      <w:r w:rsidDel="00000000" w:rsidR="00000000" w:rsidRPr="00000000">
        <w:rPr>
          <w:rFonts w:ascii="Arial" w:cs="Arial" w:eastAsia="Arial" w:hAnsi="Arial"/>
          <w:sz w:val="24"/>
          <w:szCs w:val="24"/>
          <w:rtl w:val="0"/>
        </w:rPr>
        <w:t xml:space="preserve">A seguir será exposto, neste estudo o retrato do assentamento Ibicuí e um panorama geral do número de pessoas assentadas município de Santana de Livramento, a partir do banco de dados do SIGRA com informações atualizadas do ano de 2022</w:t>
      </w:r>
      <w:r w:rsidDel="00000000" w:rsidR="00000000" w:rsidRPr="00000000">
        <w:rPr>
          <w:rFonts w:ascii="Arial" w:cs="Arial" w:eastAsia="Arial" w:hAnsi="Arial"/>
          <w:sz w:val="24"/>
          <w:szCs w:val="24"/>
          <w:vertAlign w:val="superscript"/>
        </w:rPr>
        <w:footnoteReference w:customMarkFollows="0" w:id="4"/>
      </w:r>
      <w:r w:rsidDel="00000000" w:rsidR="00000000" w:rsidRPr="00000000">
        <w:rPr>
          <w:sz w:val="24"/>
          <w:szCs w:val="24"/>
          <w:rtl w:val="0"/>
        </w:rPr>
        <w:t xml:space="preserve">. </w:t>
      </w:r>
      <w:r w:rsidDel="00000000" w:rsidR="00000000" w:rsidRPr="00000000">
        <w:rPr>
          <w:rFonts w:ascii="Arial" w:cs="Arial" w:eastAsia="Arial" w:hAnsi="Arial"/>
          <w:sz w:val="24"/>
          <w:szCs w:val="24"/>
          <w:rtl w:val="0"/>
        </w:rPr>
        <w:t xml:space="preserve">O “retrato do assentamento Ibicuí” foi estruturado levando em consideração as seguintes variáveis: características das famílias; características das condições de vida; características do lote e características produtivas. </w:t>
      </w:r>
      <w:r w:rsidDel="00000000" w:rsidR="00000000" w:rsidRPr="00000000">
        <w:rPr>
          <w:sz w:val="24"/>
          <w:szCs w:val="24"/>
          <w:rtl w:val="0"/>
        </w:rPr>
        <w:t xml:space="preserve">A seguir será apresentado o retrato do assentamento Ibicuí, que fica localizado no município de Santana do Livramento no estado do Rio Grande do Sul.</w:t>
      </w:r>
      <w:r w:rsidDel="00000000" w:rsidR="00000000" w:rsidRPr="00000000">
        <w:rPr>
          <w:rtl w:val="0"/>
        </w:rPr>
      </w:r>
    </w:p>
    <w:p w:rsidR="00000000" w:rsidDel="00000000" w:rsidP="00000000" w:rsidRDefault="00000000" w:rsidRPr="00000000" w14:paraId="0000003A">
      <w:pPr>
        <w:widowControl w:val="1"/>
        <w:rPr>
          <w:i w:val="1"/>
          <w:sz w:val="24"/>
          <w:szCs w:val="24"/>
          <w:highlight w:val="white"/>
        </w:rPr>
      </w:pPr>
      <w:r w:rsidDel="00000000" w:rsidR="00000000" w:rsidRPr="00000000">
        <w:rPr>
          <w:i w:val="1"/>
          <w:sz w:val="24"/>
          <w:szCs w:val="24"/>
          <w:highlight w:val="white"/>
          <w:rtl w:val="0"/>
        </w:rPr>
        <w:t xml:space="preserve">Santana do Livramento - RS</w:t>
      </w:r>
    </w:p>
    <w:p w:rsidR="00000000" w:rsidDel="00000000" w:rsidP="00000000" w:rsidRDefault="00000000" w:rsidRPr="00000000" w14:paraId="0000003B">
      <w:pPr>
        <w:widowControl w:val="1"/>
        <w:spacing w:line="360" w:lineRule="auto"/>
        <w:ind w:right="4"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município está alocado no Bioma Pampa no estado do Rio Grande do Sul e ocupa uma extensão territorial de cerca de 6.941,613 km², sendo que desse total, 6.246,973 km² constituem o território rural e 694,640 km² compõem o território urbano, com uma densidade demográfica de 12,15 habitantes por km² (IBGE,  2022). O município tem uma população de 84.421 pessoas (IBGE,  2022), onde cerca de 75.135 pessoas  estão no território urbano e 9.286 na zona rural.</w:t>
      </w:r>
    </w:p>
    <w:p w:rsidR="00000000" w:rsidDel="00000000" w:rsidP="00000000" w:rsidRDefault="00000000" w:rsidRPr="00000000" w14:paraId="0000003C">
      <w:pPr>
        <w:widowControl w:val="1"/>
        <w:spacing w:line="360" w:lineRule="auto"/>
        <w:ind w:right="4" w:firstLine="708"/>
        <w:jc w:val="both"/>
        <w:rPr>
          <w:sz w:val="24"/>
          <w:szCs w:val="24"/>
          <w:highlight w:val="white"/>
        </w:rPr>
      </w:pPr>
      <w:r w:rsidDel="00000000" w:rsidR="00000000" w:rsidRPr="00000000">
        <w:rPr>
          <w:rFonts w:ascii="Arial" w:cs="Arial" w:eastAsia="Arial" w:hAnsi="Arial"/>
          <w:sz w:val="24"/>
          <w:szCs w:val="24"/>
          <w:rtl w:val="0"/>
        </w:rPr>
        <w:t xml:space="preserve">A população rural do município está organizada da seguinte forma: nas unidades de agricultura familiar, o quantitativo é de aproximadamente 4.776 moradores, a população de agricultores patronal é composta por 2.011 pessoas e completando a população rural do município, há cerca de 2.499 pessoas que estão assentadas em unidades da reforma agrária. O município de Santana do Livramento contava, no ano de 2022, com cerca 856 famílias assentadas, distribuídas entre 30 assentamentos rurais</w:t>
      </w:r>
      <w:r w:rsidDel="00000000" w:rsidR="00000000" w:rsidRPr="00000000">
        <w:rPr>
          <w:rFonts w:ascii="Arial" w:cs="Arial" w:eastAsia="Arial" w:hAnsi="Arial"/>
          <w:sz w:val="24"/>
          <w:szCs w:val="24"/>
          <w:vertAlign w:val="superscript"/>
        </w:rPr>
        <w:footnoteReference w:customMarkFollows="0" w:id="5"/>
      </w:r>
      <w:r w:rsidDel="00000000" w:rsidR="00000000" w:rsidRPr="00000000">
        <w:rPr>
          <w:rFonts w:ascii="Arial" w:cs="Arial" w:eastAsia="Arial" w:hAnsi="Arial"/>
          <w:sz w:val="24"/>
          <w:szCs w:val="24"/>
          <w:rtl w:val="0"/>
        </w:rPr>
        <w:t xml:space="preserve">, com uma população de cerca de 2.499 pessoas (</w:t>
      </w:r>
      <w:r w:rsidDel="00000000" w:rsidR="00000000" w:rsidRPr="00000000">
        <w:rPr>
          <w:rFonts w:ascii="Arial" w:cs="Arial" w:eastAsia="Arial" w:hAnsi="Arial"/>
          <w:sz w:val="24"/>
          <w:szCs w:val="24"/>
          <w:rtl w:val="0"/>
        </w:rPr>
        <w:t xml:space="preserve">SIGRA</w:t>
      </w:r>
      <w:r w:rsidDel="00000000" w:rsidR="00000000" w:rsidRPr="00000000">
        <w:rPr>
          <w:rFonts w:ascii="Arial" w:cs="Arial" w:eastAsia="Arial" w:hAnsi="Arial"/>
          <w:sz w:val="24"/>
          <w:szCs w:val="24"/>
          <w:rtl w:val="0"/>
        </w:rPr>
        <w:t xml:space="preserve">, 2022). O território comporta uma das maiores concentrações de famílias assentadas no estado do Rio Grande do Sul, isto devido a condição favorável da terra na região do Bioma Pampa. Este resultado é fruto de diversas lutas entre assentados e produtores locais pelos direitos à terra, e isso é um problema visível em diversas localidades. </w:t>
      </w:r>
      <w:r w:rsidDel="00000000" w:rsidR="00000000" w:rsidRPr="00000000">
        <w:rPr>
          <w:sz w:val="24"/>
          <w:szCs w:val="24"/>
          <w:highlight w:val="white"/>
          <w:rtl w:val="0"/>
        </w:rPr>
        <w:t xml:space="preserve">Os assentamentos rurais do município de Santana do Livramento estão distribuídos dentro do município e é composto por 30 assentamentos, 856 famílias assentadas nos 856 lotes.</w:t>
      </w:r>
    </w:p>
    <w:sdt>
      <w:sdtPr>
        <w:lock w:val="contentLocked"/>
        <w:tag w:val="goog_rdk_1"/>
      </w:sdtPr>
      <w:sdtContent>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30"/>
            <w:tblGridChange w:id="0">
              <w:tblGrid>
                <w:gridCol w:w="903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keepNext w:val="1"/>
                  <w:widowControl w:val="1"/>
                  <w:rPr>
                    <w:sz w:val="20"/>
                    <w:szCs w:val="20"/>
                  </w:rPr>
                </w:pPr>
                <w:bookmarkStart w:colFirst="0" w:colLast="0" w:name="_heading=h.48pi1tg" w:id="0"/>
                <w:bookmarkEnd w:id="0"/>
                <w:r w:rsidDel="00000000" w:rsidR="00000000" w:rsidRPr="00000000">
                  <w:rPr>
                    <w:b w:val="1"/>
                    <w:sz w:val="20"/>
                    <w:szCs w:val="20"/>
                    <w:rtl w:val="0"/>
                  </w:rPr>
                  <w:t xml:space="preserve">Figura 1 -</w:t>
                </w:r>
                <w:r w:rsidDel="00000000" w:rsidR="00000000" w:rsidRPr="00000000">
                  <w:rPr>
                    <w:sz w:val="20"/>
                    <w:szCs w:val="20"/>
                    <w:rtl w:val="0"/>
                  </w:rPr>
                  <w:t xml:space="preserve"> Mapa de localização dos assentamentos do município de Santana do Livramento</w:t>
                </w:r>
              </w:p>
              <w:sdt>
                <w:sdtPr>
                  <w:lock w:val="contentLocked"/>
                  <w:tag w:val="goog_rdk_0"/>
                </w:sdtPr>
                <w:sdtContent>
                  <w:tbl>
                    <w:tblPr>
                      <w:tblStyle w:val="Table2"/>
                      <w:tblW w:w="961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12"/>
                      <w:tblGridChange w:id="0">
                        <w:tblGrid>
                          <w:gridCol w:w="9612"/>
                        </w:tblGrid>
                      </w:tblGridChange>
                    </w:tblGrid>
                    <w:tr>
                      <w:trPr>
                        <w:cantSplit w:val="0"/>
                        <w:trHeight w:val="370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E">
                          <w:pPr>
                            <w:widowControl w:val="1"/>
                            <w:tabs>
                              <w:tab w:val="left" w:leader="none" w:pos="0"/>
                            </w:tabs>
                            <w:ind w:right="4" w:hanging="2"/>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drawing>
                              <wp:anchor allowOverlap="1" behindDoc="0" distB="0" distT="0" distL="0" distR="0" hidden="0" layoutInCell="1" locked="0" relativeHeight="0" simplePos="0">
                                <wp:simplePos x="0" y="0"/>
                                <wp:positionH relativeFrom="column">
                                  <wp:posOffset>155850</wp:posOffset>
                                </wp:positionH>
                                <wp:positionV relativeFrom="paragraph">
                                  <wp:posOffset>-63412</wp:posOffset>
                                </wp:positionV>
                                <wp:extent cx="5695950" cy="2378146"/>
                                <wp:effectExtent b="0" l="0" r="0" t="0"/>
                                <wp:wrapTopAndBottom distB="0" dist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695950" cy="2378146"/>
                                        </a:xfrm>
                                        <a:prstGeom prst="rect"/>
                                        <a:ln/>
                                      </pic:spPr>
                                    </pic:pic>
                                  </a:graphicData>
                                </a:graphic>
                              </wp:anchor>
                            </w:drawing>
                          </w:r>
                        </w:p>
                      </w:tc>
                    </w:tr>
                  </w:tbl>
                </w:sdtContent>
              </w:sdt>
              <w:p w:rsidR="00000000" w:rsidDel="00000000" w:rsidP="00000000" w:rsidRDefault="00000000" w:rsidRPr="00000000" w14:paraId="0000003F">
                <w:pPr>
                  <w:widowControl w:val="1"/>
                  <w:tabs>
                    <w:tab w:val="left" w:leader="none" w:pos="0"/>
                  </w:tabs>
                  <w:ind w:right="4"/>
                  <w:jc w:val="center"/>
                  <w:rPr>
                    <w:sz w:val="24"/>
                    <w:szCs w:val="24"/>
                  </w:rPr>
                </w:pPr>
                <w:r w:rsidDel="00000000" w:rsidR="00000000" w:rsidRPr="00000000">
                  <w:rPr>
                    <w:b w:val="1"/>
                    <w:sz w:val="20"/>
                    <w:szCs w:val="20"/>
                    <w:rtl w:val="0"/>
                  </w:rPr>
                  <w:t xml:space="preserve">Fonte:</w:t>
                </w:r>
                <w:r w:rsidDel="00000000" w:rsidR="00000000" w:rsidRPr="00000000">
                  <w:rPr>
                    <w:sz w:val="20"/>
                    <w:szCs w:val="20"/>
                    <w:rtl w:val="0"/>
                  </w:rPr>
                  <w:t xml:space="preserve">  DUNKER </w:t>
                </w:r>
                <w:r w:rsidDel="00000000" w:rsidR="00000000" w:rsidRPr="00000000">
                  <w:rPr>
                    <w:i w:val="1"/>
                    <w:sz w:val="20"/>
                    <w:szCs w:val="20"/>
                    <w:rtl w:val="0"/>
                  </w:rPr>
                  <w:t xml:space="preserve">et al</w:t>
                </w:r>
                <w:r w:rsidDel="00000000" w:rsidR="00000000" w:rsidRPr="00000000">
                  <w:rPr>
                    <w:sz w:val="20"/>
                    <w:szCs w:val="20"/>
                    <w:rtl w:val="0"/>
                  </w:rPr>
                  <w:t xml:space="preserve"> (2022).</w:t>
                </w:r>
                <w:r w:rsidDel="00000000" w:rsidR="00000000" w:rsidRPr="00000000">
                  <w:rPr>
                    <w:rtl w:val="0"/>
                  </w:rPr>
                </w:r>
              </w:p>
            </w:tc>
          </w:tr>
        </w:tbl>
      </w:sdtContent>
    </w:sdt>
    <w:p w:rsidR="00000000" w:rsidDel="00000000" w:rsidP="00000000" w:rsidRDefault="00000000" w:rsidRPr="00000000" w14:paraId="00000040">
      <w:pPr>
        <w:widowControl w:val="1"/>
        <w:spacing w:line="344" w:lineRule="auto"/>
        <w:ind w:left="0" w:right="4"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widowControl w:val="1"/>
        <w:spacing w:line="344" w:lineRule="auto"/>
        <w:ind w:left="0" w:right="4" w:firstLine="720"/>
        <w:jc w:val="both"/>
        <w:rPr>
          <w:i w:val="1"/>
          <w:sz w:val="24"/>
          <w:szCs w:val="24"/>
        </w:rPr>
      </w:pPr>
      <w:r w:rsidDel="00000000" w:rsidR="00000000" w:rsidRPr="00000000">
        <w:rPr>
          <w:rFonts w:ascii="Arial" w:cs="Arial" w:eastAsia="Arial" w:hAnsi="Arial"/>
          <w:sz w:val="24"/>
          <w:szCs w:val="24"/>
          <w:rtl w:val="0"/>
        </w:rPr>
        <w:t xml:space="preserve">A Gráfico 1 está dividida em 7 categorias que estão divididas da seguinte forma.  O grupo I é formado por crianças de 0 até 4 anos e 11 meses; grupo II era formado por crianças de 5 anos até adolescentes de 14 anos e 11 meses; grupo III era formado por adolescentes de 15 anos até a adultos de 24 anos e 11 meses; grupo IV era formado por adultos de 25 anos até de 39 anos e 11 meses; grupo V era formado por adultos de 40 anos até 54 anos e 11 meses; grupo VI era formado por adultos de 55 anos até 60 anos; e por fim o grupo VII era formado por idosos acima de 60 anos.</w:t>
      </w:r>
      <w:r w:rsidDel="00000000" w:rsidR="00000000" w:rsidRPr="00000000">
        <w:rPr>
          <w:rtl w:val="0"/>
        </w:rPr>
      </w:r>
    </w:p>
    <w:sdt>
      <w:sdtPr>
        <w:lock w:val="contentLocked"/>
        <w:tag w:val="goog_rdk_2"/>
      </w:sdtPr>
      <w:sdtContent>
        <w:tbl>
          <w:tblPr>
            <w:tblStyle w:val="Table3"/>
            <w:tblW w:w="910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05"/>
            <w:tblGridChange w:id="0">
              <w:tblGrid>
                <w:gridCol w:w="91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rtl w:val="0"/>
                  </w:rPr>
                  <w:t xml:space="preserve">Gráfico 1 : </w:t>
                </w:r>
                <w:r w:rsidDel="00000000" w:rsidR="00000000" w:rsidRPr="00000000">
                  <w:rPr>
                    <w:sz w:val="20"/>
                    <w:szCs w:val="20"/>
                    <w:rtl w:val="0"/>
                  </w:rPr>
                  <w:t xml:space="preserve">População dos assentados no município de Santana do Livramento (2016)</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rtl w:val="0"/>
                  </w:rPr>
                  <w:t xml:space="preserve">Fonte: </w:t>
                </w:r>
                <w:r w:rsidDel="00000000" w:rsidR="00000000" w:rsidRPr="00000000">
                  <w:rPr>
                    <w:sz w:val="20"/>
                    <w:szCs w:val="20"/>
                    <w:rtl w:val="0"/>
                  </w:rPr>
                  <w:t xml:space="preserve">Sistema Integrado de Gestão Rural –</w:t>
                </w:r>
                <w:r w:rsidDel="00000000" w:rsidR="00000000" w:rsidRPr="00000000">
                  <w:rPr>
                    <w:b w:val="1"/>
                    <w:sz w:val="20"/>
                    <w:szCs w:val="20"/>
                    <w:rtl w:val="0"/>
                  </w:rPr>
                  <w:t xml:space="preserve"> </w:t>
                </w:r>
                <w:r w:rsidDel="00000000" w:rsidR="00000000" w:rsidRPr="00000000">
                  <w:rPr>
                    <w:sz w:val="20"/>
                    <w:szCs w:val="20"/>
                    <w:rtl w:val="0"/>
                  </w:rPr>
                  <w:t xml:space="preserve">SIGRA</w:t>
                </w:r>
                <w:r w:rsidDel="00000000" w:rsidR="00000000" w:rsidRPr="00000000">
                  <w:rPr>
                    <w:sz w:val="20"/>
                    <w:szCs w:val="20"/>
                    <w:rtl w:val="0"/>
                  </w:rPr>
                  <w:t xml:space="preserve">, 2016</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135796</wp:posOffset>
                      </wp:positionV>
                      <wp:extent cx="5762625" cy="2207354"/>
                      <wp:effectExtent b="0" l="0" r="0" t="0"/>
                      <wp:wrapTopAndBottom distB="114300" distT="114300"/>
                      <wp:docPr id="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62625" cy="2207354"/>
                              </a:xfrm>
                              <a:prstGeom prst="rect"/>
                              <a:ln/>
                            </pic:spPr>
                          </pic:pic>
                        </a:graphicData>
                      </a:graphic>
                    </wp:anchor>
                  </w:drawing>
                </w:r>
              </w:p>
            </w:tc>
          </w:tr>
        </w:tbl>
      </w:sdtContent>
    </w:sdt>
    <w:p w:rsidR="00000000" w:rsidDel="00000000" w:rsidP="00000000" w:rsidRDefault="00000000" w:rsidRPr="00000000" w14:paraId="00000044">
      <w:pPr>
        <w:widowControl w:val="1"/>
        <w:spacing w:line="360" w:lineRule="auto"/>
        <w:ind w:right="4" w:firstLine="720"/>
        <w:jc w:val="both"/>
        <w:rPr>
          <w:sz w:val="24"/>
          <w:szCs w:val="24"/>
        </w:rPr>
      </w:pPr>
      <w:r w:rsidDel="00000000" w:rsidR="00000000" w:rsidRPr="00000000">
        <w:rPr>
          <w:sz w:val="24"/>
          <w:szCs w:val="24"/>
          <w:rtl w:val="0"/>
        </w:rPr>
        <w:t xml:space="preserve">A categoria  “G-I”</w:t>
      </w:r>
      <w:r w:rsidDel="00000000" w:rsidR="00000000" w:rsidRPr="00000000">
        <w:rPr>
          <w:i w:val="1"/>
          <w:sz w:val="24"/>
          <w:szCs w:val="24"/>
          <w:rtl w:val="0"/>
        </w:rPr>
        <w:t xml:space="preserve"> </w:t>
      </w:r>
      <w:r w:rsidDel="00000000" w:rsidR="00000000" w:rsidRPr="00000000">
        <w:rPr>
          <w:sz w:val="24"/>
          <w:szCs w:val="24"/>
          <w:rtl w:val="0"/>
        </w:rPr>
        <w:t xml:space="preserve"> era composta por 145 crianças com até 4 anos e 11 meses de idade. As crianças estão divididas da seguinte forma: 61 delas são do sexo feminino e 84 são do sexo masculino. O “G-II” era composto por 503 crianças e pré-adolescentes com idades entre 5 e 14 anos e 11 meses. Os indivíduos estão divididos da seguinte forma: 247 crianças e pré-adolescentes do sexo feminino e 256 crianças e pré-adolescentes do sexo masculino. O “G-III” era composto por 443 indivíduos com idade de 15 anos até 24 anos e 11 meses. Os indivíduos estavam divididos da seguinte forma: 215 pessoas do sexo feminino e 228 pessoas do sexo masculino. O “G-IV” era composto por 487 indivíduos com idades entre 25 anos e 39 anos e 11 meses. Os indivíduos estão divididos da seguinte forma: 251 pessoas do sexo feminino e 236 pessoas do sexo masculino. O “G-V” era composto por 543 indivíduos com idades que vão dos 40 anos até 54 anos e 11 meses. Os indivíduos estava divididos da seguinte forma: 238 pessoas do sexo feminino e 305 pessoas do sexo masculino. O “G-VI” era composto por 166 indivíduos com idades entre 55 anos e 60 anos e 11 meses. Os indivíduos estavaam divididos da seguinte forma: 78 pessoas do sexo feminino e 88 pessoas do sexo masculino. Por fim, o “G-VII” era composto por 212  idosos com idade acima de 60 anos. Este grupo estava dividido da seguinte forma: 74 idosas e 138 idosos (</w:t>
      </w:r>
      <w:r w:rsidDel="00000000" w:rsidR="00000000" w:rsidRPr="00000000">
        <w:rPr>
          <w:sz w:val="24"/>
          <w:szCs w:val="24"/>
          <w:rtl w:val="0"/>
        </w:rPr>
        <w:t xml:space="preserve">SIGRA</w:t>
      </w:r>
      <w:r w:rsidDel="00000000" w:rsidR="00000000" w:rsidRPr="00000000">
        <w:rPr>
          <w:sz w:val="24"/>
          <w:szCs w:val="24"/>
          <w:rtl w:val="0"/>
        </w:rPr>
        <w:t xml:space="preserve">, 2016).</w:t>
      </w:r>
    </w:p>
    <w:p w:rsidR="00000000" w:rsidDel="00000000" w:rsidP="00000000" w:rsidRDefault="00000000" w:rsidRPr="00000000" w14:paraId="00000045">
      <w:pPr>
        <w:widowControl w:val="1"/>
        <w:spacing w:line="360" w:lineRule="auto"/>
        <w:ind w:right="4"/>
        <w:jc w:val="both"/>
        <w:rPr>
          <w:i w:val="1"/>
          <w:sz w:val="24"/>
          <w:szCs w:val="24"/>
          <w:highlight w:val="white"/>
        </w:rPr>
      </w:pPr>
      <w:r w:rsidDel="00000000" w:rsidR="00000000" w:rsidRPr="00000000">
        <w:rPr>
          <w:i w:val="1"/>
          <w:sz w:val="24"/>
          <w:szCs w:val="24"/>
          <w:highlight w:val="white"/>
          <w:rtl w:val="0"/>
        </w:rPr>
        <w:t xml:space="preserve">Assentamento Ibicuí</w:t>
      </w:r>
    </w:p>
    <w:p w:rsidR="00000000" w:rsidDel="00000000" w:rsidP="00000000" w:rsidRDefault="00000000" w:rsidRPr="00000000" w14:paraId="00000046">
      <w:pPr>
        <w:widowControl w:val="1"/>
        <w:spacing w:line="360" w:lineRule="auto"/>
        <w:ind w:right="4" w:firstLine="708"/>
        <w:jc w:val="both"/>
        <w:rPr>
          <w:sz w:val="24"/>
          <w:szCs w:val="24"/>
          <w:highlight w:val="red"/>
        </w:rPr>
      </w:pPr>
      <w:r w:rsidDel="00000000" w:rsidR="00000000" w:rsidRPr="00000000">
        <w:rPr>
          <w:sz w:val="24"/>
          <w:szCs w:val="24"/>
          <w:rtl w:val="0"/>
        </w:rPr>
        <w:t xml:space="preserve">Em Santana do Livramento, dentre os 30 assentamentos rurais, destaca-se o assentamento Ibicuí, que foi fundado em 2007, com cerca de 65 lotes e 54 famílias que somavam uma população de 119 pessoas, oriundas da região da grande Porto Alegre. Atualmente o assentamento é composto por 65 lotes e 62 famílias que totalizam cerca de 118 assentados.  A seguir, para melhor retratar o assentamento Ibicuí, serão descritos as características das famílias, das condições de vida; </w:t>
      </w:r>
      <w:r w:rsidDel="00000000" w:rsidR="00000000" w:rsidRPr="00000000">
        <w:rPr>
          <w:i w:val="1"/>
          <w:sz w:val="24"/>
          <w:szCs w:val="24"/>
          <w:rtl w:val="0"/>
        </w:rPr>
        <w:t xml:space="preserve">dos lotes; produtivas.</w:t>
      </w:r>
      <w:r w:rsidDel="00000000" w:rsidR="00000000" w:rsidRPr="00000000">
        <w:rPr>
          <w:rtl w:val="0"/>
        </w:rPr>
      </w:r>
    </w:p>
    <w:p w:rsidR="00000000" w:rsidDel="00000000" w:rsidP="00000000" w:rsidRDefault="00000000" w:rsidRPr="00000000" w14:paraId="00000047">
      <w:pPr>
        <w:widowControl w:val="1"/>
        <w:spacing w:line="360" w:lineRule="auto"/>
        <w:ind w:left="0" w:firstLine="720"/>
        <w:jc w:val="both"/>
        <w:rPr>
          <w:sz w:val="24"/>
          <w:szCs w:val="24"/>
        </w:rPr>
      </w:pPr>
      <w:r w:rsidDel="00000000" w:rsidR="00000000" w:rsidRPr="00000000">
        <w:rPr>
          <w:i w:val="1"/>
          <w:sz w:val="24"/>
          <w:szCs w:val="24"/>
          <w:rtl w:val="0"/>
        </w:rPr>
        <w:t xml:space="preserve">As c</w:t>
      </w:r>
      <w:r w:rsidDel="00000000" w:rsidR="00000000" w:rsidRPr="00000000">
        <w:rPr>
          <w:i w:val="1"/>
          <w:sz w:val="24"/>
          <w:szCs w:val="24"/>
          <w:rtl w:val="0"/>
        </w:rPr>
        <w:t xml:space="preserve">aracterísticas das famílias assentadas no Ibicuí, são formadas pelas</w:t>
      </w:r>
      <w:r w:rsidDel="00000000" w:rsidR="00000000" w:rsidRPr="00000000">
        <w:rPr>
          <w:sz w:val="24"/>
          <w:szCs w:val="24"/>
          <w:rtl w:val="0"/>
        </w:rPr>
        <w:t xml:space="preserve"> informações sobre: população; escolaridade; ocupação principal; tempo de trabalho e participação sociocultural.</w:t>
      </w:r>
    </w:p>
    <w:p w:rsidR="00000000" w:rsidDel="00000000" w:rsidP="00000000" w:rsidRDefault="00000000" w:rsidRPr="00000000" w14:paraId="00000048">
      <w:pPr>
        <w:widowControl w:val="1"/>
        <w:spacing w:after="0" w:before="0" w:line="360" w:lineRule="auto"/>
        <w:ind w:firstLine="720"/>
        <w:jc w:val="both"/>
        <w:rPr>
          <w:sz w:val="24"/>
          <w:szCs w:val="24"/>
        </w:rPr>
      </w:pPr>
      <w:r w:rsidDel="00000000" w:rsidR="00000000" w:rsidRPr="00000000">
        <w:rPr>
          <w:sz w:val="24"/>
          <w:szCs w:val="24"/>
          <w:rtl w:val="0"/>
        </w:rPr>
        <w:t xml:space="preserve">Na categoria população do assentamento Ibicuí, no ano de 2022 o grupo de assentados era composto por </w:t>
      </w:r>
      <w:r w:rsidDel="00000000" w:rsidR="00000000" w:rsidRPr="00000000">
        <w:rPr>
          <w:sz w:val="24"/>
          <w:szCs w:val="24"/>
          <w:rtl w:val="0"/>
        </w:rPr>
        <w:t xml:space="preserve">pessoas de 0 até acima de  60 anos e que totalizavam</w:t>
      </w:r>
      <w:r w:rsidDel="00000000" w:rsidR="00000000" w:rsidRPr="00000000">
        <w:rPr>
          <w:sz w:val="24"/>
          <w:szCs w:val="24"/>
          <w:rtl w:val="0"/>
        </w:rPr>
        <w:t xml:space="preserve"> 118 pessoas. O asenetamento era divido entre 59 pessoas do sexo masculino e 59 pessoas dos sexo feminino. Destaca-se que neste período o a</w:t>
      </w:r>
      <w:r w:rsidDel="00000000" w:rsidR="00000000" w:rsidRPr="00000000">
        <w:rPr>
          <w:sz w:val="24"/>
          <w:szCs w:val="24"/>
          <w:rtl w:val="0"/>
        </w:rPr>
        <w:t xml:space="preserve">ssentamento Ibicuí tinha a sua maior população sendo composta por cerca de 34 pessoas (28,81%) com idade entre 40 e 54 anos e 18  pessoas idosas (15,26%) de ambos os sexos (</w:t>
      </w:r>
      <w:r w:rsidDel="00000000" w:rsidR="00000000" w:rsidRPr="00000000">
        <w:rPr>
          <w:sz w:val="24"/>
          <w:szCs w:val="24"/>
          <w:rtl w:val="0"/>
        </w:rPr>
        <w:t xml:space="preserve">SIGRA</w:t>
      </w:r>
      <w:r w:rsidDel="00000000" w:rsidR="00000000" w:rsidRPr="00000000">
        <w:rPr>
          <w:sz w:val="24"/>
          <w:szCs w:val="24"/>
          <w:rtl w:val="0"/>
        </w:rPr>
        <w:t xml:space="preserve">, 2022).  </w:t>
      </w:r>
      <w:r w:rsidDel="00000000" w:rsidR="00000000" w:rsidRPr="00000000">
        <w:rPr>
          <w:rtl w:val="0"/>
        </w:rPr>
      </w:r>
    </w:p>
    <w:p w:rsidR="00000000" w:rsidDel="00000000" w:rsidP="00000000" w:rsidRDefault="00000000" w:rsidRPr="00000000" w14:paraId="00000049">
      <w:pPr>
        <w:widowControl w:val="1"/>
        <w:spacing w:line="360" w:lineRule="auto"/>
        <w:ind w:firstLine="720"/>
        <w:jc w:val="both"/>
        <w:rPr>
          <w:sz w:val="24"/>
          <w:szCs w:val="24"/>
        </w:rPr>
      </w:pPr>
      <w:r w:rsidDel="00000000" w:rsidR="00000000" w:rsidRPr="00000000">
        <w:rPr>
          <w:sz w:val="24"/>
          <w:szCs w:val="24"/>
          <w:rtl w:val="0"/>
        </w:rPr>
        <w:t xml:space="preserve">A categoria e</w:t>
      </w:r>
      <w:r w:rsidDel="00000000" w:rsidR="00000000" w:rsidRPr="00000000">
        <w:rPr>
          <w:sz w:val="24"/>
          <w:szCs w:val="24"/>
          <w:rtl w:val="0"/>
        </w:rPr>
        <w:t xml:space="preserve">scolaridade, </w:t>
      </w:r>
      <w:r w:rsidDel="00000000" w:rsidR="00000000" w:rsidRPr="00000000">
        <w:rPr>
          <w:sz w:val="24"/>
          <w:szCs w:val="24"/>
          <w:rtl w:val="0"/>
        </w:rPr>
        <w:t xml:space="preserve">trata sobre o grau de escolaridade dos assentados do Ibicuí e está organizada nas seguintes categorias: não alfabetizado; analfabeto; ensino fundamental incompleto; ensino fundamental completo; ensino médio incompleto; ensino ,médio completo; ensino superior incompleto; ensino superior completo e pós graduação. Cerca de 88 pessoas(74,57%),o que representa a maioria dos assentamentos, possui e</w:t>
      </w:r>
      <w:r w:rsidDel="00000000" w:rsidR="00000000" w:rsidRPr="00000000">
        <w:rPr>
          <w:sz w:val="24"/>
          <w:szCs w:val="24"/>
          <w:rtl w:val="0"/>
        </w:rPr>
        <w:t xml:space="preserve">nsino fundamental incompleto e/ou completo. Destaca-se também o fato de que não foi encontrada nenhuma pessoa com a formação no ensino superior. Além disso, pouco mais de 17 pessoas acessaram ou concluíram o ensino médio. E por fim, existem 5 pessoas analfabetas com idade acima de 55 anos </w:t>
      </w:r>
      <w:r w:rsidDel="00000000" w:rsidR="00000000" w:rsidRPr="00000000">
        <w:rPr>
          <w:sz w:val="24"/>
          <w:szCs w:val="24"/>
          <w:rtl w:val="0"/>
        </w:rPr>
        <w:t xml:space="preserve"> (SIGRA, 2022)</w:t>
      </w:r>
      <w:r w:rsidDel="00000000" w:rsidR="00000000" w:rsidRPr="00000000">
        <w:rPr>
          <w:sz w:val="24"/>
          <w:szCs w:val="24"/>
          <w:rtl w:val="0"/>
        </w:rPr>
        <w:t xml:space="preserve">.</w:t>
      </w:r>
    </w:p>
    <w:p w:rsidR="00000000" w:rsidDel="00000000" w:rsidP="00000000" w:rsidRDefault="00000000" w:rsidRPr="00000000" w14:paraId="0000004A">
      <w:pPr>
        <w:widowControl w:val="1"/>
        <w:spacing w:line="360" w:lineRule="auto"/>
        <w:ind w:firstLine="720"/>
        <w:jc w:val="both"/>
        <w:rPr>
          <w:sz w:val="24"/>
          <w:szCs w:val="24"/>
        </w:rPr>
      </w:pPr>
      <w:r w:rsidDel="00000000" w:rsidR="00000000" w:rsidRPr="00000000">
        <w:rPr>
          <w:sz w:val="24"/>
          <w:szCs w:val="24"/>
          <w:rtl w:val="0"/>
        </w:rPr>
        <w:t xml:space="preserve">A categoria o</w:t>
      </w:r>
      <w:r w:rsidDel="00000000" w:rsidR="00000000" w:rsidRPr="00000000">
        <w:rPr>
          <w:sz w:val="24"/>
          <w:szCs w:val="24"/>
          <w:rtl w:val="0"/>
        </w:rPr>
        <w:t xml:space="preserve">cupação principal trata sobre as atividades produtivas dos trabalhadores do assentamento Ibicuí. É ca</w:t>
      </w:r>
      <w:r w:rsidDel="00000000" w:rsidR="00000000" w:rsidRPr="00000000">
        <w:rPr>
          <w:sz w:val="24"/>
          <w:szCs w:val="24"/>
          <w:rtl w:val="0"/>
        </w:rPr>
        <w:t xml:space="preserve">racterizada como ocupação principal a atividade a qual o assentado dedica maior parte do seu dia e consequentemente identifica como profissão. Para traçar o perfil da ocupação principal dos assentados do Ibicuí</w:t>
      </w:r>
      <w:r w:rsidDel="00000000" w:rsidR="00000000" w:rsidRPr="00000000">
        <w:rPr>
          <w:sz w:val="24"/>
          <w:szCs w:val="24"/>
          <w:highlight w:val="white"/>
          <w:rtl w:val="0"/>
        </w:rPr>
        <w:t xml:space="preserve"> é necessário levar em consideração </w:t>
      </w:r>
      <w:r w:rsidDel="00000000" w:rsidR="00000000" w:rsidRPr="00000000">
        <w:rPr>
          <w:sz w:val="24"/>
          <w:szCs w:val="24"/>
          <w:rtl w:val="0"/>
        </w:rPr>
        <w:t xml:space="preserve">seis possíveis atividades como: agricultor</w:t>
      </w:r>
      <w:r w:rsidDel="00000000" w:rsidR="00000000" w:rsidRPr="00000000">
        <w:rPr>
          <w:sz w:val="24"/>
          <w:szCs w:val="24"/>
          <w:rtl w:val="0"/>
        </w:rPr>
        <w:t xml:space="preserve">; agricultor</w:t>
      </w:r>
      <w:r w:rsidDel="00000000" w:rsidR="00000000" w:rsidRPr="00000000">
        <w:rPr>
          <w:sz w:val="24"/>
          <w:szCs w:val="24"/>
          <w:rtl w:val="0"/>
        </w:rPr>
        <w:t xml:space="preserve"> e do lar; aposentado; estudante; terceirização serviços e não possui. Nesta categoria é considerada apenas a população acima de 15 anos, logo consideramos como referência 103 pessoas com idade produtiva. Cerca de 65 (63,10%) assentados declararam ter como ocupação principal a ocupação principal, seguido da categoria agricultor e do lar com 2 (1,94%) pessoas dentro desta categoria. Destaca-se também que cerca de 21 (20,39%) moradores do assentamento estão aposentados, importante frisar que todos os indivíduos que têm mais de 60 anos estão aposentados. Existem cerca de 14 (13,59%) assentados que declaram como ocupação principal ser estudante e por fim existe um único (0,97 %) caso no assentamento de indivíduo que tem como ocupação principal  atuar na terceirização de serviços (SIGRA, 2022). </w:t>
      </w:r>
    </w:p>
    <w:p w:rsidR="00000000" w:rsidDel="00000000" w:rsidP="00000000" w:rsidRDefault="00000000" w:rsidRPr="00000000" w14:paraId="0000004B">
      <w:pPr>
        <w:widowControl w:val="1"/>
        <w:spacing w:line="360" w:lineRule="auto"/>
        <w:ind w:left="0" w:firstLine="720"/>
        <w:jc w:val="both"/>
        <w:rPr>
          <w:sz w:val="24"/>
          <w:szCs w:val="24"/>
        </w:rPr>
      </w:pPr>
      <w:r w:rsidDel="00000000" w:rsidR="00000000" w:rsidRPr="00000000">
        <w:rPr>
          <w:sz w:val="24"/>
          <w:szCs w:val="24"/>
          <w:rtl w:val="0"/>
        </w:rPr>
        <w:t xml:space="preserve">A categoria </w:t>
      </w:r>
      <w:r w:rsidDel="00000000" w:rsidR="00000000" w:rsidRPr="00000000">
        <w:rPr>
          <w:sz w:val="24"/>
          <w:szCs w:val="24"/>
          <w:rtl w:val="0"/>
        </w:rPr>
        <w:t xml:space="preserve">participação sociocultural é descrita através da dinâmica de participação sociocultural dos moradores do assentamento Ibicuí. São considerados como participação sociocultural: igreja; campo de futebol; centro comunitário; grupo de mulheres; bar/boliche e grupo de jovens. A participação sociocultural da população do Ibicuí acontece com grande incidência na igreja (21 pessoas). O campo de futebol também é um local de encontro entre os assentados, pois cerca de 09 pessoas declararam apreciar este tipo de atividade. Destaca-</w:t>
      </w:r>
      <w:r w:rsidDel="00000000" w:rsidR="00000000" w:rsidRPr="00000000">
        <w:rPr>
          <w:sz w:val="24"/>
          <w:szCs w:val="24"/>
          <w:rtl w:val="0"/>
        </w:rPr>
        <w:t xml:space="preserve">se </w:t>
      </w:r>
      <w:r w:rsidDel="00000000" w:rsidR="00000000" w:rsidRPr="00000000">
        <w:rPr>
          <w:sz w:val="24"/>
          <w:szCs w:val="24"/>
          <w:rtl w:val="0"/>
        </w:rPr>
        <w:t xml:space="preserve">o centro comunitário, com 8 pessoas que utilizam o espaço com o intuito de socialização. Observa-se também que existe pouca adesão da população com relação a atividade que possibilita o lazer desses moradores. Das 118 pessoas que residem no assentamento, apenas 45 pessoas declararam se relacionar através de lugares que possibilitam a interação dos assentados do Ibicuí (</w:t>
      </w:r>
      <w:r w:rsidDel="00000000" w:rsidR="00000000" w:rsidRPr="00000000">
        <w:rPr>
          <w:sz w:val="24"/>
          <w:szCs w:val="24"/>
          <w:rtl w:val="0"/>
        </w:rPr>
        <w:t xml:space="preserve">SIGRA</w:t>
      </w:r>
      <w:r w:rsidDel="00000000" w:rsidR="00000000" w:rsidRPr="00000000">
        <w:rPr>
          <w:sz w:val="24"/>
          <w:szCs w:val="24"/>
          <w:rtl w:val="0"/>
        </w:rPr>
        <w:t xml:space="preserve">, 2022).</w:t>
      </w:r>
      <w:r w:rsidDel="00000000" w:rsidR="00000000" w:rsidRPr="00000000">
        <w:rPr>
          <w:rtl w:val="0"/>
        </w:rPr>
      </w:r>
    </w:p>
    <w:p w:rsidR="00000000" w:rsidDel="00000000" w:rsidP="00000000" w:rsidRDefault="00000000" w:rsidRPr="00000000" w14:paraId="0000004C">
      <w:pPr>
        <w:widowControl w:val="1"/>
        <w:spacing w:line="360" w:lineRule="auto"/>
        <w:ind w:left="0" w:firstLine="720"/>
        <w:jc w:val="both"/>
        <w:rPr>
          <w:sz w:val="24"/>
          <w:szCs w:val="24"/>
          <w:highlight w:val="white"/>
        </w:rPr>
      </w:pPr>
      <w:r w:rsidDel="00000000" w:rsidR="00000000" w:rsidRPr="00000000">
        <w:rPr>
          <w:sz w:val="24"/>
          <w:szCs w:val="24"/>
          <w:rtl w:val="0"/>
        </w:rPr>
        <w:t xml:space="preserve">As c</w:t>
      </w:r>
      <w:r w:rsidDel="00000000" w:rsidR="00000000" w:rsidRPr="00000000">
        <w:rPr>
          <w:sz w:val="24"/>
          <w:szCs w:val="24"/>
          <w:rtl w:val="0"/>
        </w:rPr>
        <w:t xml:space="preserve">aracterísticas das condições de vida dos assentados no Ibicuí são formadas pelas informações sobre: moradias; e</w:t>
      </w:r>
      <w:r w:rsidDel="00000000" w:rsidR="00000000" w:rsidRPr="00000000">
        <w:rPr>
          <w:sz w:val="24"/>
          <w:szCs w:val="24"/>
          <w:rtl w:val="0"/>
        </w:rPr>
        <w:t xml:space="preserve">strutura das moradias; co</w:t>
      </w:r>
      <w:r w:rsidDel="00000000" w:rsidR="00000000" w:rsidRPr="00000000">
        <w:rPr>
          <w:sz w:val="24"/>
          <w:szCs w:val="24"/>
          <w:rtl w:val="0"/>
        </w:rPr>
        <w:t xml:space="preserve">municação; condições da água; saneamento; </w:t>
      </w:r>
      <w:r w:rsidDel="00000000" w:rsidR="00000000" w:rsidRPr="00000000">
        <w:rPr>
          <w:sz w:val="24"/>
          <w:szCs w:val="24"/>
          <w:highlight w:val="white"/>
          <w:rtl w:val="0"/>
        </w:rPr>
        <w:t xml:space="preserve">vias de acesso.</w:t>
      </w:r>
    </w:p>
    <w:p w:rsidR="00000000" w:rsidDel="00000000" w:rsidP="00000000" w:rsidRDefault="00000000" w:rsidRPr="00000000" w14:paraId="0000004D">
      <w:pPr>
        <w:widowControl w:val="1"/>
        <w:spacing w:line="360" w:lineRule="auto"/>
        <w:ind w:right="4" w:firstLine="720"/>
        <w:jc w:val="both"/>
        <w:rPr>
          <w:sz w:val="24"/>
          <w:szCs w:val="24"/>
        </w:rPr>
      </w:pPr>
      <w:r w:rsidDel="00000000" w:rsidR="00000000" w:rsidRPr="00000000">
        <w:rPr>
          <w:sz w:val="24"/>
          <w:szCs w:val="24"/>
          <w:rtl w:val="0"/>
        </w:rPr>
        <w:t xml:space="preserve">A categoria de moradias são caracterizadas pelo número de cômodo(s),  média das áreas (m²) e tipo de material nas construção das casas (madeira; alvenaria; mistas). A média de área das casas é entre </w:t>
      </w:r>
      <w:r w:rsidDel="00000000" w:rsidR="00000000" w:rsidRPr="00000000">
        <w:rPr>
          <w:sz w:val="24"/>
          <w:szCs w:val="24"/>
          <w:rtl w:val="0"/>
        </w:rPr>
        <w:t xml:space="preserve">45,75m²</w:t>
      </w:r>
      <w:r w:rsidDel="00000000" w:rsidR="00000000" w:rsidRPr="00000000">
        <w:rPr>
          <w:sz w:val="24"/>
          <w:szCs w:val="24"/>
          <w:rtl w:val="0"/>
        </w:rPr>
        <w:t xml:space="preserve"> e </w:t>
      </w:r>
      <w:r w:rsidDel="00000000" w:rsidR="00000000" w:rsidRPr="00000000">
        <w:rPr>
          <w:sz w:val="24"/>
          <w:szCs w:val="24"/>
          <w:rtl w:val="0"/>
        </w:rPr>
        <w:t xml:space="preserve">48,27m²</w:t>
      </w:r>
      <w:r w:rsidDel="00000000" w:rsidR="00000000" w:rsidRPr="00000000">
        <w:rPr>
          <w:sz w:val="24"/>
          <w:szCs w:val="24"/>
          <w:rtl w:val="0"/>
        </w:rPr>
        <w:t xml:space="preserve"> (cerca de 47 casas com esta características). </w:t>
      </w:r>
      <w:r w:rsidDel="00000000" w:rsidR="00000000" w:rsidRPr="00000000">
        <w:rPr>
          <w:sz w:val="24"/>
          <w:szCs w:val="24"/>
          <w:rtl w:val="0"/>
        </w:rPr>
        <w:t xml:space="preserve">Em 2 lotes não existia moradia. Cerca de 52 famílias residiam em moradias de alvenaria e 8 famílias moravam em casas de madeira. A maioria das famílias (39 casas) do assentamento habitava em casas  com 4 cômodos  e de alvenaria (39 casas com este tipo de construção), destaca-se o fato de que 8 famílias residem em moradias de madeira com 4 cômodos. Apenas em 3 casos a casa possui 6 ou mais cômodos e todas estas moradias são de alvenaria (</w:t>
      </w:r>
      <w:r w:rsidDel="00000000" w:rsidR="00000000" w:rsidRPr="00000000">
        <w:rPr>
          <w:sz w:val="24"/>
          <w:szCs w:val="24"/>
          <w:rtl w:val="0"/>
        </w:rPr>
        <w:t xml:space="preserve">SIGRA</w:t>
      </w:r>
      <w:r w:rsidDel="00000000" w:rsidR="00000000" w:rsidRPr="00000000">
        <w:rPr>
          <w:sz w:val="24"/>
          <w:szCs w:val="24"/>
          <w:rtl w:val="0"/>
        </w:rPr>
        <w:t xml:space="preserve">, 2022).</w:t>
      </w:r>
    </w:p>
    <w:p w:rsidR="00000000" w:rsidDel="00000000" w:rsidP="00000000" w:rsidRDefault="00000000" w:rsidRPr="00000000" w14:paraId="0000004E">
      <w:pPr>
        <w:widowControl w:val="1"/>
        <w:spacing w:line="360" w:lineRule="auto"/>
        <w:ind w:left="0" w:right="4" w:firstLine="720"/>
        <w:jc w:val="both"/>
        <w:rPr>
          <w:sz w:val="24"/>
          <w:szCs w:val="24"/>
        </w:rPr>
      </w:pPr>
      <w:r w:rsidDel="00000000" w:rsidR="00000000" w:rsidRPr="00000000">
        <w:rPr>
          <w:sz w:val="24"/>
          <w:szCs w:val="24"/>
          <w:rtl w:val="0"/>
        </w:rPr>
        <w:t xml:space="preserve">A categoria de e</w:t>
      </w:r>
      <w:r w:rsidDel="00000000" w:rsidR="00000000" w:rsidRPr="00000000">
        <w:rPr>
          <w:sz w:val="24"/>
          <w:szCs w:val="24"/>
          <w:rtl w:val="0"/>
        </w:rPr>
        <w:t xml:space="preserve">strutura das moradias</w:t>
      </w:r>
      <w:r w:rsidDel="00000000" w:rsidR="00000000" w:rsidRPr="00000000">
        <w:rPr>
          <w:sz w:val="24"/>
          <w:szCs w:val="24"/>
          <w:rtl w:val="0"/>
        </w:rPr>
        <w:t xml:space="preserve">, demonstra os tipos de construção e as categorias de estruturas aptas para morar e aquelas com estrutura comprometida. Os dados demonstram que 14 moradias se encontravam com a estrutura comprometida e existiam dois lotes que nem ao menos possuíam moradias. As moradias com estruturas comprometidas estão divididas da seguinte forma: 5 casas são de construção de madeira; 6 casas são de construção de alvenaria e 1 de construção mista. Cerca de 22,58% da população do assentamento convive com algum tipo de problema em relação à estrutura das moradias (ou não tem casa no lote ou a estrutura está comprometida) (</w:t>
      </w:r>
      <w:r w:rsidDel="00000000" w:rsidR="00000000" w:rsidRPr="00000000">
        <w:rPr>
          <w:sz w:val="24"/>
          <w:szCs w:val="24"/>
          <w:rtl w:val="0"/>
        </w:rPr>
        <w:t xml:space="preserve">SIGRA</w:t>
      </w:r>
      <w:r w:rsidDel="00000000" w:rsidR="00000000" w:rsidRPr="00000000">
        <w:rPr>
          <w:sz w:val="24"/>
          <w:szCs w:val="24"/>
          <w:rtl w:val="0"/>
        </w:rPr>
        <w:t xml:space="preserve">, 2022). </w:t>
      </w:r>
    </w:p>
    <w:p w:rsidR="00000000" w:rsidDel="00000000" w:rsidP="00000000" w:rsidRDefault="00000000" w:rsidRPr="00000000" w14:paraId="0000004F">
      <w:pPr>
        <w:widowControl w:val="1"/>
        <w:spacing w:line="360" w:lineRule="auto"/>
        <w:ind w:firstLine="720"/>
        <w:jc w:val="both"/>
        <w:rPr>
          <w:sz w:val="24"/>
          <w:szCs w:val="24"/>
        </w:rPr>
      </w:pPr>
      <w:r w:rsidDel="00000000" w:rsidR="00000000" w:rsidRPr="00000000">
        <w:rPr>
          <w:sz w:val="24"/>
          <w:szCs w:val="24"/>
          <w:rtl w:val="0"/>
        </w:rPr>
        <w:t xml:space="preserve">A categoria e</w:t>
      </w:r>
      <w:r w:rsidDel="00000000" w:rsidR="00000000" w:rsidRPr="00000000">
        <w:rPr>
          <w:sz w:val="24"/>
          <w:szCs w:val="24"/>
          <w:rtl w:val="0"/>
        </w:rPr>
        <w:t xml:space="preserve">letrificação está vinculada ao tipo de eletrificação, encontrada dentro dos lotes (monofásico, bifásico e trifásico). Em cerca de 61 lotes o tipo de eletrificação utilizado era o monofásico, em nenhum lote era utilizado a eletrificação bifásica e apenas em um único caso era utilizado a energia trifásica. Considera também algum tipo de problema na voltagem (situação que por vezes inutiliza o uso da rede elétrica). Dentes as 61 moradias que utilizam a energia monofásica, destaca-se que em 9</w:t>
      </w:r>
      <w:r w:rsidDel="00000000" w:rsidR="00000000" w:rsidRPr="00000000">
        <w:rPr>
          <w:sz w:val="24"/>
          <w:szCs w:val="24"/>
          <w:rtl w:val="0"/>
        </w:rPr>
        <w:t xml:space="preserve"> lotes as famílias relataram que convivem com problemas na voltagem, principalmente em dias de chuva e vento a rede elétrica sofre interrupção (</w:t>
      </w:r>
      <w:r w:rsidDel="00000000" w:rsidR="00000000" w:rsidRPr="00000000">
        <w:rPr>
          <w:sz w:val="24"/>
          <w:szCs w:val="24"/>
          <w:rtl w:val="0"/>
        </w:rPr>
        <w:t xml:space="preserve">SIGRA</w:t>
      </w:r>
      <w:r w:rsidDel="00000000" w:rsidR="00000000" w:rsidRPr="00000000">
        <w:rPr>
          <w:sz w:val="24"/>
          <w:szCs w:val="24"/>
          <w:rtl w:val="0"/>
        </w:rPr>
        <w:t xml:space="preserve">, 2022). </w:t>
      </w:r>
    </w:p>
    <w:p w:rsidR="00000000" w:rsidDel="00000000" w:rsidP="00000000" w:rsidRDefault="00000000" w:rsidRPr="00000000" w14:paraId="00000050">
      <w:pPr>
        <w:widowControl w:val="1"/>
        <w:spacing w:line="360" w:lineRule="auto"/>
        <w:ind w:left="0" w:right="4" w:firstLine="720"/>
        <w:jc w:val="both"/>
        <w:rPr>
          <w:sz w:val="24"/>
          <w:szCs w:val="24"/>
        </w:rPr>
      </w:pPr>
      <w:r w:rsidDel="00000000" w:rsidR="00000000" w:rsidRPr="00000000">
        <w:rPr>
          <w:sz w:val="24"/>
          <w:szCs w:val="24"/>
          <w:rtl w:val="0"/>
        </w:rPr>
        <w:t xml:space="preserve">A categoria de comunicação</w:t>
      </w:r>
      <w:r w:rsidDel="00000000" w:rsidR="00000000" w:rsidRPr="00000000">
        <w:rPr>
          <w:sz w:val="24"/>
          <w:szCs w:val="24"/>
          <w:rtl w:val="0"/>
        </w:rPr>
        <w:t xml:space="preserve"> está relacionada a 5</w:t>
      </w:r>
      <w:r w:rsidDel="00000000" w:rsidR="00000000" w:rsidRPr="00000000">
        <w:rPr>
          <w:sz w:val="24"/>
          <w:szCs w:val="24"/>
          <w:rtl w:val="0"/>
        </w:rPr>
        <w:t xml:space="preserve"> tipos de equipamentos: rádio; televisão; telefone móvel (dados móveis); telefone móvel (Wi-Fi) e computador. No respectivo assentamento 52 famílias possuíam acesso ao telefone móvel com dados móveis;  e t</w:t>
      </w:r>
      <w:r w:rsidDel="00000000" w:rsidR="00000000" w:rsidRPr="00000000">
        <w:rPr>
          <w:sz w:val="24"/>
          <w:szCs w:val="24"/>
          <w:rtl w:val="0"/>
        </w:rPr>
        <w:t xml:space="preserve">ambém 52 famílias, tinha acesso a televisão, sendo o segundo meio de comunicação mais frequente nos assentamentos. Destaque para o rádio, pois este é o sistema de comunicação que mais atinge as famílias do assentamento Ibicuí, onde cerca de 56 famílias têm acesso a este equipamento para comunicação e de informação (</w:t>
      </w:r>
      <w:r w:rsidDel="00000000" w:rsidR="00000000" w:rsidRPr="00000000">
        <w:rPr>
          <w:sz w:val="24"/>
          <w:szCs w:val="24"/>
          <w:rtl w:val="0"/>
        </w:rPr>
        <w:t xml:space="preserve">SIGRA</w:t>
      </w:r>
      <w:r w:rsidDel="00000000" w:rsidR="00000000" w:rsidRPr="00000000">
        <w:rPr>
          <w:sz w:val="24"/>
          <w:szCs w:val="24"/>
          <w:rtl w:val="0"/>
        </w:rPr>
        <w:t xml:space="preserve">, 2022).</w:t>
      </w:r>
    </w:p>
    <w:p w:rsidR="00000000" w:rsidDel="00000000" w:rsidP="00000000" w:rsidRDefault="00000000" w:rsidRPr="00000000" w14:paraId="00000051">
      <w:pPr>
        <w:widowControl w:val="1"/>
        <w:spacing w:line="360" w:lineRule="auto"/>
        <w:ind w:firstLine="720"/>
        <w:jc w:val="both"/>
        <w:rPr>
          <w:sz w:val="24"/>
          <w:szCs w:val="24"/>
        </w:rPr>
      </w:pPr>
      <w:r w:rsidDel="00000000" w:rsidR="00000000" w:rsidRPr="00000000">
        <w:rPr>
          <w:sz w:val="24"/>
          <w:szCs w:val="24"/>
          <w:rtl w:val="0"/>
        </w:rPr>
        <w:t xml:space="preserve">A categoria condições da á</w:t>
      </w:r>
      <w:r w:rsidDel="00000000" w:rsidR="00000000" w:rsidRPr="00000000">
        <w:rPr>
          <w:sz w:val="24"/>
          <w:szCs w:val="24"/>
          <w:rtl w:val="0"/>
        </w:rPr>
        <w:t xml:space="preserve">gua, leva em consideração </w:t>
      </w:r>
      <w:r w:rsidDel="00000000" w:rsidR="00000000" w:rsidRPr="00000000">
        <w:rPr>
          <w:sz w:val="24"/>
          <w:szCs w:val="24"/>
          <w:rtl w:val="0"/>
        </w:rPr>
        <w:t xml:space="preserve">a origem da água para o consumo dos moradores do assentamento Ibicuí. Destaca-se o fato de que uma mesma família pode ter acesso a mais de um tipo de origem de água.</w:t>
      </w:r>
      <w:r w:rsidDel="00000000" w:rsidR="00000000" w:rsidRPr="00000000">
        <w:rPr>
          <w:b w:val="1"/>
          <w:sz w:val="24"/>
          <w:szCs w:val="24"/>
          <w:rtl w:val="0"/>
        </w:rPr>
        <w:t xml:space="preserve"> </w:t>
      </w:r>
      <w:r w:rsidDel="00000000" w:rsidR="00000000" w:rsidRPr="00000000">
        <w:rPr>
          <w:sz w:val="24"/>
          <w:szCs w:val="24"/>
          <w:rtl w:val="0"/>
        </w:rPr>
        <w:t xml:space="preserve">As fontes de abastecimento e transporte de água mais presentes no assentamento são o poço comum, cacimba/fonte e poço artesiano individual, conferindo 85,3% da distribuição de água, na localidade (</w:t>
      </w:r>
      <w:r w:rsidDel="00000000" w:rsidR="00000000" w:rsidRPr="00000000">
        <w:rPr>
          <w:sz w:val="24"/>
          <w:szCs w:val="24"/>
          <w:rtl w:val="0"/>
        </w:rPr>
        <w:t xml:space="preserve">SIGRA</w:t>
      </w:r>
      <w:r w:rsidDel="00000000" w:rsidR="00000000" w:rsidRPr="00000000">
        <w:rPr>
          <w:sz w:val="24"/>
          <w:szCs w:val="24"/>
          <w:rtl w:val="0"/>
        </w:rPr>
        <w:t xml:space="preserve">, 2022).</w:t>
      </w:r>
    </w:p>
    <w:p w:rsidR="00000000" w:rsidDel="00000000" w:rsidP="00000000" w:rsidRDefault="00000000" w:rsidRPr="00000000" w14:paraId="00000052">
      <w:pPr>
        <w:widowControl w:val="1"/>
        <w:spacing w:line="360" w:lineRule="auto"/>
        <w:ind w:right="4" w:firstLine="708"/>
        <w:jc w:val="both"/>
        <w:rPr>
          <w:sz w:val="24"/>
          <w:szCs w:val="24"/>
        </w:rPr>
      </w:pPr>
      <w:r w:rsidDel="00000000" w:rsidR="00000000" w:rsidRPr="00000000">
        <w:rPr>
          <w:sz w:val="24"/>
          <w:szCs w:val="24"/>
          <w:rtl w:val="0"/>
        </w:rPr>
        <w:t xml:space="preserve">O saneamento considera, neste caso, os destinos dos resíduos dentro dos lotes do assentamento Ibicuí. Nos lotes o descarte dos resíduos acontecia da seguinte forma: Em 46 lotes as embalagens de agrotóxicos eram queimadas; em 7 lotes o descarte era feito via coleta; em 2 lotes o armazenamento era feito no próprio lote e em apenas um caso o destino dessas embalagens de agrotóxicos eram levados até pontos de recolhimento ou armazenados em buraco, o restante dos lotes não utiliza ou não possui informações sobre os descartes.  As embalagens de medicamentos veterinários eram descartadas da seguinte forma: cerca de 34 lotes faziam a queima dos resíduos, 09 lotes armazenavam em buracos e 5 e 4 assentados armazenavam no lote e que destinam à coleta, respectivamente  (</w:t>
      </w:r>
      <w:r w:rsidDel="00000000" w:rsidR="00000000" w:rsidRPr="00000000">
        <w:rPr>
          <w:sz w:val="24"/>
          <w:szCs w:val="24"/>
          <w:rtl w:val="0"/>
        </w:rPr>
        <w:t xml:space="preserve">SIGRA</w:t>
      </w:r>
      <w:r w:rsidDel="00000000" w:rsidR="00000000" w:rsidRPr="00000000">
        <w:rPr>
          <w:sz w:val="24"/>
          <w:szCs w:val="24"/>
          <w:rtl w:val="0"/>
        </w:rPr>
        <w:t xml:space="preserve">, 2022). Na categoria v</w:t>
      </w:r>
      <w:r w:rsidDel="00000000" w:rsidR="00000000" w:rsidRPr="00000000">
        <w:rPr>
          <w:sz w:val="24"/>
          <w:szCs w:val="24"/>
          <w:rtl w:val="0"/>
        </w:rPr>
        <w:t xml:space="preserve">ias de acesso</w:t>
      </w:r>
      <w:r w:rsidDel="00000000" w:rsidR="00000000" w:rsidRPr="00000000">
        <w:rPr>
          <w:sz w:val="24"/>
          <w:szCs w:val="24"/>
          <w:vertAlign w:val="superscript"/>
        </w:rPr>
        <w:footnoteReference w:customMarkFollows="0" w:id="6"/>
      </w:r>
      <w:r w:rsidDel="00000000" w:rsidR="00000000" w:rsidRPr="00000000">
        <w:rPr>
          <w:sz w:val="24"/>
          <w:szCs w:val="24"/>
          <w:rtl w:val="0"/>
        </w:rPr>
        <w:t xml:space="preserve">, </w:t>
      </w:r>
      <w:r w:rsidDel="00000000" w:rsidR="00000000" w:rsidRPr="00000000">
        <w:rPr>
          <w:sz w:val="24"/>
          <w:szCs w:val="24"/>
          <w:rtl w:val="0"/>
        </w:rPr>
        <w:t xml:space="preserve">são consideradas as estradas de acesso para o assentamento Ibicuí, onde cerca de 45 famílias têm grande dificuldade com o acesso. Cerca de 8 famílias têm dificuldades com a via de acesso em tempos de chuva no assentamento. Em 2022 foram registradas 55 famílias com algum tipo de problema de acesso. E cerca de 45 famílias tiveram acesso interrompido em alguma época do ano para veículos leves e pesados e 08 famílias declararam dificuldades  com acesso interrompido em algumas épocas do ano para veículos leves (</w:t>
      </w:r>
      <w:r w:rsidDel="00000000" w:rsidR="00000000" w:rsidRPr="00000000">
        <w:rPr>
          <w:sz w:val="24"/>
          <w:szCs w:val="24"/>
          <w:rtl w:val="0"/>
        </w:rPr>
        <w:t xml:space="preserve">SIGRA</w:t>
      </w:r>
      <w:r w:rsidDel="00000000" w:rsidR="00000000" w:rsidRPr="00000000">
        <w:rPr>
          <w:sz w:val="24"/>
          <w:szCs w:val="24"/>
          <w:rtl w:val="0"/>
        </w:rPr>
        <w:t xml:space="preserve">, 2022).</w:t>
      </w:r>
    </w:p>
    <w:p w:rsidR="00000000" w:rsidDel="00000000" w:rsidP="00000000" w:rsidRDefault="00000000" w:rsidRPr="00000000" w14:paraId="00000053">
      <w:pPr>
        <w:widowControl w:val="1"/>
        <w:spacing w:line="360" w:lineRule="auto"/>
        <w:ind w:firstLine="720"/>
        <w:jc w:val="both"/>
        <w:rPr>
          <w:sz w:val="24"/>
          <w:szCs w:val="24"/>
        </w:rPr>
      </w:pPr>
      <w:r w:rsidDel="00000000" w:rsidR="00000000" w:rsidRPr="00000000">
        <w:rPr>
          <w:sz w:val="24"/>
          <w:szCs w:val="24"/>
          <w:rtl w:val="0"/>
        </w:rPr>
        <w:t xml:space="preserve">As características dos lotes dos assentados do Ibicuí são formadas pelas informações sobre: quadro de áreas; benfeitorias; máquinas e equipamentos.</w:t>
      </w:r>
      <w:r w:rsidDel="00000000" w:rsidR="00000000" w:rsidRPr="00000000">
        <w:rPr>
          <w:rtl w:val="0"/>
        </w:rPr>
      </w:r>
    </w:p>
    <w:p w:rsidR="00000000" w:rsidDel="00000000" w:rsidP="00000000" w:rsidRDefault="00000000" w:rsidRPr="00000000" w14:paraId="00000054">
      <w:pPr>
        <w:widowControl w:val="1"/>
        <w:spacing w:line="360" w:lineRule="auto"/>
        <w:ind w:firstLine="720"/>
        <w:jc w:val="both"/>
        <w:rPr>
          <w:sz w:val="24"/>
          <w:szCs w:val="24"/>
        </w:rPr>
      </w:pPr>
      <w:r w:rsidDel="00000000" w:rsidR="00000000" w:rsidRPr="00000000">
        <w:rPr>
          <w:sz w:val="24"/>
          <w:szCs w:val="24"/>
          <w:rtl w:val="0"/>
        </w:rPr>
        <w:t xml:space="preserve">O quadro de áreas do assentamento Ibicuí é formado por cerca de 1.345,4 hectares que estão divididos ao longo dos 62 lotes do respectivo assentamento, divido da seguinte forma: plantio próprio; campo nativo; parceria familiar no lote; capoeira; banhado; mato nativo; floresta; parceria em área de terceiro; pastagem perene; arrendada de terceiros; área degradada e recursos hídricos. C</w:t>
      </w:r>
      <w:r w:rsidDel="00000000" w:rsidR="00000000" w:rsidRPr="00000000">
        <w:rPr>
          <w:sz w:val="24"/>
          <w:szCs w:val="24"/>
          <w:rtl w:val="0"/>
        </w:rPr>
        <w:t xml:space="preserve">erca de 615,5ha encontram-se disponíveis para o campo nativo, quantidade esta que representa cerca de 45,74% da área do assentamento.  Destaca-se também a área destinada para o plantio próprio, que corresponde a 357,2 ha e representa 26,54% da área total do assentamento. A disponibilidade hídrica dentro do assentamento é representada por apenas 0,</w:t>
      </w:r>
      <w:r w:rsidDel="00000000" w:rsidR="00000000" w:rsidRPr="00000000">
        <w:rPr>
          <w:sz w:val="24"/>
          <w:szCs w:val="24"/>
          <w:rtl w:val="0"/>
        </w:rPr>
        <w:t xml:space="preserve">5 ha, o que corresponde a cerca de 0,03% da área total deste (</w:t>
      </w:r>
      <w:r w:rsidDel="00000000" w:rsidR="00000000" w:rsidRPr="00000000">
        <w:rPr>
          <w:sz w:val="24"/>
          <w:szCs w:val="24"/>
          <w:rtl w:val="0"/>
        </w:rPr>
        <w:t xml:space="preserve">SIGRA</w:t>
      </w:r>
      <w:r w:rsidDel="00000000" w:rsidR="00000000" w:rsidRPr="00000000">
        <w:rPr>
          <w:sz w:val="24"/>
          <w:szCs w:val="24"/>
          <w:rtl w:val="0"/>
        </w:rPr>
        <w:t xml:space="preserve">, 2022). . </w:t>
      </w:r>
    </w:p>
    <w:p w:rsidR="00000000" w:rsidDel="00000000" w:rsidP="00000000" w:rsidRDefault="00000000" w:rsidRPr="00000000" w14:paraId="00000055">
      <w:pPr>
        <w:widowControl w:val="1"/>
        <w:spacing w:line="360" w:lineRule="auto"/>
        <w:ind w:firstLine="720"/>
        <w:jc w:val="both"/>
        <w:rPr>
          <w:sz w:val="24"/>
          <w:szCs w:val="24"/>
        </w:rPr>
      </w:pPr>
      <w:r w:rsidDel="00000000" w:rsidR="00000000" w:rsidRPr="00000000">
        <w:rPr>
          <w:sz w:val="24"/>
          <w:szCs w:val="24"/>
          <w:rtl w:val="0"/>
        </w:rPr>
        <w:t xml:space="preserve">A categoria dos r</w:t>
      </w:r>
      <w:r w:rsidDel="00000000" w:rsidR="00000000" w:rsidRPr="00000000">
        <w:rPr>
          <w:sz w:val="24"/>
          <w:szCs w:val="24"/>
          <w:rtl w:val="0"/>
        </w:rPr>
        <w:t xml:space="preserve">ecursos hídricos levou</w:t>
      </w:r>
      <w:r w:rsidDel="00000000" w:rsidR="00000000" w:rsidRPr="00000000">
        <w:rPr>
          <w:sz w:val="24"/>
          <w:szCs w:val="24"/>
          <w:rtl w:val="0"/>
        </w:rPr>
        <w:t xml:space="preserve"> em consideração sete categorias: riacho/rio; terras baixas; Nascente; Lote seco; Reserva &lt; </w:t>
      </w:r>
      <w:r w:rsidDel="00000000" w:rsidR="00000000" w:rsidRPr="00000000">
        <w:rPr>
          <w:sz w:val="24"/>
          <w:szCs w:val="24"/>
          <w:rtl w:val="0"/>
        </w:rPr>
        <w:t xml:space="preserve">100m²</w:t>
      </w:r>
      <w:r w:rsidDel="00000000" w:rsidR="00000000" w:rsidRPr="00000000">
        <w:rPr>
          <w:sz w:val="24"/>
          <w:szCs w:val="24"/>
          <w:rtl w:val="0"/>
        </w:rPr>
        <w:t xml:space="preserve">; Reserva </w:t>
      </w:r>
      <w:r w:rsidDel="00000000" w:rsidR="00000000" w:rsidRPr="00000000">
        <w:rPr>
          <w:sz w:val="24"/>
          <w:szCs w:val="24"/>
          <w:rtl w:val="0"/>
        </w:rPr>
        <w:t xml:space="preserve">100m²</w:t>
      </w:r>
      <w:r w:rsidDel="00000000" w:rsidR="00000000" w:rsidRPr="00000000">
        <w:rPr>
          <w:sz w:val="24"/>
          <w:szCs w:val="24"/>
          <w:rtl w:val="0"/>
        </w:rPr>
        <w:t xml:space="preserve"> &lt; </w:t>
      </w:r>
      <w:r w:rsidDel="00000000" w:rsidR="00000000" w:rsidRPr="00000000">
        <w:rPr>
          <w:sz w:val="24"/>
          <w:szCs w:val="24"/>
          <w:rtl w:val="0"/>
        </w:rPr>
        <w:t xml:space="preserve">1 ha</w:t>
      </w:r>
      <w:r w:rsidDel="00000000" w:rsidR="00000000" w:rsidRPr="00000000">
        <w:rPr>
          <w:sz w:val="24"/>
          <w:szCs w:val="24"/>
          <w:rtl w:val="0"/>
        </w:rPr>
        <w:t xml:space="preserve">; Reserva 1 ha &lt; 5 ha; Reserva &gt; 5 ha. Em 37 lotes, as famílias têm acesso ao riacho/rio, transformando esta variável no recurso mais acessado, indicando que cursos d’água superficiais são a principal fonte de água no assentamento. No caso das terras baixas 19 lotes têm acesso a este recurso e as nascentes são encontradas em 17 casos e  também são recursos relevantes, sugerindo certa diversidade de fontes hídricas naturais. Em 10 casos, os lotes não possuem recurso de água disponível, ou seja, sem acesso direto a recursos hídricos. As reservas legais com água aparecem em menor número e em áreas limitadas. O número reduzido de reservas maiores que 5 hectares é encontrado em apenas 3 lotes e aponta para baixa disponibilidade de grandes áreas preservadas com recursos hídricos, o que pode afetar a recarga hídrica e a biodiversidade local  (SIGRA, 2022). Por fim, destaca-se que o assentamento Ibicuí possui uma variedade diversa no acesso a rios e riachos, mas também com pontos críticos, como a existência de lotes secos e pequenas áreas de reserva.</w:t>
      </w:r>
    </w:p>
    <w:p w:rsidR="00000000" w:rsidDel="00000000" w:rsidP="00000000" w:rsidRDefault="00000000" w:rsidRPr="00000000" w14:paraId="00000056">
      <w:pPr>
        <w:widowControl w:val="1"/>
        <w:spacing w:line="360" w:lineRule="auto"/>
        <w:ind w:firstLine="720"/>
        <w:jc w:val="both"/>
        <w:rPr>
          <w:sz w:val="24"/>
          <w:szCs w:val="24"/>
        </w:rPr>
      </w:pPr>
      <w:r w:rsidDel="00000000" w:rsidR="00000000" w:rsidRPr="00000000">
        <w:rPr>
          <w:sz w:val="24"/>
          <w:szCs w:val="24"/>
          <w:rtl w:val="0"/>
        </w:rPr>
        <w:t xml:space="preserve">As benfeitorias </w:t>
      </w:r>
      <w:r w:rsidDel="00000000" w:rsidR="00000000" w:rsidRPr="00000000">
        <w:rPr>
          <w:sz w:val="24"/>
          <w:szCs w:val="24"/>
          <w:rtl w:val="0"/>
        </w:rPr>
        <w:t xml:space="preserve">realizadas nos lotes podem ser compreendidas como obras de melhoria das condições físicas nas dependências desses lotes, para tal foi definidas 8 categorias: galpão de uso geral; galpão de moradia; sala de ordenha; armazém; brete/mangueira/curral; galpão aberto; chiqueiro e galinheiro. No total houve cerca de 69 benfeitorias nos lotes do assentamento Ibicuí, destaca-se que em alguns lotes foram efetuadas benfeitorias em mais de um lugar. O maior índice de melhoria na categoria de galpão geral com construção em madeira (52 benfeitorias) e também benfeitorias na categoria de galpão de moradia com 7 intervenções nas construções  de madeira (SIGRA, 2022).</w:t>
      </w:r>
    </w:p>
    <w:p w:rsidR="00000000" w:rsidDel="00000000" w:rsidP="00000000" w:rsidRDefault="00000000" w:rsidRPr="00000000" w14:paraId="00000057">
      <w:pPr>
        <w:widowControl w:val="1"/>
        <w:spacing w:line="360" w:lineRule="auto"/>
        <w:ind w:firstLine="720"/>
        <w:jc w:val="both"/>
        <w:rPr>
          <w:sz w:val="24"/>
          <w:szCs w:val="24"/>
        </w:rPr>
      </w:pPr>
      <w:r w:rsidDel="00000000" w:rsidR="00000000" w:rsidRPr="00000000">
        <w:rPr>
          <w:sz w:val="24"/>
          <w:szCs w:val="24"/>
          <w:rtl w:val="0"/>
        </w:rPr>
        <w:t xml:space="preserve">Com relação às m</w:t>
      </w:r>
      <w:r w:rsidDel="00000000" w:rsidR="00000000" w:rsidRPr="00000000">
        <w:rPr>
          <w:sz w:val="24"/>
          <w:szCs w:val="24"/>
          <w:rtl w:val="0"/>
        </w:rPr>
        <w:t xml:space="preserve">áquinas e equipamentos </w:t>
      </w:r>
      <w:r w:rsidDel="00000000" w:rsidR="00000000" w:rsidRPr="00000000">
        <w:rPr>
          <w:sz w:val="24"/>
          <w:szCs w:val="24"/>
          <w:rtl w:val="0"/>
        </w:rPr>
        <w:t xml:space="preserve">utilizados nos lotes e moradias dos assentados do Ibicuí, totalizando 19 unidades com acesso a estes materiais. Entre as máquinas e equipamentos utilizados, no total das 62 famílias registadas, a carroça é a mais representativa, com 6 unidades, além disso, tem-se 4 tratores e 3 ordenhadeiras. Acrescenta-se ainda os 6 tipos restantes de máquinas e equipamentos, que equivalem a 31,58% do total (</w:t>
      </w:r>
      <w:r w:rsidDel="00000000" w:rsidR="00000000" w:rsidRPr="00000000">
        <w:rPr>
          <w:sz w:val="24"/>
          <w:szCs w:val="24"/>
          <w:rtl w:val="0"/>
        </w:rPr>
        <w:t xml:space="preserve">SIGRA</w:t>
      </w:r>
      <w:r w:rsidDel="00000000" w:rsidR="00000000" w:rsidRPr="00000000">
        <w:rPr>
          <w:sz w:val="24"/>
          <w:szCs w:val="24"/>
          <w:rtl w:val="0"/>
        </w:rPr>
        <w:t xml:space="preserve">, 2022).</w:t>
      </w:r>
    </w:p>
    <w:p w:rsidR="00000000" w:rsidDel="00000000" w:rsidP="00000000" w:rsidRDefault="00000000" w:rsidRPr="00000000" w14:paraId="00000058">
      <w:pPr>
        <w:widowControl w:val="1"/>
        <w:spacing w:line="360" w:lineRule="auto"/>
        <w:ind w:firstLine="720"/>
        <w:jc w:val="both"/>
        <w:rPr>
          <w:sz w:val="24"/>
          <w:szCs w:val="24"/>
        </w:rPr>
      </w:pPr>
      <w:r w:rsidDel="00000000" w:rsidR="00000000" w:rsidRPr="00000000">
        <w:rPr>
          <w:sz w:val="24"/>
          <w:szCs w:val="24"/>
          <w:rtl w:val="0"/>
        </w:rPr>
        <w:t xml:space="preserve">As características das produtivas dos lotes do assentado Ibicuí são formadas pelas informações sobre: </w:t>
      </w:r>
      <w:r w:rsidDel="00000000" w:rsidR="00000000" w:rsidRPr="00000000">
        <w:rPr>
          <w:rFonts w:ascii="Arial" w:cs="Arial" w:eastAsia="Arial" w:hAnsi="Arial"/>
          <w:sz w:val="24"/>
          <w:szCs w:val="24"/>
          <w:rtl w:val="0"/>
        </w:rPr>
        <w:t xml:space="preserve">bovinocultura de leite; </w:t>
      </w:r>
      <w:r w:rsidDel="00000000" w:rsidR="00000000" w:rsidRPr="00000000">
        <w:rPr>
          <w:sz w:val="24"/>
          <w:szCs w:val="24"/>
          <w:rtl w:val="0"/>
        </w:rPr>
        <w:t xml:space="preserve">bovinocultura de corte; suinocultura; avicultura; piscicultura; ovinocultura e/ou caprinocultura; apicultura; processamento de alimento e agroindústria; cultivos agrícolas.</w:t>
      </w:r>
    </w:p>
    <w:p w:rsidR="00000000" w:rsidDel="00000000" w:rsidP="00000000" w:rsidRDefault="00000000" w:rsidRPr="00000000" w14:paraId="00000059">
      <w:pPr>
        <w:widowControl w:val="1"/>
        <w:spacing w:after="0" w:before="0" w:line="360" w:lineRule="auto"/>
        <w:ind w:firstLine="720"/>
        <w:jc w:val="both"/>
        <w:rPr>
          <w:sz w:val="24"/>
          <w:szCs w:val="24"/>
        </w:rPr>
      </w:pPr>
      <w:r w:rsidDel="00000000" w:rsidR="00000000" w:rsidRPr="00000000">
        <w:rPr>
          <w:sz w:val="24"/>
          <w:szCs w:val="24"/>
          <w:rtl w:val="0"/>
        </w:rPr>
        <w:t xml:space="preserve">A categoria bovinocultura de leite trata sobre a produção e a quantidade comercializada. A produção de bovinocultura no assentamento Ibicuí está organizada seguindo 5 módulos de produção de leite dos bovinos.A atividade de criação de gado leiteiro estava presente em 73% das famílias do assentamento Ibicuí no ano de 2022.  </w:t>
      </w:r>
      <w:r w:rsidDel="00000000" w:rsidR="00000000" w:rsidRPr="00000000">
        <w:rPr>
          <w:sz w:val="24"/>
          <w:szCs w:val="24"/>
          <w:rtl w:val="0"/>
        </w:rPr>
        <w:t xml:space="preserve">O maior número de famílias produtoras de leite se enquadra no módulo correspondente a 12.000 L, demonstrando um baixo índice de produtividade por vaca/dia quando comparado com a média nacional 6,37 L/dia e estadual 12,62 L/dia. Apenas 2 famílias (30001 - 40000 L) ultrapassam com 7,69 L/dia a média nacional. O destino da produção e quantidade comercializada de leite dentro assentamento, onde cerca de 77% do leite produzido é entregue para a cooperativa, ponto primordial para o incentivo à produção de leite no local. Ao analisar os dados do assentamento Ibicuí com relação à produção leitura de gado , fica </w:t>
      </w:r>
      <w:r w:rsidDel="00000000" w:rsidR="00000000" w:rsidRPr="00000000">
        <w:rPr>
          <w:sz w:val="24"/>
          <w:szCs w:val="24"/>
          <w:rtl w:val="0"/>
        </w:rPr>
        <w:t xml:space="preserve">evidente</w:t>
      </w:r>
      <w:r w:rsidDel="00000000" w:rsidR="00000000" w:rsidRPr="00000000">
        <w:rPr>
          <w:sz w:val="24"/>
          <w:szCs w:val="24"/>
          <w:rtl w:val="0"/>
        </w:rPr>
        <w:t xml:space="preserve"> acima que o restante da produção, com maior relevância, é destinado para o autoconsumo das famílias (15%), uso no lote (5,9%) para alimentação de terneiros, processamento (2%) de produtos derivados do leite e o restante distribuído entre venda na propriedade e feira livre. </w:t>
      </w:r>
    </w:p>
    <w:p w:rsidR="00000000" w:rsidDel="00000000" w:rsidP="00000000" w:rsidRDefault="00000000" w:rsidRPr="00000000" w14:paraId="0000005A">
      <w:pPr>
        <w:widowControl w:val="1"/>
        <w:spacing w:after="0" w:before="0" w:line="360" w:lineRule="auto"/>
        <w:ind w:firstLine="720"/>
        <w:jc w:val="both"/>
        <w:rPr>
          <w:sz w:val="24"/>
          <w:szCs w:val="24"/>
        </w:rPr>
      </w:pPr>
      <w:r w:rsidDel="00000000" w:rsidR="00000000" w:rsidRPr="00000000">
        <w:rPr>
          <w:sz w:val="24"/>
          <w:szCs w:val="24"/>
          <w:rtl w:val="0"/>
        </w:rPr>
        <w:t xml:space="preserve">A categoria b</w:t>
      </w:r>
      <w:r w:rsidDel="00000000" w:rsidR="00000000" w:rsidRPr="00000000">
        <w:rPr>
          <w:b w:val="0"/>
          <w:sz w:val="24"/>
          <w:szCs w:val="24"/>
          <w:rtl w:val="0"/>
        </w:rPr>
        <w:t xml:space="preserve">ovinocultura de </w:t>
      </w:r>
      <w:r w:rsidDel="00000000" w:rsidR="00000000" w:rsidRPr="00000000">
        <w:rPr>
          <w:sz w:val="24"/>
          <w:szCs w:val="24"/>
          <w:rtl w:val="0"/>
        </w:rPr>
        <w:t xml:space="preserve">c</w:t>
      </w:r>
      <w:r w:rsidDel="00000000" w:rsidR="00000000" w:rsidRPr="00000000">
        <w:rPr>
          <w:b w:val="0"/>
          <w:sz w:val="24"/>
          <w:szCs w:val="24"/>
          <w:rtl w:val="0"/>
        </w:rPr>
        <w:t xml:space="preserve">orte</w:t>
      </w:r>
      <w:r w:rsidDel="00000000" w:rsidR="00000000" w:rsidRPr="00000000">
        <w:rPr>
          <w:sz w:val="24"/>
          <w:szCs w:val="24"/>
          <w:rtl w:val="0"/>
        </w:rPr>
        <w:t xml:space="preserve"> demonstra que do rebanho total produzido, 83% são destinados a comercialização e 17% direcionados ao autoconsumo das famílias do assentamento Ibicuí  (</w:t>
      </w:r>
      <w:r w:rsidDel="00000000" w:rsidR="00000000" w:rsidRPr="00000000">
        <w:rPr>
          <w:sz w:val="24"/>
          <w:szCs w:val="24"/>
          <w:rtl w:val="0"/>
        </w:rPr>
        <w:t xml:space="preserve">SIGRA</w:t>
      </w:r>
      <w:r w:rsidDel="00000000" w:rsidR="00000000" w:rsidRPr="00000000">
        <w:rPr>
          <w:sz w:val="24"/>
          <w:szCs w:val="24"/>
          <w:rtl w:val="0"/>
        </w:rPr>
        <w:t xml:space="preserve">, 2022). Já a categoria suinocultura demonstra que a maior parte das famílias tinha em seu rebanho o suíno para a produção voltada principalmente ao autoconsumo e a comercialização. Cerca de 44 famílias estão envolvidas na produção de suínos, sendo que destas, 30 famílias trabalham com o ciclo completo, 10 trabalham com a terminação e o restante são criadores de leitões. Destaca-se que a atividade de produção de suínos pelas famílias é dividida da seguinte forma: 56% das famílias utilizam a produção suína para o autoconsumo e 44% das famílias utilizam esta atividade para</w:t>
      </w:r>
      <w:r w:rsidDel="00000000" w:rsidR="00000000" w:rsidRPr="00000000">
        <w:rPr>
          <w:sz w:val="24"/>
          <w:szCs w:val="24"/>
          <w:rtl w:val="0"/>
        </w:rPr>
        <w:t xml:space="preserve"> a comercialização (</w:t>
      </w:r>
      <w:r w:rsidDel="00000000" w:rsidR="00000000" w:rsidRPr="00000000">
        <w:rPr>
          <w:sz w:val="24"/>
          <w:szCs w:val="24"/>
          <w:rtl w:val="0"/>
        </w:rPr>
        <w:t xml:space="preserve">SIGRA</w:t>
      </w:r>
      <w:r w:rsidDel="00000000" w:rsidR="00000000" w:rsidRPr="00000000">
        <w:rPr>
          <w:sz w:val="24"/>
          <w:szCs w:val="24"/>
          <w:rtl w:val="0"/>
        </w:rPr>
        <w:t xml:space="preserve">, 2022).</w:t>
      </w:r>
    </w:p>
    <w:p w:rsidR="00000000" w:rsidDel="00000000" w:rsidP="00000000" w:rsidRDefault="00000000" w:rsidRPr="00000000" w14:paraId="0000005B">
      <w:pPr>
        <w:widowControl w:val="1"/>
        <w:spacing w:after="0" w:before="0" w:line="360" w:lineRule="auto"/>
        <w:ind w:firstLine="720"/>
        <w:jc w:val="both"/>
        <w:rPr>
          <w:sz w:val="24"/>
          <w:szCs w:val="24"/>
        </w:rPr>
      </w:pPr>
      <w:r w:rsidDel="00000000" w:rsidR="00000000" w:rsidRPr="00000000">
        <w:rPr>
          <w:sz w:val="24"/>
          <w:szCs w:val="24"/>
          <w:rtl w:val="0"/>
        </w:rPr>
        <w:t xml:space="preserve">Na categoria avicultura quase não é possível observar a representatividade da cadeia produtiva avicultura. Entretanto , se observa grande a relevância do ovo para o autoconsumo e para a produção comercializada pelas famílias (</w:t>
      </w:r>
      <w:r w:rsidDel="00000000" w:rsidR="00000000" w:rsidRPr="00000000">
        <w:rPr>
          <w:sz w:val="24"/>
          <w:szCs w:val="24"/>
          <w:rtl w:val="0"/>
        </w:rPr>
        <w:t xml:space="preserve">SIGRA</w:t>
      </w:r>
      <w:r w:rsidDel="00000000" w:rsidR="00000000" w:rsidRPr="00000000">
        <w:rPr>
          <w:sz w:val="24"/>
          <w:szCs w:val="24"/>
          <w:rtl w:val="0"/>
        </w:rPr>
        <w:t xml:space="preserve">, 2022). A p</w:t>
      </w:r>
      <w:r w:rsidDel="00000000" w:rsidR="00000000" w:rsidRPr="00000000">
        <w:rPr>
          <w:sz w:val="24"/>
          <w:szCs w:val="24"/>
          <w:rtl w:val="0"/>
        </w:rPr>
        <w:t xml:space="preserve">iscicultura é destinada exclusivamente ao autoconsumo das famílias  (</w:t>
      </w:r>
      <w:r w:rsidDel="00000000" w:rsidR="00000000" w:rsidRPr="00000000">
        <w:rPr>
          <w:sz w:val="24"/>
          <w:szCs w:val="24"/>
          <w:rtl w:val="0"/>
        </w:rPr>
        <w:t xml:space="preserve">SIGRA</w:t>
      </w:r>
      <w:r w:rsidDel="00000000" w:rsidR="00000000" w:rsidRPr="00000000">
        <w:rPr>
          <w:sz w:val="24"/>
          <w:szCs w:val="24"/>
          <w:rtl w:val="0"/>
        </w:rPr>
        <w:t xml:space="preserve">, 2022). Na ovinocultura e/ou caprinocultura no assentamento do Ibicuí foi observado que apenas duas famílias no assentamento Ibicuí trabalhavam exclusivamente com ovin</w:t>
      </w:r>
      <w:r w:rsidDel="00000000" w:rsidR="00000000" w:rsidRPr="00000000">
        <w:rPr>
          <w:sz w:val="24"/>
          <w:szCs w:val="24"/>
          <w:rtl w:val="0"/>
        </w:rPr>
        <w:t xml:space="preserve">os, sendo que estas duas famílias utilizavam a atividade dos animais tanto para o autoconsumo e comercialização. Logo a produção de ovinos envolve duas famílias produtoras, com um rebanho de 34 cabeças, sendo que 92% da produção é destinada à com</w:t>
      </w:r>
      <w:r w:rsidDel="00000000" w:rsidR="00000000" w:rsidRPr="00000000">
        <w:rPr>
          <w:sz w:val="24"/>
          <w:szCs w:val="24"/>
          <w:rtl w:val="0"/>
        </w:rPr>
        <w:t xml:space="preserve">ercialização e o restante ao autoconsumo das famílias (</w:t>
      </w:r>
      <w:r w:rsidDel="00000000" w:rsidR="00000000" w:rsidRPr="00000000">
        <w:rPr>
          <w:sz w:val="24"/>
          <w:szCs w:val="24"/>
          <w:rtl w:val="0"/>
        </w:rPr>
        <w:t xml:space="preserve">SIGRA</w:t>
      </w:r>
      <w:r w:rsidDel="00000000" w:rsidR="00000000" w:rsidRPr="00000000">
        <w:rPr>
          <w:sz w:val="24"/>
          <w:szCs w:val="24"/>
          <w:rtl w:val="0"/>
        </w:rPr>
        <w:t xml:space="preserve">, 2022). Na categoria apicultura, se nota que o contingente de famílias que trabalham com a apicultura é de apenas uma família que possui uma produção significativa de 20 colmeias. Logo a  produção total de mel é de 777 kg com 37 colmeias, sendo que 90% desta produção é destin</w:t>
      </w:r>
      <w:r w:rsidDel="00000000" w:rsidR="00000000" w:rsidRPr="00000000">
        <w:rPr>
          <w:sz w:val="24"/>
          <w:szCs w:val="24"/>
          <w:rtl w:val="0"/>
        </w:rPr>
        <w:t xml:space="preserve">ada para a comercialização e 10% para o autoconsumo (</w:t>
      </w:r>
      <w:r w:rsidDel="00000000" w:rsidR="00000000" w:rsidRPr="00000000">
        <w:rPr>
          <w:sz w:val="24"/>
          <w:szCs w:val="24"/>
          <w:rtl w:val="0"/>
        </w:rPr>
        <w:t xml:space="preserve">SIGRA</w:t>
      </w:r>
      <w:r w:rsidDel="00000000" w:rsidR="00000000" w:rsidRPr="00000000">
        <w:rPr>
          <w:sz w:val="24"/>
          <w:szCs w:val="24"/>
          <w:rtl w:val="0"/>
        </w:rPr>
        <w:t xml:space="preserve">, 2022).</w:t>
      </w:r>
    </w:p>
    <w:p w:rsidR="00000000" w:rsidDel="00000000" w:rsidP="00000000" w:rsidRDefault="00000000" w:rsidRPr="00000000" w14:paraId="0000005C">
      <w:pPr>
        <w:widowControl w:val="1"/>
        <w:spacing w:line="360" w:lineRule="auto"/>
        <w:ind w:firstLine="720"/>
        <w:jc w:val="both"/>
        <w:rPr>
          <w:sz w:val="24"/>
          <w:szCs w:val="24"/>
        </w:rPr>
      </w:pPr>
      <w:r w:rsidDel="00000000" w:rsidR="00000000" w:rsidRPr="00000000">
        <w:rPr>
          <w:sz w:val="24"/>
          <w:szCs w:val="24"/>
          <w:rtl w:val="0"/>
        </w:rPr>
        <w:t xml:space="preserve">A categoria referente ao processamento de alimento e agroindústria </w:t>
      </w:r>
      <w:r w:rsidDel="00000000" w:rsidR="00000000" w:rsidRPr="00000000">
        <w:rPr>
          <w:sz w:val="24"/>
          <w:szCs w:val="24"/>
          <w:rtl w:val="0"/>
        </w:rPr>
        <w:t xml:space="preserve">no assentamento do Ibicuí, demonstra a partir de informações do banco de dados do SIGRA, a</w:t>
      </w:r>
      <w:r w:rsidDel="00000000" w:rsidR="00000000" w:rsidRPr="00000000">
        <w:rPr>
          <w:sz w:val="24"/>
          <w:szCs w:val="24"/>
          <w:rtl w:val="0"/>
        </w:rPr>
        <w:t xml:space="preserve"> diversidade de produtos artesanais e o processamento de alimentos. Com destaque para maior (43 famílias) parte dos produtos processados no assentamento são utilizados para o autoconsumo das famílias assentadas (</w:t>
      </w:r>
      <w:r w:rsidDel="00000000" w:rsidR="00000000" w:rsidRPr="00000000">
        <w:rPr>
          <w:sz w:val="24"/>
          <w:szCs w:val="24"/>
          <w:rtl w:val="0"/>
        </w:rPr>
        <w:t xml:space="preserve">SIGRA</w:t>
      </w:r>
      <w:r w:rsidDel="00000000" w:rsidR="00000000" w:rsidRPr="00000000">
        <w:rPr>
          <w:sz w:val="24"/>
          <w:szCs w:val="24"/>
          <w:rtl w:val="0"/>
        </w:rPr>
        <w:t xml:space="preserve">, 2022). </w:t>
      </w:r>
    </w:p>
    <w:p w:rsidR="00000000" w:rsidDel="00000000" w:rsidP="00000000" w:rsidRDefault="00000000" w:rsidRPr="00000000" w14:paraId="0000005D">
      <w:pPr>
        <w:widowControl w:val="1"/>
        <w:spacing w:line="360" w:lineRule="auto"/>
        <w:ind w:firstLine="720"/>
        <w:jc w:val="both"/>
        <w:rPr>
          <w:sz w:val="24"/>
          <w:szCs w:val="24"/>
        </w:rPr>
      </w:pPr>
      <w:r w:rsidDel="00000000" w:rsidR="00000000" w:rsidRPr="00000000">
        <w:rPr>
          <w:sz w:val="24"/>
          <w:szCs w:val="24"/>
          <w:rtl w:val="0"/>
        </w:rPr>
        <w:t xml:space="preserve">Na categoria dos cultivos agrícolas, é possível observar a diversidade nos cultivares dentro do assentamento, que é composto pelas seguintes culturas agrícolas: abóbora; amendoim; arroz; batata doce; feijão; mandioca; milho; policultivo e soja.</w:t>
      </w:r>
    </w:p>
    <w:p w:rsidR="00000000" w:rsidDel="00000000" w:rsidP="00000000" w:rsidRDefault="00000000" w:rsidRPr="00000000" w14:paraId="0000005E">
      <w:pPr>
        <w:widowControl w:val="1"/>
        <w:rPr>
          <w:rFonts w:ascii="Arial" w:cs="Arial" w:eastAsia="Arial" w:hAnsi="Arial"/>
        </w:rPr>
      </w:pPr>
      <w:bookmarkStart w:colFirst="0" w:colLast="0" w:name="_heading=h.1f7o1he" w:id="1"/>
      <w:bookmarkEnd w:id="1"/>
      <w:r w:rsidDel="00000000" w:rsidR="00000000" w:rsidRPr="00000000">
        <w:rPr>
          <w:rFonts w:ascii="Arial" w:cs="Arial" w:eastAsia="Arial" w:hAnsi="Arial"/>
          <w:rtl w:val="0"/>
        </w:rPr>
        <w:t xml:space="preserve">Tabela 1 - Caracterização dos cultivos do assentamento Ibicuí</w:t>
      </w:r>
    </w:p>
    <w:sdt>
      <w:sdtPr>
        <w:lock w:val="contentLocked"/>
        <w:tag w:val="goog_rdk_3"/>
      </w:sdtPr>
      <w:sdtContent>
        <w:tbl>
          <w:tblPr>
            <w:tblStyle w:val="Table4"/>
            <w:tblW w:w="91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1395"/>
            <w:gridCol w:w="1695"/>
            <w:gridCol w:w="2385"/>
            <w:gridCol w:w="1875"/>
            <w:tblGridChange w:id="0">
              <w:tblGrid>
                <w:gridCol w:w="1770"/>
                <w:gridCol w:w="1395"/>
                <w:gridCol w:w="1695"/>
                <w:gridCol w:w="2385"/>
                <w:gridCol w:w="1875"/>
              </w:tblGrid>
            </w:tblGridChange>
          </w:tblGrid>
          <w:tr>
            <w:trPr>
              <w:cantSplit w:val="0"/>
              <w:tblHeader w:val="0"/>
            </w:trPr>
            <w:tc>
              <w:tcPr>
                <w:tcBorders>
                  <w:left w:color="000000" w:space="0" w:sz="0" w:val="nil"/>
                  <w:right w:color="000000" w:space="0" w:sz="0" w:val="nil"/>
                </w:tcBorders>
              </w:tcPr>
              <w:p w:rsidR="00000000" w:rsidDel="00000000" w:rsidP="00000000" w:rsidRDefault="00000000" w:rsidRPr="00000000" w14:paraId="0000005F">
                <w:pPr>
                  <w:ind w:right="4" w:hanging="2"/>
                  <w:rPr>
                    <w:b w:val="1"/>
                    <w:sz w:val="20"/>
                    <w:szCs w:val="20"/>
                  </w:rPr>
                </w:pPr>
                <w:r w:rsidDel="00000000" w:rsidR="00000000" w:rsidRPr="00000000">
                  <w:rPr>
                    <w:b w:val="1"/>
                    <w:sz w:val="20"/>
                    <w:szCs w:val="20"/>
                    <w:rtl w:val="0"/>
                  </w:rPr>
                  <w:t xml:space="preserve">Tipo de Cultivo</w:t>
                </w:r>
              </w:p>
            </w:tc>
            <w:tc>
              <w:tcPr>
                <w:tcBorders>
                  <w:left w:color="000000" w:space="0" w:sz="0" w:val="nil"/>
                  <w:right w:color="000000" w:space="0" w:sz="0" w:val="nil"/>
                </w:tcBorders>
              </w:tcPr>
              <w:p w:rsidR="00000000" w:rsidDel="00000000" w:rsidP="00000000" w:rsidRDefault="00000000" w:rsidRPr="00000000" w14:paraId="00000060">
                <w:pPr>
                  <w:ind w:right="4" w:hanging="2"/>
                  <w:jc w:val="center"/>
                  <w:rPr>
                    <w:b w:val="1"/>
                    <w:sz w:val="20"/>
                    <w:szCs w:val="20"/>
                  </w:rPr>
                </w:pPr>
                <w:r w:rsidDel="00000000" w:rsidR="00000000" w:rsidRPr="00000000">
                  <w:rPr>
                    <w:b w:val="1"/>
                    <w:sz w:val="20"/>
                    <w:szCs w:val="20"/>
                    <w:rtl w:val="0"/>
                  </w:rPr>
                  <w:t xml:space="preserve">Número de Famílias</w:t>
                </w:r>
              </w:p>
            </w:tc>
            <w:tc>
              <w:tcPr>
                <w:tcBorders>
                  <w:left w:color="000000" w:space="0" w:sz="0" w:val="nil"/>
                  <w:right w:color="000000" w:space="0" w:sz="0" w:val="nil"/>
                </w:tcBorders>
              </w:tcPr>
              <w:p w:rsidR="00000000" w:rsidDel="00000000" w:rsidP="00000000" w:rsidRDefault="00000000" w:rsidRPr="00000000" w14:paraId="00000061">
                <w:pPr>
                  <w:ind w:right="4" w:hanging="2"/>
                  <w:jc w:val="center"/>
                  <w:rPr>
                    <w:b w:val="1"/>
                    <w:sz w:val="20"/>
                    <w:szCs w:val="20"/>
                  </w:rPr>
                </w:pPr>
                <w:r w:rsidDel="00000000" w:rsidR="00000000" w:rsidRPr="00000000">
                  <w:rPr>
                    <w:b w:val="1"/>
                    <w:sz w:val="20"/>
                    <w:szCs w:val="20"/>
                    <w:rtl w:val="0"/>
                  </w:rPr>
                  <w:t xml:space="preserve">Autoconsumo (kg)</w:t>
                </w:r>
              </w:p>
            </w:tc>
            <w:tc>
              <w:tcPr>
                <w:tcBorders>
                  <w:left w:color="000000" w:space="0" w:sz="0" w:val="nil"/>
                  <w:right w:color="000000" w:space="0" w:sz="0" w:val="nil"/>
                </w:tcBorders>
              </w:tcPr>
              <w:p w:rsidR="00000000" w:rsidDel="00000000" w:rsidP="00000000" w:rsidRDefault="00000000" w:rsidRPr="00000000" w14:paraId="00000062">
                <w:pPr>
                  <w:ind w:right="4" w:hanging="2"/>
                  <w:jc w:val="center"/>
                  <w:rPr>
                    <w:b w:val="1"/>
                    <w:sz w:val="20"/>
                    <w:szCs w:val="20"/>
                  </w:rPr>
                </w:pPr>
                <w:r w:rsidDel="00000000" w:rsidR="00000000" w:rsidRPr="00000000">
                  <w:rPr>
                    <w:b w:val="1"/>
                    <w:sz w:val="20"/>
                    <w:szCs w:val="20"/>
                    <w:rtl w:val="0"/>
                  </w:rPr>
                  <w:t xml:space="preserve">Comercialização (kg)</w:t>
                </w:r>
              </w:p>
            </w:tc>
            <w:tc>
              <w:tcPr>
                <w:tcBorders>
                  <w:left w:color="000000" w:space="0" w:sz="0" w:val="nil"/>
                  <w:right w:color="000000" w:space="0" w:sz="0" w:val="nil"/>
                </w:tcBorders>
              </w:tcPr>
              <w:p w:rsidR="00000000" w:rsidDel="00000000" w:rsidP="00000000" w:rsidRDefault="00000000" w:rsidRPr="00000000" w14:paraId="00000063">
                <w:pPr>
                  <w:ind w:right="4" w:hanging="2"/>
                  <w:jc w:val="center"/>
                  <w:rPr>
                    <w:b w:val="1"/>
                    <w:sz w:val="20"/>
                    <w:szCs w:val="20"/>
                  </w:rPr>
                </w:pPr>
                <w:r w:rsidDel="00000000" w:rsidR="00000000" w:rsidRPr="00000000">
                  <w:rPr>
                    <w:b w:val="1"/>
                    <w:sz w:val="20"/>
                    <w:szCs w:val="20"/>
                    <w:rtl w:val="0"/>
                  </w:rPr>
                  <w:t xml:space="preserve">Produção Total (kg)</w:t>
                </w:r>
              </w:p>
            </w:tc>
          </w:tr>
          <w:tr>
            <w:trPr>
              <w:cantSplit w:val="0"/>
              <w:tblHeader w:val="0"/>
            </w:trPr>
            <w:tc>
              <w:tcPr>
                <w:tcBorders>
                  <w:left w:color="000000" w:space="0" w:sz="0" w:val="nil"/>
                  <w:right w:color="000000" w:space="0" w:sz="0" w:val="nil"/>
                </w:tcBorders>
              </w:tcPr>
              <w:p w:rsidR="00000000" w:rsidDel="00000000" w:rsidP="00000000" w:rsidRDefault="00000000" w:rsidRPr="00000000" w14:paraId="00000064">
                <w:pPr>
                  <w:ind w:right="4" w:hanging="2"/>
                  <w:rPr>
                    <w:sz w:val="20"/>
                    <w:szCs w:val="20"/>
                  </w:rPr>
                </w:pPr>
                <w:r w:rsidDel="00000000" w:rsidR="00000000" w:rsidRPr="00000000">
                  <w:rPr>
                    <w:sz w:val="20"/>
                    <w:szCs w:val="20"/>
                    <w:rtl w:val="0"/>
                  </w:rPr>
                  <w:t xml:space="preserve">Abóbora</w:t>
                </w:r>
              </w:p>
            </w:tc>
            <w:tc>
              <w:tcPr>
                <w:tcBorders>
                  <w:left w:color="000000" w:space="0" w:sz="0" w:val="nil"/>
                  <w:right w:color="000000" w:space="0" w:sz="0" w:val="nil"/>
                </w:tcBorders>
              </w:tcPr>
              <w:p w:rsidR="00000000" w:rsidDel="00000000" w:rsidP="00000000" w:rsidRDefault="00000000" w:rsidRPr="00000000" w14:paraId="00000065">
                <w:pPr>
                  <w:ind w:right="4" w:hanging="2"/>
                  <w:jc w:val="center"/>
                  <w:rPr>
                    <w:sz w:val="20"/>
                    <w:szCs w:val="20"/>
                  </w:rPr>
                </w:pPr>
                <w:r w:rsidDel="00000000" w:rsidR="00000000" w:rsidRPr="00000000">
                  <w:rPr>
                    <w:sz w:val="20"/>
                    <w:szCs w:val="20"/>
                    <w:rtl w:val="0"/>
                  </w:rPr>
                  <w:t xml:space="preserve">4</w:t>
                </w:r>
              </w:p>
            </w:tc>
            <w:tc>
              <w:tcPr>
                <w:tcBorders>
                  <w:left w:color="000000" w:space="0" w:sz="0" w:val="nil"/>
                  <w:right w:color="000000" w:space="0" w:sz="0" w:val="nil"/>
                </w:tcBorders>
              </w:tcPr>
              <w:p w:rsidR="00000000" w:rsidDel="00000000" w:rsidP="00000000" w:rsidRDefault="00000000" w:rsidRPr="00000000" w14:paraId="00000066">
                <w:pPr>
                  <w:widowControl w:val="1"/>
                  <w:ind w:right="4" w:hanging="2"/>
                  <w:jc w:val="center"/>
                  <w:rPr>
                    <w:sz w:val="20"/>
                    <w:szCs w:val="20"/>
                  </w:rPr>
                </w:pPr>
                <w:r w:rsidDel="00000000" w:rsidR="00000000" w:rsidRPr="00000000">
                  <w:rPr>
                    <w:sz w:val="20"/>
                    <w:szCs w:val="20"/>
                    <w:rtl w:val="0"/>
                  </w:rPr>
                  <w:t xml:space="preserve">1115</w:t>
                </w:r>
              </w:p>
            </w:tc>
            <w:tc>
              <w:tcPr>
                <w:tcBorders>
                  <w:left w:color="000000" w:space="0" w:sz="0" w:val="nil"/>
                  <w:right w:color="000000" w:space="0" w:sz="0" w:val="nil"/>
                </w:tcBorders>
              </w:tcPr>
              <w:p w:rsidR="00000000" w:rsidDel="00000000" w:rsidP="00000000" w:rsidRDefault="00000000" w:rsidRPr="00000000" w14:paraId="00000067">
                <w:pPr>
                  <w:widowControl w:val="1"/>
                  <w:ind w:right="4" w:hanging="2"/>
                  <w:jc w:val="center"/>
                  <w:rPr>
                    <w:sz w:val="20"/>
                    <w:szCs w:val="20"/>
                  </w:rPr>
                </w:pPr>
                <w:r w:rsidDel="00000000" w:rsidR="00000000" w:rsidRPr="00000000">
                  <w:rPr>
                    <w:sz w:val="20"/>
                    <w:szCs w:val="20"/>
                    <w:rtl w:val="0"/>
                  </w:rPr>
                  <w:t xml:space="preserve">1950</w:t>
                </w:r>
              </w:p>
            </w:tc>
            <w:tc>
              <w:tcPr>
                <w:tcBorders>
                  <w:left w:color="000000" w:space="0" w:sz="0" w:val="nil"/>
                  <w:right w:color="000000" w:space="0" w:sz="0" w:val="nil"/>
                </w:tcBorders>
              </w:tcPr>
              <w:p w:rsidR="00000000" w:rsidDel="00000000" w:rsidP="00000000" w:rsidRDefault="00000000" w:rsidRPr="00000000" w14:paraId="00000068">
                <w:pPr>
                  <w:widowControl w:val="1"/>
                  <w:ind w:right="4" w:hanging="2"/>
                  <w:jc w:val="center"/>
                  <w:rPr>
                    <w:sz w:val="20"/>
                    <w:szCs w:val="20"/>
                  </w:rPr>
                </w:pPr>
                <w:r w:rsidDel="00000000" w:rsidR="00000000" w:rsidRPr="00000000">
                  <w:rPr>
                    <w:sz w:val="20"/>
                    <w:szCs w:val="20"/>
                    <w:rtl w:val="0"/>
                  </w:rPr>
                  <w:t xml:space="preserve">2350</w:t>
                </w:r>
              </w:p>
            </w:tc>
          </w:tr>
          <w:tr>
            <w:trPr>
              <w:cantSplit w:val="0"/>
              <w:tblHeader w:val="0"/>
            </w:trPr>
            <w:tc>
              <w:tcPr>
                <w:tcBorders>
                  <w:left w:color="000000" w:space="0" w:sz="0" w:val="nil"/>
                  <w:right w:color="000000" w:space="0" w:sz="0" w:val="nil"/>
                </w:tcBorders>
              </w:tcPr>
              <w:p w:rsidR="00000000" w:rsidDel="00000000" w:rsidP="00000000" w:rsidRDefault="00000000" w:rsidRPr="00000000" w14:paraId="00000069">
                <w:pPr>
                  <w:ind w:right="4" w:hanging="2"/>
                  <w:rPr>
                    <w:sz w:val="20"/>
                    <w:szCs w:val="20"/>
                  </w:rPr>
                </w:pPr>
                <w:r w:rsidDel="00000000" w:rsidR="00000000" w:rsidRPr="00000000">
                  <w:rPr>
                    <w:sz w:val="20"/>
                    <w:szCs w:val="20"/>
                    <w:rtl w:val="0"/>
                  </w:rPr>
                  <w:t xml:space="preserve">Amendoim</w:t>
                </w:r>
              </w:p>
            </w:tc>
            <w:tc>
              <w:tcPr>
                <w:tcBorders>
                  <w:left w:color="000000" w:space="0" w:sz="0" w:val="nil"/>
                  <w:right w:color="000000" w:space="0" w:sz="0" w:val="nil"/>
                </w:tcBorders>
              </w:tcPr>
              <w:p w:rsidR="00000000" w:rsidDel="00000000" w:rsidP="00000000" w:rsidRDefault="00000000" w:rsidRPr="00000000" w14:paraId="0000006A">
                <w:pPr>
                  <w:ind w:right="4" w:hanging="2"/>
                  <w:jc w:val="center"/>
                  <w:rPr>
                    <w:sz w:val="20"/>
                    <w:szCs w:val="20"/>
                  </w:rPr>
                </w:pPr>
                <w:r w:rsidDel="00000000" w:rsidR="00000000" w:rsidRPr="00000000">
                  <w:rPr>
                    <w:sz w:val="20"/>
                    <w:szCs w:val="20"/>
                    <w:rtl w:val="0"/>
                  </w:rPr>
                  <w:t xml:space="preserve">2</w:t>
                </w:r>
              </w:p>
            </w:tc>
            <w:tc>
              <w:tcPr>
                <w:tcBorders>
                  <w:left w:color="000000" w:space="0" w:sz="0" w:val="nil"/>
                  <w:right w:color="000000" w:space="0" w:sz="0" w:val="nil"/>
                </w:tcBorders>
              </w:tcPr>
              <w:p w:rsidR="00000000" w:rsidDel="00000000" w:rsidP="00000000" w:rsidRDefault="00000000" w:rsidRPr="00000000" w14:paraId="0000006B">
                <w:pPr>
                  <w:widowControl w:val="1"/>
                  <w:ind w:right="4" w:hanging="2"/>
                  <w:jc w:val="center"/>
                  <w:rPr>
                    <w:sz w:val="20"/>
                    <w:szCs w:val="20"/>
                  </w:rPr>
                </w:pPr>
                <w:r w:rsidDel="00000000" w:rsidR="00000000" w:rsidRPr="00000000">
                  <w:rPr>
                    <w:sz w:val="20"/>
                    <w:szCs w:val="20"/>
                    <w:rtl w:val="0"/>
                  </w:rPr>
                  <w:t xml:space="preserve">65</w:t>
                </w:r>
              </w:p>
            </w:tc>
            <w:tc>
              <w:tcPr>
                <w:tcBorders>
                  <w:left w:color="000000" w:space="0" w:sz="0" w:val="nil"/>
                  <w:right w:color="000000" w:space="0" w:sz="0" w:val="nil"/>
                </w:tcBorders>
              </w:tcPr>
              <w:p w:rsidR="00000000" w:rsidDel="00000000" w:rsidP="00000000" w:rsidRDefault="00000000" w:rsidRPr="00000000" w14:paraId="0000006C">
                <w:pPr>
                  <w:widowControl w:val="1"/>
                  <w:ind w:right="4" w:hanging="2"/>
                  <w:jc w:val="center"/>
                  <w:rPr>
                    <w:sz w:val="20"/>
                    <w:szCs w:val="20"/>
                  </w:rPr>
                </w:pPr>
                <w:r w:rsidDel="00000000" w:rsidR="00000000" w:rsidRPr="00000000">
                  <w:rPr>
                    <w:sz w:val="20"/>
                    <w:szCs w:val="20"/>
                    <w:rtl w:val="0"/>
                  </w:rPr>
                  <w:t xml:space="preserve">200</w:t>
                </w:r>
              </w:p>
            </w:tc>
            <w:tc>
              <w:tcPr>
                <w:tcBorders>
                  <w:left w:color="000000" w:space="0" w:sz="0" w:val="nil"/>
                  <w:right w:color="000000" w:space="0" w:sz="0" w:val="nil"/>
                </w:tcBorders>
              </w:tcPr>
              <w:p w:rsidR="00000000" w:rsidDel="00000000" w:rsidP="00000000" w:rsidRDefault="00000000" w:rsidRPr="00000000" w14:paraId="0000006D">
                <w:pPr>
                  <w:widowControl w:val="1"/>
                  <w:ind w:right="4" w:hanging="2"/>
                  <w:jc w:val="center"/>
                  <w:rPr>
                    <w:sz w:val="20"/>
                    <w:szCs w:val="20"/>
                  </w:rPr>
                </w:pPr>
                <w:r w:rsidDel="00000000" w:rsidR="00000000" w:rsidRPr="00000000">
                  <w:rPr>
                    <w:sz w:val="20"/>
                    <w:szCs w:val="20"/>
                    <w:rtl w:val="0"/>
                  </w:rPr>
                  <w:t xml:space="preserve">300</w:t>
                </w:r>
              </w:p>
            </w:tc>
          </w:tr>
          <w:tr>
            <w:trPr>
              <w:cantSplit w:val="0"/>
              <w:tblHeader w:val="0"/>
            </w:trPr>
            <w:tc>
              <w:tcPr>
                <w:tcBorders>
                  <w:left w:color="000000" w:space="0" w:sz="0" w:val="nil"/>
                  <w:right w:color="000000" w:space="0" w:sz="0" w:val="nil"/>
                </w:tcBorders>
              </w:tcPr>
              <w:p w:rsidR="00000000" w:rsidDel="00000000" w:rsidP="00000000" w:rsidRDefault="00000000" w:rsidRPr="00000000" w14:paraId="0000006E">
                <w:pPr>
                  <w:ind w:right="4" w:hanging="2"/>
                  <w:rPr>
                    <w:sz w:val="20"/>
                    <w:szCs w:val="20"/>
                  </w:rPr>
                </w:pPr>
                <w:r w:rsidDel="00000000" w:rsidR="00000000" w:rsidRPr="00000000">
                  <w:rPr>
                    <w:sz w:val="20"/>
                    <w:szCs w:val="20"/>
                    <w:rtl w:val="0"/>
                  </w:rPr>
                  <w:t xml:space="preserve">Arroz</w:t>
                </w:r>
              </w:p>
            </w:tc>
            <w:tc>
              <w:tcPr>
                <w:tcBorders>
                  <w:left w:color="000000" w:space="0" w:sz="0" w:val="nil"/>
                  <w:right w:color="000000" w:space="0" w:sz="0" w:val="nil"/>
                </w:tcBorders>
              </w:tcPr>
              <w:p w:rsidR="00000000" w:rsidDel="00000000" w:rsidP="00000000" w:rsidRDefault="00000000" w:rsidRPr="00000000" w14:paraId="0000006F">
                <w:pPr>
                  <w:ind w:right="4" w:hanging="2"/>
                  <w:jc w:val="center"/>
                  <w:rPr>
                    <w:sz w:val="20"/>
                    <w:szCs w:val="20"/>
                  </w:rPr>
                </w:pPr>
                <w:r w:rsidDel="00000000" w:rsidR="00000000" w:rsidRPr="00000000">
                  <w:rPr>
                    <w:sz w:val="20"/>
                    <w:szCs w:val="20"/>
                    <w:rtl w:val="0"/>
                  </w:rPr>
                  <w:t xml:space="preserve">1</w:t>
                </w:r>
              </w:p>
            </w:tc>
            <w:tc>
              <w:tcPr>
                <w:tcBorders>
                  <w:left w:color="000000" w:space="0" w:sz="0" w:val="nil"/>
                  <w:right w:color="000000" w:space="0" w:sz="0" w:val="nil"/>
                </w:tcBorders>
              </w:tcPr>
              <w:p w:rsidR="00000000" w:rsidDel="00000000" w:rsidP="00000000" w:rsidRDefault="00000000" w:rsidRPr="00000000" w14:paraId="00000070">
                <w:pPr>
                  <w:widowControl w:val="1"/>
                  <w:ind w:right="4" w:hanging="2"/>
                  <w:jc w:val="center"/>
                  <w:rPr>
                    <w:sz w:val="20"/>
                    <w:szCs w:val="20"/>
                  </w:rPr>
                </w:pPr>
                <w:r w:rsidDel="00000000" w:rsidR="00000000" w:rsidRPr="00000000">
                  <w:rPr>
                    <w:sz w:val="20"/>
                    <w:szCs w:val="20"/>
                    <w:rtl w:val="0"/>
                  </w:rPr>
                  <w:t xml:space="preserve">1500</w:t>
                </w:r>
              </w:p>
            </w:tc>
            <w:tc>
              <w:tcPr>
                <w:tcBorders>
                  <w:left w:color="000000" w:space="0" w:sz="0" w:val="nil"/>
                  <w:right w:color="000000" w:space="0" w:sz="0" w:val="nil"/>
                </w:tcBorders>
              </w:tcPr>
              <w:p w:rsidR="00000000" w:rsidDel="00000000" w:rsidP="00000000" w:rsidRDefault="00000000" w:rsidRPr="00000000" w14:paraId="00000071">
                <w:pPr>
                  <w:widowControl w:val="1"/>
                  <w:ind w:right="4" w:hanging="2"/>
                  <w:jc w:val="center"/>
                  <w:rPr>
                    <w:sz w:val="20"/>
                    <w:szCs w:val="20"/>
                  </w:rPr>
                </w:pPr>
                <w:r w:rsidDel="00000000" w:rsidR="00000000" w:rsidRPr="00000000">
                  <w:rPr>
                    <w:sz w:val="20"/>
                    <w:szCs w:val="20"/>
                    <w:rtl w:val="0"/>
                  </w:rPr>
                  <w:t xml:space="preserve">0</w:t>
                </w:r>
              </w:p>
            </w:tc>
            <w:tc>
              <w:tcPr>
                <w:tcBorders>
                  <w:left w:color="000000" w:space="0" w:sz="0" w:val="nil"/>
                  <w:right w:color="000000" w:space="0" w:sz="0" w:val="nil"/>
                </w:tcBorders>
              </w:tcPr>
              <w:p w:rsidR="00000000" w:rsidDel="00000000" w:rsidP="00000000" w:rsidRDefault="00000000" w:rsidRPr="00000000" w14:paraId="00000072">
                <w:pPr>
                  <w:widowControl w:val="1"/>
                  <w:ind w:right="4" w:hanging="2"/>
                  <w:jc w:val="center"/>
                  <w:rPr>
                    <w:sz w:val="20"/>
                    <w:szCs w:val="20"/>
                  </w:rPr>
                </w:pPr>
                <w:r w:rsidDel="00000000" w:rsidR="00000000" w:rsidRPr="00000000">
                  <w:rPr>
                    <w:sz w:val="20"/>
                    <w:szCs w:val="20"/>
                    <w:rtl w:val="0"/>
                  </w:rPr>
                  <w:t xml:space="preserve">1500</w:t>
                </w:r>
              </w:p>
            </w:tc>
          </w:tr>
          <w:tr>
            <w:trPr>
              <w:cantSplit w:val="0"/>
              <w:tblHeader w:val="0"/>
            </w:trPr>
            <w:tc>
              <w:tcPr>
                <w:tcBorders>
                  <w:left w:color="000000" w:space="0" w:sz="0" w:val="nil"/>
                  <w:right w:color="000000" w:space="0" w:sz="0" w:val="nil"/>
                </w:tcBorders>
              </w:tcPr>
              <w:p w:rsidR="00000000" w:rsidDel="00000000" w:rsidP="00000000" w:rsidRDefault="00000000" w:rsidRPr="00000000" w14:paraId="00000073">
                <w:pPr>
                  <w:ind w:right="4" w:hanging="2"/>
                  <w:rPr>
                    <w:sz w:val="20"/>
                    <w:szCs w:val="20"/>
                  </w:rPr>
                </w:pPr>
                <w:r w:rsidDel="00000000" w:rsidR="00000000" w:rsidRPr="00000000">
                  <w:rPr>
                    <w:sz w:val="20"/>
                    <w:szCs w:val="20"/>
                    <w:rtl w:val="0"/>
                  </w:rPr>
                  <w:t xml:space="preserve">Batata doce</w:t>
                </w:r>
              </w:p>
            </w:tc>
            <w:tc>
              <w:tcPr>
                <w:tcBorders>
                  <w:left w:color="000000" w:space="0" w:sz="0" w:val="nil"/>
                  <w:right w:color="000000" w:space="0" w:sz="0" w:val="nil"/>
                </w:tcBorders>
              </w:tcPr>
              <w:p w:rsidR="00000000" w:rsidDel="00000000" w:rsidP="00000000" w:rsidRDefault="00000000" w:rsidRPr="00000000" w14:paraId="00000074">
                <w:pPr>
                  <w:ind w:right="4" w:hanging="2"/>
                  <w:jc w:val="center"/>
                  <w:rPr>
                    <w:sz w:val="20"/>
                    <w:szCs w:val="20"/>
                  </w:rPr>
                </w:pPr>
                <w:r w:rsidDel="00000000" w:rsidR="00000000" w:rsidRPr="00000000">
                  <w:rPr>
                    <w:sz w:val="20"/>
                    <w:szCs w:val="20"/>
                    <w:rtl w:val="0"/>
                  </w:rPr>
                  <w:t xml:space="preserve">6</w:t>
                </w:r>
              </w:p>
            </w:tc>
            <w:tc>
              <w:tcPr>
                <w:tcBorders>
                  <w:left w:color="000000" w:space="0" w:sz="0" w:val="nil"/>
                  <w:right w:color="000000" w:space="0" w:sz="0" w:val="nil"/>
                </w:tcBorders>
              </w:tcPr>
              <w:p w:rsidR="00000000" w:rsidDel="00000000" w:rsidP="00000000" w:rsidRDefault="00000000" w:rsidRPr="00000000" w14:paraId="00000075">
                <w:pPr>
                  <w:widowControl w:val="1"/>
                  <w:ind w:right="4" w:hanging="2"/>
                  <w:jc w:val="center"/>
                  <w:rPr>
                    <w:sz w:val="20"/>
                    <w:szCs w:val="20"/>
                  </w:rPr>
                </w:pPr>
                <w:r w:rsidDel="00000000" w:rsidR="00000000" w:rsidRPr="00000000">
                  <w:rPr>
                    <w:sz w:val="20"/>
                    <w:szCs w:val="20"/>
                    <w:rtl w:val="0"/>
                  </w:rPr>
                  <w:t xml:space="preserve">560</w:t>
                </w:r>
              </w:p>
            </w:tc>
            <w:tc>
              <w:tcPr>
                <w:tcBorders>
                  <w:left w:color="000000" w:space="0" w:sz="0" w:val="nil"/>
                  <w:right w:color="000000" w:space="0" w:sz="0" w:val="nil"/>
                </w:tcBorders>
              </w:tcPr>
              <w:p w:rsidR="00000000" w:rsidDel="00000000" w:rsidP="00000000" w:rsidRDefault="00000000" w:rsidRPr="00000000" w14:paraId="00000076">
                <w:pPr>
                  <w:widowControl w:val="1"/>
                  <w:ind w:right="4" w:hanging="2"/>
                  <w:jc w:val="center"/>
                  <w:rPr>
                    <w:sz w:val="20"/>
                    <w:szCs w:val="20"/>
                  </w:rPr>
                </w:pPr>
                <w:r w:rsidDel="00000000" w:rsidR="00000000" w:rsidRPr="00000000">
                  <w:rPr>
                    <w:sz w:val="20"/>
                    <w:szCs w:val="20"/>
                    <w:rtl w:val="0"/>
                  </w:rPr>
                  <w:t xml:space="preserve">2170</w:t>
                </w:r>
              </w:p>
            </w:tc>
            <w:tc>
              <w:tcPr>
                <w:tcBorders>
                  <w:left w:color="000000" w:space="0" w:sz="0" w:val="nil"/>
                  <w:right w:color="000000" w:space="0" w:sz="0" w:val="nil"/>
                </w:tcBorders>
              </w:tcPr>
              <w:p w:rsidR="00000000" w:rsidDel="00000000" w:rsidP="00000000" w:rsidRDefault="00000000" w:rsidRPr="00000000" w14:paraId="00000077">
                <w:pPr>
                  <w:widowControl w:val="1"/>
                  <w:ind w:right="4" w:hanging="2"/>
                  <w:jc w:val="center"/>
                  <w:rPr>
                    <w:sz w:val="20"/>
                    <w:szCs w:val="20"/>
                  </w:rPr>
                </w:pPr>
                <w:r w:rsidDel="00000000" w:rsidR="00000000" w:rsidRPr="00000000">
                  <w:rPr>
                    <w:sz w:val="20"/>
                    <w:szCs w:val="20"/>
                    <w:rtl w:val="0"/>
                  </w:rPr>
                  <w:t xml:space="preserve">3000</w:t>
                </w:r>
              </w:p>
            </w:tc>
          </w:tr>
          <w:tr>
            <w:trPr>
              <w:cantSplit w:val="0"/>
              <w:tblHeader w:val="0"/>
            </w:trPr>
            <w:tc>
              <w:tcPr>
                <w:tcBorders>
                  <w:left w:color="000000" w:space="0" w:sz="0" w:val="nil"/>
                  <w:right w:color="000000" w:space="0" w:sz="0" w:val="nil"/>
                </w:tcBorders>
              </w:tcPr>
              <w:p w:rsidR="00000000" w:rsidDel="00000000" w:rsidP="00000000" w:rsidRDefault="00000000" w:rsidRPr="00000000" w14:paraId="00000078">
                <w:pPr>
                  <w:ind w:right="4" w:hanging="2"/>
                  <w:rPr>
                    <w:sz w:val="20"/>
                    <w:szCs w:val="20"/>
                  </w:rPr>
                </w:pPr>
                <w:r w:rsidDel="00000000" w:rsidR="00000000" w:rsidRPr="00000000">
                  <w:rPr>
                    <w:sz w:val="20"/>
                    <w:szCs w:val="20"/>
                    <w:rtl w:val="0"/>
                  </w:rPr>
                  <w:t xml:space="preserve">Feijão</w:t>
                </w:r>
              </w:p>
            </w:tc>
            <w:tc>
              <w:tcPr>
                <w:tcBorders>
                  <w:left w:color="000000" w:space="0" w:sz="0" w:val="nil"/>
                  <w:right w:color="000000" w:space="0" w:sz="0" w:val="nil"/>
                </w:tcBorders>
              </w:tcPr>
              <w:p w:rsidR="00000000" w:rsidDel="00000000" w:rsidP="00000000" w:rsidRDefault="00000000" w:rsidRPr="00000000" w14:paraId="00000079">
                <w:pPr>
                  <w:ind w:right="4" w:hanging="2"/>
                  <w:jc w:val="center"/>
                  <w:rPr>
                    <w:sz w:val="20"/>
                    <w:szCs w:val="20"/>
                  </w:rPr>
                </w:pPr>
                <w:r w:rsidDel="00000000" w:rsidR="00000000" w:rsidRPr="00000000">
                  <w:rPr>
                    <w:sz w:val="20"/>
                    <w:szCs w:val="20"/>
                    <w:rtl w:val="0"/>
                  </w:rPr>
                  <w:t xml:space="preserve">7</w:t>
                </w:r>
              </w:p>
            </w:tc>
            <w:tc>
              <w:tcPr>
                <w:tcBorders>
                  <w:left w:color="000000" w:space="0" w:sz="0" w:val="nil"/>
                  <w:right w:color="000000" w:space="0" w:sz="0" w:val="nil"/>
                </w:tcBorders>
              </w:tcPr>
              <w:p w:rsidR="00000000" w:rsidDel="00000000" w:rsidP="00000000" w:rsidRDefault="00000000" w:rsidRPr="00000000" w14:paraId="0000007A">
                <w:pPr>
                  <w:widowControl w:val="1"/>
                  <w:ind w:right="4" w:hanging="2"/>
                  <w:jc w:val="center"/>
                  <w:rPr>
                    <w:sz w:val="20"/>
                    <w:szCs w:val="20"/>
                  </w:rPr>
                </w:pPr>
                <w:r w:rsidDel="00000000" w:rsidR="00000000" w:rsidRPr="00000000">
                  <w:rPr>
                    <w:sz w:val="20"/>
                    <w:szCs w:val="20"/>
                    <w:rtl w:val="0"/>
                  </w:rPr>
                  <w:t xml:space="preserve">750</w:t>
                </w:r>
              </w:p>
            </w:tc>
            <w:tc>
              <w:tcPr>
                <w:tcBorders>
                  <w:left w:color="000000" w:space="0" w:sz="0" w:val="nil"/>
                  <w:right w:color="000000" w:space="0" w:sz="0" w:val="nil"/>
                </w:tcBorders>
              </w:tcPr>
              <w:p w:rsidR="00000000" w:rsidDel="00000000" w:rsidP="00000000" w:rsidRDefault="00000000" w:rsidRPr="00000000" w14:paraId="0000007B">
                <w:pPr>
                  <w:widowControl w:val="1"/>
                  <w:ind w:right="4" w:hanging="2"/>
                  <w:jc w:val="center"/>
                  <w:rPr>
                    <w:sz w:val="20"/>
                    <w:szCs w:val="20"/>
                  </w:rPr>
                </w:pPr>
                <w:r w:rsidDel="00000000" w:rsidR="00000000" w:rsidRPr="00000000">
                  <w:rPr>
                    <w:sz w:val="20"/>
                    <w:szCs w:val="20"/>
                    <w:rtl w:val="0"/>
                  </w:rPr>
                  <w:t xml:space="preserve">200</w:t>
                </w:r>
              </w:p>
            </w:tc>
            <w:tc>
              <w:tcPr>
                <w:tcBorders>
                  <w:left w:color="000000" w:space="0" w:sz="0" w:val="nil"/>
                  <w:right w:color="000000" w:space="0" w:sz="0" w:val="nil"/>
                </w:tcBorders>
              </w:tcPr>
              <w:p w:rsidR="00000000" w:rsidDel="00000000" w:rsidP="00000000" w:rsidRDefault="00000000" w:rsidRPr="00000000" w14:paraId="0000007C">
                <w:pPr>
                  <w:widowControl w:val="1"/>
                  <w:ind w:right="4" w:hanging="2"/>
                  <w:jc w:val="center"/>
                  <w:rPr>
                    <w:sz w:val="20"/>
                    <w:szCs w:val="20"/>
                  </w:rPr>
                </w:pPr>
                <w:r w:rsidDel="00000000" w:rsidR="00000000" w:rsidRPr="00000000">
                  <w:rPr>
                    <w:sz w:val="20"/>
                    <w:szCs w:val="20"/>
                    <w:rtl w:val="0"/>
                  </w:rPr>
                  <w:t xml:space="preserve">1430</w:t>
                </w:r>
              </w:p>
            </w:tc>
          </w:tr>
          <w:tr>
            <w:trPr>
              <w:cantSplit w:val="0"/>
              <w:tblHeader w:val="0"/>
            </w:trPr>
            <w:tc>
              <w:tcPr>
                <w:tcBorders>
                  <w:left w:color="000000" w:space="0" w:sz="0" w:val="nil"/>
                  <w:right w:color="000000" w:space="0" w:sz="0" w:val="nil"/>
                </w:tcBorders>
              </w:tcPr>
              <w:p w:rsidR="00000000" w:rsidDel="00000000" w:rsidP="00000000" w:rsidRDefault="00000000" w:rsidRPr="00000000" w14:paraId="0000007D">
                <w:pPr>
                  <w:ind w:right="4" w:hanging="2"/>
                  <w:rPr>
                    <w:sz w:val="20"/>
                    <w:szCs w:val="20"/>
                  </w:rPr>
                </w:pPr>
                <w:r w:rsidDel="00000000" w:rsidR="00000000" w:rsidRPr="00000000">
                  <w:rPr>
                    <w:sz w:val="20"/>
                    <w:szCs w:val="20"/>
                    <w:rtl w:val="0"/>
                  </w:rPr>
                  <w:t xml:space="preserve">Mandioca </w:t>
                </w:r>
              </w:p>
            </w:tc>
            <w:tc>
              <w:tcPr>
                <w:tcBorders>
                  <w:left w:color="000000" w:space="0" w:sz="0" w:val="nil"/>
                  <w:right w:color="000000" w:space="0" w:sz="0" w:val="nil"/>
                </w:tcBorders>
              </w:tcPr>
              <w:p w:rsidR="00000000" w:rsidDel="00000000" w:rsidP="00000000" w:rsidRDefault="00000000" w:rsidRPr="00000000" w14:paraId="0000007E">
                <w:pPr>
                  <w:ind w:right="4" w:hanging="2"/>
                  <w:jc w:val="center"/>
                  <w:rPr>
                    <w:sz w:val="20"/>
                    <w:szCs w:val="20"/>
                  </w:rPr>
                </w:pPr>
                <w:r w:rsidDel="00000000" w:rsidR="00000000" w:rsidRPr="00000000">
                  <w:rPr>
                    <w:sz w:val="20"/>
                    <w:szCs w:val="20"/>
                    <w:rtl w:val="0"/>
                  </w:rPr>
                  <w:t xml:space="preserve">9</w:t>
                </w:r>
              </w:p>
            </w:tc>
            <w:tc>
              <w:tcPr>
                <w:tcBorders>
                  <w:left w:color="000000" w:space="0" w:sz="0" w:val="nil"/>
                  <w:right w:color="000000" w:space="0" w:sz="0" w:val="nil"/>
                </w:tcBorders>
              </w:tcPr>
              <w:p w:rsidR="00000000" w:rsidDel="00000000" w:rsidP="00000000" w:rsidRDefault="00000000" w:rsidRPr="00000000" w14:paraId="0000007F">
                <w:pPr>
                  <w:widowControl w:val="1"/>
                  <w:ind w:right="4" w:hanging="2"/>
                  <w:jc w:val="center"/>
                  <w:rPr>
                    <w:sz w:val="20"/>
                    <w:szCs w:val="20"/>
                  </w:rPr>
                </w:pPr>
                <w:r w:rsidDel="00000000" w:rsidR="00000000" w:rsidRPr="00000000">
                  <w:rPr>
                    <w:sz w:val="20"/>
                    <w:szCs w:val="20"/>
                    <w:rtl w:val="0"/>
                  </w:rPr>
                  <w:t xml:space="preserve">5.080</w:t>
                </w:r>
              </w:p>
            </w:tc>
            <w:tc>
              <w:tcPr>
                <w:tcBorders>
                  <w:left w:color="000000" w:space="0" w:sz="0" w:val="nil"/>
                  <w:right w:color="000000" w:space="0" w:sz="0" w:val="nil"/>
                </w:tcBorders>
              </w:tcPr>
              <w:p w:rsidR="00000000" w:rsidDel="00000000" w:rsidP="00000000" w:rsidRDefault="00000000" w:rsidRPr="00000000" w14:paraId="00000080">
                <w:pPr>
                  <w:widowControl w:val="1"/>
                  <w:ind w:right="4" w:hanging="2"/>
                  <w:jc w:val="center"/>
                  <w:rPr>
                    <w:sz w:val="20"/>
                    <w:szCs w:val="20"/>
                  </w:rPr>
                </w:pPr>
                <w:r w:rsidDel="00000000" w:rsidR="00000000" w:rsidRPr="00000000">
                  <w:rPr>
                    <w:sz w:val="20"/>
                    <w:szCs w:val="20"/>
                    <w:rtl w:val="0"/>
                  </w:rPr>
                  <w:t xml:space="preserve">3.700</w:t>
                </w:r>
              </w:p>
            </w:tc>
            <w:tc>
              <w:tcPr>
                <w:tcBorders>
                  <w:left w:color="000000" w:space="0" w:sz="0" w:val="nil"/>
                  <w:right w:color="000000" w:space="0" w:sz="0" w:val="nil"/>
                </w:tcBorders>
              </w:tcPr>
              <w:p w:rsidR="00000000" w:rsidDel="00000000" w:rsidP="00000000" w:rsidRDefault="00000000" w:rsidRPr="00000000" w14:paraId="00000081">
                <w:pPr>
                  <w:widowControl w:val="1"/>
                  <w:ind w:right="4" w:hanging="2"/>
                  <w:jc w:val="center"/>
                  <w:rPr>
                    <w:sz w:val="20"/>
                    <w:szCs w:val="20"/>
                  </w:rPr>
                </w:pPr>
                <w:r w:rsidDel="00000000" w:rsidR="00000000" w:rsidRPr="00000000">
                  <w:rPr>
                    <w:sz w:val="20"/>
                    <w:szCs w:val="20"/>
                    <w:rtl w:val="0"/>
                  </w:rPr>
                  <w:t xml:space="preserve">6.850</w:t>
                </w:r>
              </w:p>
            </w:tc>
          </w:tr>
          <w:tr>
            <w:trPr>
              <w:cantSplit w:val="0"/>
              <w:tblHeader w:val="0"/>
            </w:trPr>
            <w:tc>
              <w:tcPr>
                <w:tcBorders>
                  <w:left w:color="000000" w:space="0" w:sz="0" w:val="nil"/>
                  <w:right w:color="000000" w:space="0" w:sz="0" w:val="nil"/>
                </w:tcBorders>
              </w:tcPr>
              <w:p w:rsidR="00000000" w:rsidDel="00000000" w:rsidP="00000000" w:rsidRDefault="00000000" w:rsidRPr="00000000" w14:paraId="00000082">
                <w:pPr>
                  <w:ind w:right="4" w:hanging="2"/>
                  <w:rPr>
                    <w:sz w:val="20"/>
                    <w:szCs w:val="20"/>
                  </w:rPr>
                </w:pPr>
                <w:r w:rsidDel="00000000" w:rsidR="00000000" w:rsidRPr="00000000">
                  <w:rPr>
                    <w:sz w:val="20"/>
                    <w:szCs w:val="20"/>
                    <w:rtl w:val="0"/>
                  </w:rPr>
                  <w:t xml:space="preserve">Milho</w:t>
                </w:r>
              </w:p>
            </w:tc>
            <w:tc>
              <w:tcPr>
                <w:tcBorders>
                  <w:left w:color="000000" w:space="0" w:sz="0" w:val="nil"/>
                  <w:right w:color="000000" w:space="0" w:sz="0" w:val="nil"/>
                </w:tcBorders>
              </w:tcPr>
              <w:p w:rsidR="00000000" w:rsidDel="00000000" w:rsidP="00000000" w:rsidRDefault="00000000" w:rsidRPr="00000000" w14:paraId="00000083">
                <w:pPr>
                  <w:ind w:right="4" w:hanging="2"/>
                  <w:jc w:val="center"/>
                  <w:rPr>
                    <w:sz w:val="20"/>
                    <w:szCs w:val="20"/>
                  </w:rPr>
                </w:pPr>
                <w:r w:rsidDel="00000000" w:rsidR="00000000" w:rsidRPr="00000000">
                  <w:rPr>
                    <w:sz w:val="20"/>
                    <w:szCs w:val="20"/>
                    <w:rtl w:val="0"/>
                  </w:rPr>
                  <w:t xml:space="preserve">41</w:t>
                </w:r>
              </w:p>
            </w:tc>
            <w:tc>
              <w:tcPr>
                <w:tcBorders>
                  <w:left w:color="000000" w:space="0" w:sz="0" w:val="nil"/>
                  <w:right w:color="000000" w:space="0" w:sz="0" w:val="nil"/>
                </w:tcBorders>
              </w:tcPr>
              <w:p w:rsidR="00000000" w:rsidDel="00000000" w:rsidP="00000000" w:rsidRDefault="00000000" w:rsidRPr="00000000" w14:paraId="00000084">
                <w:pPr>
                  <w:widowControl w:val="1"/>
                  <w:ind w:right="4" w:hanging="2"/>
                  <w:jc w:val="center"/>
                  <w:rPr>
                    <w:sz w:val="20"/>
                    <w:szCs w:val="20"/>
                  </w:rPr>
                </w:pPr>
                <w:r w:rsidDel="00000000" w:rsidR="00000000" w:rsidRPr="00000000">
                  <w:rPr>
                    <w:sz w:val="20"/>
                    <w:szCs w:val="20"/>
                    <w:rtl w:val="0"/>
                  </w:rPr>
                  <w:t xml:space="preserve">35.780</w:t>
                </w:r>
              </w:p>
            </w:tc>
            <w:tc>
              <w:tcPr>
                <w:tcBorders>
                  <w:left w:color="000000" w:space="0" w:sz="0" w:val="nil"/>
                  <w:right w:color="000000" w:space="0" w:sz="0" w:val="nil"/>
                </w:tcBorders>
              </w:tcPr>
              <w:p w:rsidR="00000000" w:rsidDel="00000000" w:rsidP="00000000" w:rsidRDefault="00000000" w:rsidRPr="00000000" w14:paraId="00000085">
                <w:pPr>
                  <w:widowControl w:val="1"/>
                  <w:ind w:right="4" w:hanging="2"/>
                  <w:jc w:val="center"/>
                  <w:rPr>
                    <w:sz w:val="20"/>
                    <w:szCs w:val="20"/>
                  </w:rPr>
                </w:pPr>
                <w:r w:rsidDel="00000000" w:rsidR="00000000" w:rsidRPr="00000000">
                  <w:rPr>
                    <w:sz w:val="20"/>
                    <w:szCs w:val="20"/>
                    <w:rtl w:val="0"/>
                  </w:rPr>
                  <w:t xml:space="preserve">77.700</w:t>
                </w:r>
              </w:p>
            </w:tc>
            <w:tc>
              <w:tcPr>
                <w:tcBorders>
                  <w:left w:color="000000" w:space="0" w:sz="0" w:val="nil"/>
                  <w:right w:color="000000" w:space="0" w:sz="0" w:val="nil"/>
                </w:tcBorders>
              </w:tcPr>
              <w:p w:rsidR="00000000" w:rsidDel="00000000" w:rsidP="00000000" w:rsidRDefault="00000000" w:rsidRPr="00000000" w14:paraId="00000086">
                <w:pPr>
                  <w:widowControl w:val="1"/>
                  <w:ind w:right="4" w:hanging="2"/>
                  <w:jc w:val="center"/>
                  <w:rPr>
                    <w:sz w:val="20"/>
                    <w:szCs w:val="20"/>
                  </w:rPr>
                </w:pPr>
                <w:r w:rsidDel="00000000" w:rsidR="00000000" w:rsidRPr="00000000">
                  <w:rPr>
                    <w:sz w:val="20"/>
                    <w:szCs w:val="20"/>
                    <w:rtl w:val="0"/>
                  </w:rPr>
                  <w:t xml:space="preserve">135.000</w:t>
                </w:r>
              </w:p>
            </w:tc>
          </w:tr>
          <w:tr>
            <w:trPr>
              <w:cantSplit w:val="0"/>
              <w:tblHeader w:val="0"/>
            </w:trPr>
            <w:tc>
              <w:tcPr>
                <w:tcBorders>
                  <w:left w:color="000000" w:space="0" w:sz="0" w:val="nil"/>
                  <w:right w:color="000000" w:space="0" w:sz="0" w:val="nil"/>
                </w:tcBorders>
              </w:tcPr>
              <w:p w:rsidR="00000000" w:rsidDel="00000000" w:rsidP="00000000" w:rsidRDefault="00000000" w:rsidRPr="00000000" w14:paraId="00000087">
                <w:pPr>
                  <w:ind w:right="4" w:hanging="2"/>
                  <w:rPr>
                    <w:sz w:val="20"/>
                    <w:szCs w:val="20"/>
                  </w:rPr>
                </w:pPr>
                <w:r w:rsidDel="00000000" w:rsidR="00000000" w:rsidRPr="00000000">
                  <w:rPr>
                    <w:sz w:val="20"/>
                    <w:szCs w:val="20"/>
                    <w:rtl w:val="0"/>
                  </w:rPr>
                  <w:t xml:space="preserve">Policultivo</w:t>
                </w:r>
              </w:p>
            </w:tc>
            <w:tc>
              <w:tcPr>
                <w:tcBorders>
                  <w:left w:color="000000" w:space="0" w:sz="0" w:val="nil"/>
                  <w:right w:color="000000" w:space="0" w:sz="0" w:val="nil"/>
                </w:tcBorders>
              </w:tcPr>
              <w:p w:rsidR="00000000" w:rsidDel="00000000" w:rsidP="00000000" w:rsidRDefault="00000000" w:rsidRPr="00000000" w14:paraId="00000088">
                <w:pPr>
                  <w:ind w:right="4" w:hanging="2"/>
                  <w:jc w:val="center"/>
                  <w:rPr>
                    <w:sz w:val="20"/>
                    <w:szCs w:val="20"/>
                  </w:rPr>
                </w:pPr>
                <w:r w:rsidDel="00000000" w:rsidR="00000000" w:rsidRPr="00000000">
                  <w:rPr>
                    <w:sz w:val="20"/>
                    <w:szCs w:val="20"/>
                    <w:rtl w:val="0"/>
                  </w:rPr>
                  <w:t xml:space="preserve">47</w:t>
                </w:r>
              </w:p>
            </w:tc>
            <w:tc>
              <w:tcPr>
                <w:tcBorders>
                  <w:left w:color="000000" w:space="0" w:sz="0" w:val="nil"/>
                  <w:right w:color="000000" w:space="0" w:sz="0" w:val="nil"/>
                </w:tcBorders>
              </w:tcPr>
              <w:p w:rsidR="00000000" w:rsidDel="00000000" w:rsidP="00000000" w:rsidRDefault="00000000" w:rsidRPr="00000000" w14:paraId="00000089">
                <w:pPr>
                  <w:widowControl w:val="1"/>
                  <w:ind w:right="4" w:hanging="2"/>
                  <w:jc w:val="center"/>
                  <w:rPr>
                    <w:sz w:val="20"/>
                    <w:szCs w:val="20"/>
                  </w:rPr>
                </w:pPr>
                <w:r w:rsidDel="00000000" w:rsidR="00000000" w:rsidRPr="00000000">
                  <w:rPr>
                    <w:sz w:val="20"/>
                    <w:szCs w:val="20"/>
                    <w:rtl w:val="0"/>
                  </w:rPr>
                  <w:t xml:space="preserve">15.370</w:t>
                </w:r>
              </w:p>
            </w:tc>
            <w:tc>
              <w:tcPr>
                <w:tcBorders>
                  <w:left w:color="000000" w:space="0" w:sz="0" w:val="nil"/>
                  <w:right w:color="000000" w:space="0" w:sz="0" w:val="nil"/>
                </w:tcBorders>
              </w:tcPr>
              <w:p w:rsidR="00000000" w:rsidDel="00000000" w:rsidP="00000000" w:rsidRDefault="00000000" w:rsidRPr="00000000" w14:paraId="0000008A">
                <w:pPr>
                  <w:widowControl w:val="1"/>
                  <w:ind w:right="4" w:hanging="2"/>
                  <w:jc w:val="center"/>
                  <w:rPr>
                    <w:sz w:val="20"/>
                    <w:szCs w:val="20"/>
                  </w:rPr>
                </w:pPr>
                <w:r w:rsidDel="00000000" w:rsidR="00000000" w:rsidRPr="00000000">
                  <w:rPr>
                    <w:sz w:val="20"/>
                    <w:szCs w:val="20"/>
                    <w:rtl w:val="0"/>
                  </w:rPr>
                  <w:t xml:space="preserve">10.435</w:t>
                </w:r>
              </w:p>
            </w:tc>
            <w:tc>
              <w:tcPr>
                <w:tcBorders>
                  <w:left w:color="000000" w:space="0" w:sz="0" w:val="nil"/>
                  <w:right w:color="000000" w:space="0" w:sz="0" w:val="nil"/>
                </w:tcBorders>
              </w:tcPr>
              <w:p w:rsidR="00000000" w:rsidDel="00000000" w:rsidP="00000000" w:rsidRDefault="00000000" w:rsidRPr="00000000" w14:paraId="0000008B">
                <w:pPr>
                  <w:widowControl w:val="1"/>
                  <w:ind w:right="4" w:hanging="2"/>
                  <w:jc w:val="center"/>
                  <w:rPr>
                    <w:sz w:val="20"/>
                    <w:szCs w:val="20"/>
                  </w:rPr>
                </w:pPr>
                <w:r w:rsidDel="00000000" w:rsidR="00000000" w:rsidRPr="00000000">
                  <w:rPr>
                    <w:sz w:val="20"/>
                    <w:szCs w:val="20"/>
                    <w:rtl w:val="0"/>
                  </w:rPr>
                  <w:t xml:space="preserve">31.600</w:t>
                </w:r>
              </w:p>
            </w:tc>
          </w:tr>
          <w:tr>
            <w:trPr>
              <w:cantSplit w:val="0"/>
              <w:tblHeader w:val="0"/>
            </w:trPr>
            <w:tc>
              <w:tcPr>
                <w:tcBorders>
                  <w:left w:color="000000" w:space="0" w:sz="0" w:val="nil"/>
                  <w:right w:color="000000" w:space="0" w:sz="0" w:val="nil"/>
                </w:tcBorders>
              </w:tcPr>
              <w:p w:rsidR="00000000" w:rsidDel="00000000" w:rsidP="00000000" w:rsidRDefault="00000000" w:rsidRPr="00000000" w14:paraId="0000008C">
                <w:pPr>
                  <w:ind w:right="4" w:hanging="2"/>
                  <w:rPr>
                    <w:sz w:val="20"/>
                    <w:szCs w:val="20"/>
                  </w:rPr>
                </w:pPr>
                <w:r w:rsidDel="00000000" w:rsidR="00000000" w:rsidRPr="00000000">
                  <w:rPr>
                    <w:sz w:val="20"/>
                    <w:szCs w:val="20"/>
                    <w:rtl w:val="0"/>
                  </w:rPr>
                  <w:t xml:space="preserve">Soja</w:t>
                </w:r>
              </w:p>
            </w:tc>
            <w:tc>
              <w:tcPr>
                <w:tcBorders>
                  <w:left w:color="000000" w:space="0" w:sz="0" w:val="nil"/>
                  <w:right w:color="000000" w:space="0" w:sz="0" w:val="nil"/>
                </w:tcBorders>
              </w:tcPr>
              <w:p w:rsidR="00000000" w:rsidDel="00000000" w:rsidP="00000000" w:rsidRDefault="00000000" w:rsidRPr="00000000" w14:paraId="0000008D">
                <w:pPr>
                  <w:ind w:right="4" w:hanging="2"/>
                  <w:jc w:val="center"/>
                  <w:rPr>
                    <w:sz w:val="20"/>
                    <w:szCs w:val="20"/>
                  </w:rPr>
                </w:pPr>
                <w:r w:rsidDel="00000000" w:rsidR="00000000" w:rsidRPr="00000000">
                  <w:rPr>
                    <w:sz w:val="20"/>
                    <w:szCs w:val="20"/>
                    <w:rtl w:val="0"/>
                  </w:rPr>
                  <w:t xml:space="preserve">27</w:t>
                </w:r>
              </w:p>
            </w:tc>
            <w:tc>
              <w:tcPr>
                <w:tcBorders>
                  <w:left w:color="000000" w:space="0" w:sz="0" w:val="nil"/>
                  <w:right w:color="000000" w:space="0" w:sz="0" w:val="nil"/>
                </w:tcBorders>
              </w:tcPr>
              <w:p w:rsidR="00000000" w:rsidDel="00000000" w:rsidP="00000000" w:rsidRDefault="00000000" w:rsidRPr="00000000" w14:paraId="0000008E">
                <w:pPr>
                  <w:widowControl w:val="1"/>
                  <w:ind w:right="4" w:hanging="2"/>
                  <w:jc w:val="center"/>
                  <w:rPr>
                    <w:sz w:val="20"/>
                    <w:szCs w:val="20"/>
                  </w:rPr>
                </w:pPr>
                <w:r w:rsidDel="00000000" w:rsidR="00000000" w:rsidRPr="00000000">
                  <w:rPr>
                    <w:sz w:val="20"/>
                    <w:szCs w:val="20"/>
                    <w:rtl w:val="0"/>
                  </w:rPr>
                  <w:t xml:space="preserve">1000</w:t>
                </w:r>
              </w:p>
            </w:tc>
            <w:tc>
              <w:tcPr>
                <w:tcBorders>
                  <w:left w:color="000000" w:space="0" w:sz="0" w:val="nil"/>
                  <w:right w:color="000000" w:space="0" w:sz="0" w:val="nil"/>
                </w:tcBorders>
              </w:tcPr>
              <w:p w:rsidR="00000000" w:rsidDel="00000000" w:rsidP="00000000" w:rsidRDefault="00000000" w:rsidRPr="00000000" w14:paraId="0000008F">
                <w:pPr>
                  <w:widowControl w:val="1"/>
                  <w:ind w:right="4" w:hanging="2"/>
                  <w:jc w:val="center"/>
                  <w:rPr>
                    <w:sz w:val="20"/>
                    <w:szCs w:val="20"/>
                  </w:rPr>
                </w:pPr>
                <w:r w:rsidDel="00000000" w:rsidR="00000000" w:rsidRPr="00000000">
                  <w:rPr>
                    <w:sz w:val="20"/>
                    <w:szCs w:val="20"/>
                    <w:rtl w:val="0"/>
                  </w:rPr>
                  <w:t xml:space="preserve">132.940</w:t>
                </w:r>
              </w:p>
            </w:tc>
            <w:tc>
              <w:tcPr>
                <w:tcBorders>
                  <w:left w:color="000000" w:space="0" w:sz="0" w:val="nil"/>
                  <w:right w:color="000000" w:space="0" w:sz="0" w:val="nil"/>
                </w:tcBorders>
              </w:tcPr>
              <w:p w:rsidR="00000000" w:rsidDel="00000000" w:rsidP="00000000" w:rsidRDefault="00000000" w:rsidRPr="00000000" w14:paraId="00000090">
                <w:pPr>
                  <w:widowControl w:val="1"/>
                  <w:ind w:right="4" w:hanging="2"/>
                  <w:jc w:val="center"/>
                  <w:rPr>
                    <w:sz w:val="20"/>
                    <w:szCs w:val="20"/>
                  </w:rPr>
                </w:pPr>
                <w:r w:rsidDel="00000000" w:rsidR="00000000" w:rsidRPr="00000000">
                  <w:rPr>
                    <w:sz w:val="20"/>
                    <w:szCs w:val="20"/>
                    <w:rtl w:val="0"/>
                  </w:rPr>
                  <w:t xml:space="preserve">133.940</w:t>
                </w:r>
              </w:p>
            </w:tc>
          </w:tr>
        </w:tbl>
      </w:sdtContent>
    </w:sdt>
    <w:p w:rsidR="00000000" w:rsidDel="00000000" w:rsidP="00000000" w:rsidRDefault="00000000" w:rsidRPr="00000000" w14:paraId="00000091">
      <w:pPr>
        <w:widowControl w:val="1"/>
        <w:spacing w:line="360" w:lineRule="auto"/>
        <w:ind w:right="4" w:hanging="2"/>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Fonte:</w:t>
      </w:r>
      <w:r w:rsidDel="00000000" w:rsidR="00000000" w:rsidRPr="00000000">
        <w:rPr>
          <w:rFonts w:ascii="Arial" w:cs="Arial" w:eastAsia="Arial" w:hAnsi="Arial"/>
          <w:sz w:val="20"/>
          <w:szCs w:val="20"/>
          <w:rtl w:val="0"/>
        </w:rPr>
        <w:t xml:space="preserve"> Sistema Integrado de Gestão Rural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SIGRA</w:t>
      </w:r>
      <w:r w:rsidDel="00000000" w:rsidR="00000000" w:rsidRPr="00000000">
        <w:rPr>
          <w:rFonts w:ascii="Arial" w:cs="Arial" w:eastAsia="Arial" w:hAnsi="Arial"/>
          <w:sz w:val="20"/>
          <w:szCs w:val="20"/>
          <w:rtl w:val="0"/>
        </w:rPr>
        <w:t xml:space="preserve"> (2022)</w:t>
      </w:r>
    </w:p>
    <w:p w:rsidR="00000000" w:rsidDel="00000000" w:rsidP="00000000" w:rsidRDefault="00000000" w:rsidRPr="00000000" w14:paraId="00000092">
      <w:pPr>
        <w:widowControl w:val="1"/>
        <w:spacing w:line="360" w:lineRule="auto"/>
        <w:ind w:left="0" w:right="4" w:firstLine="720"/>
        <w:jc w:val="both"/>
        <w:rPr>
          <w:sz w:val="24"/>
          <w:szCs w:val="24"/>
        </w:rPr>
      </w:pPr>
      <w:r w:rsidDel="00000000" w:rsidR="00000000" w:rsidRPr="00000000">
        <w:rPr>
          <w:sz w:val="24"/>
          <w:szCs w:val="24"/>
          <w:rtl w:val="0"/>
        </w:rPr>
        <w:t xml:space="preserve">Dentre os cultivos mais relevantes, destacam-se os grãos como principal representante tanto para o autoconsumo quanto para a produção total. Estes grãos incluem as culturas do milho e da soja, além de arroz e feijão em quantidades menores. É representativa também o policultivo e cultivo de </w:t>
      </w:r>
      <w:r w:rsidDel="00000000" w:rsidR="00000000" w:rsidRPr="00000000">
        <w:rPr>
          <w:sz w:val="24"/>
          <w:szCs w:val="24"/>
          <w:rtl w:val="0"/>
        </w:rPr>
        <w:t xml:space="preserve">baraços</w:t>
      </w:r>
      <w:r w:rsidDel="00000000" w:rsidR="00000000" w:rsidRPr="00000000">
        <w:rPr>
          <w:sz w:val="24"/>
          <w:szCs w:val="24"/>
          <w:rtl w:val="0"/>
        </w:rPr>
        <w:t xml:space="preserve">, raízes e tubérculos. Neste ponto destacam-se a cultura da mandioca, batata doce e abóbora (</w:t>
      </w:r>
      <w:r w:rsidDel="00000000" w:rsidR="00000000" w:rsidRPr="00000000">
        <w:rPr>
          <w:sz w:val="24"/>
          <w:szCs w:val="24"/>
          <w:rtl w:val="0"/>
        </w:rPr>
        <w:t xml:space="preserve">SIGRA</w:t>
      </w:r>
      <w:r w:rsidDel="00000000" w:rsidR="00000000" w:rsidRPr="00000000">
        <w:rPr>
          <w:sz w:val="24"/>
          <w:szCs w:val="24"/>
          <w:rtl w:val="0"/>
        </w:rPr>
        <w:t xml:space="preserve">, 2022).</w:t>
      </w:r>
    </w:p>
    <w:p w:rsidR="00000000" w:rsidDel="00000000" w:rsidP="00000000" w:rsidRDefault="00000000" w:rsidRPr="00000000" w14:paraId="00000093">
      <w:pPr>
        <w:pStyle w:val="Heading1"/>
        <w:ind w:left="0"/>
        <w:rPr/>
      </w:pPr>
      <w:bookmarkStart w:colFirst="0" w:colLast="0" w:name="_heading=h.uhdsk04dyyrv" w:id="2"/>
      <w:bookmarkEnd w:id="2"/>
      <w:r w:rsidDel="00000000" w:rsidR="00000000" w:rsidRPr="00000000">
        <w:rPr>
          <w:rtl w:val="0"/>
        </w:rPr>
      </w:r>
    </w:p>
    <w:p w:rsidR="00000000" w:rsidDel="00000000" w:rsidP="00000000" w:rsidRDefault="00000000" w:rsidRPr="00000000" w14:paraId="00000094">
      <w:pPr>
        <w:pStyle w:val="Heading1"/>
        <w:ind w:left="0"/>
        <w:rPr>
          <w:rFonts w:ascii="Arial" w:cs="Arial" w:eastAsia="Arial" w:hAnsi="Arial"/>
          <w:b w:val="0"/>
          <w:sz w:val="24"/>
          <w:szCs w:val="24"/>
        </w:rPr>
      </w:pPr>
      <w:bookmarkStart w:colFirst="0" w:colLast="0" w:name="_heading=h.zh70zc5benq6" w:id="3"/>
      <w:bookmarkEnd w:id="3"/>
      <w:r w:rsidDel="00000000" w:rsidR="00000000" w:rsidRPr="00000000">
        <w:rPr>
          <w:b w:val="0"/>
          <w:rtl w:val="0"/>
        </w:rPr>
        <w:t xml:space="preserve">CONSIDERAÇÕES</w:t>
      </w:r>
      <w:r w:rsidDel="00000000" w:rsidR="00000000" w:rsidRPr="00000000">
        <w:rPr>
          <w:b w:val="0"/>
          <w:rtl w:val="0"/>
        </w:rPr>
        <w:t xml:space="preserve"> FINAIS</w:t>
      </w:r>
      <w:r w:rsidDel="00000000" w:rsidR="00000000" w:rsidRPr="00000000">
        <w:rPr>
          <w:rtl w:val="0"/>
        </w:rPr>
      </w:r>
    </w:p>
    <w:p w:rsidR="00000000" w:rsidDel="00000000" w:rsidP="00000000" w:rsidRDefault="00000000" w:rsidRPr="00000000" w14:paraId="00000095">
      <w:pPr>
        <w:widowControl w:val="1"/>
        <w:spacing w:line="360" w:lineRule="auto"/>
        <w:ind w:left="0" w:right="4" w:firstLine="0"/>
        <w:jc w:val="both"/>
        <w:rPr>
          <w:sz w:val="24"/>
          <w:szCs w:val="24"/>
          <w:highlight w:val="white"/>
        </w:rPr>
      </w:pPr>
      <w:r w:rsidDel="00000000" w:rsidR="00000000" w:rsidRPr="00000000">
        <w:rPr>
          <w:sz w:val="24"/>
          <w:szCs w:val="24"/>
          <w:rtl w:val="0"/>
        </w:rPr>
        <w:tab/>
        <w:t xml:space="preserve">O respectivo estudo, tem como objetivo central demonstrar uma síntese do assentamento Ibicuí, pode contribuir para implementação, avaliação e consolidação de </w:t>
      </w:r>
      <w:r w:rsidDel="00000000" w:rsidR="00000000" w:rsidRPr="00000000">
        <w:rPr>
          <w:sz w:val="24"/>
          <w:szCs w:val="24"/>
          <w:rtl w:val="0"/>
        </w:rPr>
        <w:t xml:space="preserve">políticas públicas   visando o desenvolvimento dos assentamentos rurais. </w:t>
      </w:r>
      <w:r w:rsidDel="00000000" w:rsidR="00000000" w:rsidRPr="00000000">
        <w:rPr>
          <w:sz w:val="24"/>
          <w:szCs w:val="24"/>
          <w:highlight w:val="white"/>
          <w:rtl w:val="0"/>
        </w:rPr>
        <w:t xml:space="preserve">Este trabalho também se justifica para mostrar a potencialidade do SIGRA  como um sistema que tem como finalidade organizar e disponibilizar em tempo real as informações relativas aos assentamentos rurais. De forma simplificada, pode-se dizer que as principais características que transformam sua construção em algo inovador referem-se à agilidade e eficiência na sua utilização e ao caráter inovador da alimentação das informações no banco de dados. Este tipo de ferramenta dialoga com o desenvolvimento dos projetos de assentamento, uma vez que colabora com a transformação da realidade das famílias assentadas, fortalecendo o elo entre os assentados e o meio onde estão inseridos. Nesse sentido o relatório demonstra como pode ser se útil uma ferramenta que possibilita sintetizar as informações das famílias assentadas tendo por base o banco de dados do SIGRA.</w:t>
      </w:r>
    </w:p>
    <w:p w:rsidR="00000000" w:rsidDel="00000000" w:rsidP="00000000" w:rsidRDefault="00000000" w:rsidRPr="00000000" w14:paraId="00000096">
      <w:pPr>
        <w:widowControl w:val="1"/>
        <w:spacing w:line="360" w:lineRule="auto"/>
        <w:ind w:left="0" w:right="4" w:firstLine="720"/>
        <w:jc w:val="both"/>
        <w:rPr>
          <w:sz w:val="24"/>
          <w:szCs w:val="24"/>
        </w:rPr>
      </w:pPr>
      <w:r w:rsidDel="00000000" w:rsidR="00000000" w:rsidRPr="00000000">
        <w:rPr>
          <w:sz w:val="24"/>
          <w:szCs w:val="24"/>
          <w:rtl w:val="0"/>
        </w:rPr>
        <w:t xml:space="preserve">Por fim é possível observar que as</w:t>
      </w:r>
      <w:r w:rsidDel="00000000" w:rsidR="00000000" w:rsidRPr="00000000">
        <w:rPr>
          <w:sz w:val="24"/>
          <w:szCs w:val="24"/>
          <w:rtl w:val="0"/>
        </w:rPr>
        <w:t xml:space="preserve"> informações contidas neste documento embasam a </w:t>
      </w:r>
      <w:r w:rsidDel="00000000" w:rsidR="00000000" w:rsidRPr="00000000">
        <w:rPr>
          <w:sz w:val="24"/>
          <w:szCs w:val="24"/>
          <w:rtl w:val="0"/>
        </w:rPr>
        <w:t xml:space="preserve">estimativa do valor econômico produzido pelo assentamento Ibicuí  no ano de 2022. As informações demonstram que </w:t>
      </w:r>
      <w:r w:rsidDel="00000000" w:rsidR="00000000" w:rsidRPr="00000000">
        <w:rPr>
          <w:sz w:val="24"/>
          <w:szCs w:val="24"/>
          <w:rtl w:val="0"/>
        </w:rPr>
        <w:t xml:space="preserve">foi produzido no ano de 2022 cerca de R$1.881.376,80. Este valor equivale a cerca de R$2.528,73 por família por mês. Considerando apenas as áreas utilizadas para produção (campo nativo, plantio próprio, parceria familiar no lote e em área de terceiro, pastagem perene e arrendamento em área de terceiros) o valor da produção por ha equivale a R$1.573,45. </w:t>
      </w:r>
    </w:p>
    <w:p w:rsidR="00000000" w:rsidDel="00000000" w:rsidP="00000000" w:rsidRDefault="00000000" w:rsidRPr="00000000" w14:paraId="00000097">
      <w:pPr>
        <w:widowControl w:val="1"/>
        <w:spacing w:line="360" w:lineRule="auto"/>
        <w:ind w:left="0" w:right="4" w:firstLine="720"/>
        <w:jc w:val="both"/>
        <w:rPr>
          <w:sz w:val="24"/>
          <w:szCs w:val="24"/>
        </w:rPr>
      </w:pPr>
      <w:r w:rsidDel="00000000" w:rsidR="00000000" w:rsidRPr="00000000">
        <w:rPr>
          <w:sz w:val="24"/>
          <w:szCs w:val="24"/>
          <w:rtl w:val="0"/>
        </w:rPr>
        <w:t xml:space="preserve">E</w:t>
      </w:r>
      <w:r w:rsidDel="00000000" w:rsidR="00000000" w:rsidRPr="00000000">
        <w:rPr>
          <w:sz w:val="24"/>
          <w:szCs w:val="24"/>
          <w:rtl w:val="0"/>
        </w:rPr>
        <w:t xml:space="preserve">ste levantamento reforça que </w:t>
      </w:r>
      <w:r w:rsidDel="00000000" w:rsidR="00000000" w:rsidRPr="00000000">
        <w:rPr>
          <w:sz w:val="24"/>
          <w:szCs w:val="24"/>
          <w:rtl w:val="0"/>
        </w:rPr>
        <w:t xml:space="preserve">assentamentos como Ibicuí são uma prova concreta de que a integração entre reforma agrária, políticas públicas de incentivo à agricultura familiar e sistemas alimentares sustentáveis pode transformar o meio rural em um espaço de produção de riqueza, cidadania e soberania alimentar. Fortalecer esse modelo requer continuidade e ampliação de políticas públicas eficazes, investimento em infraestrutura rural e valorização dos agricultores familiares como protagonistas no desenvolvimento do Brasil.</w:t>
      </w:r>
    </w:p>
    <w:p w:rsidR="00000000" w:rsidDel="00000000" w:rsidP="00000000" w:rsidRDefault="00000000" w:rsidRPr="00000000" w14:paraId="00000098">
      <w:pPr>
        <w:pStyle w:val="Heading1"/>
        <w:ind w:left="0"/>
        <w:rPr/>
      </w:pPr>
      <w:bookmarkStart w:colFirst="0" w:colLast="0" w:name="_heading=h.fidcdc87gde2" w:id="4"/>
      <w:bookmarkEnd w:id="4"/>
      <w:r w:rsidDel="00000000" w:rsidR="00000000" w:rsidRPr="00000000">
        <w:rPr>
          <w:rtl w:val="0"/>
        </w:rPr>
      </w:r>
    </w:p>
    <w:p w:rsidR="00000000" w:rsidDel="00000000" w:rsidP="00000000" w:rsidRDefault="00000000" w:rsidRPr="00000000" w14:paraId="00000099">
      <w:pPr>
        <w:pStyle w:val="Heading1"/>
        <w:ind w:left="0"/>
        <w:rPr/>
      </w:pPr>
      <w:bookmarkStart w:colFirst="0" w:colLast="0" w:name="_heading=h.dvz1pjtseoxs" w:id="5"/>
      <w:bookmarkEnd w:id="5"/>
      <w:r w:rsidDel="00000000" w:rsidR="00000000" w:rsidRPr="00000000">
        <w:rPr>
          <w:rtl w:val="0"/>
        </w:rPr>
        <w:t xml:space="preserve">REFERÊNCIAS</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widowControl w:val="1"/>
        <w:jc w:val="both"/>
        <w:rPr>
          <w:sz w:val="24"/>
          <w:szCs w:val="24"/>
        </w:rPr>
      </w:pPr>
      <w:r w:rsidDel="00000000" w:rsidR="00000000" w:rsidRPr="00000000">
        <w:rPr>
          <w:sz w:val="24"/>
          <w:szCs w:val="24"/>
          <w:rtl w:val="0"/>
        </w:rPr>
        <w:t xml:space="preserve">DUNKER, L. S; DALBIANCO, V. P; GOMES, P. S; MIRANDA, L. B; GASS, S, L. D; </w:t>
      </w:r>
      <w:r w:rsidDel="00000000" w:rsidR="00000000" w:rsidRPr="00000000">
        <w:rPr>
          <w:b w:val="1"/>
          <w:sz w:val="24"/>
          <w:szCs w:val="24"/>
          <w:rtl w:val="0"/>
        </w:rPr>
        <w:t xml:space="preserve">Condicionamento de sistemas de produção em assentamentos rurais de acordo com tipos de solo</w:t>
      </w:r>
      <w:r w:rsidDel="00000000" w:rsidR="00000000" w:rsidRPr="00000000">
        <w:rPr>
          <w:sz w:val="24"/>
          <w:szCs w:val="24"/>
          <w:rtl w:val="0"/>
        </w:rPr>
        <w:t xml:space="preserve">. Disponível em : &lt;</w:t>
      </w:r>
      <w:hyperlink r:id="rId11">
        <w:r w:rsidDel="00000000" w:rsidR="00000000" w:rsidRPr="00000000">
          <w:rPr>
            <w:sz w:val="24"/>
            <w:szCs w:val="24"/>
            <w:u w:val="single"/>
            <w:rtl w:val="0"/>
          </w:rPr>
          <w:t xml:space="preserve">https://periodicos.ufsm.br/extensaorural/article/view/74626</w:t>
        </w:r>
      </w:hyperlink>
      <w:r w:rsidDel="00000000" w:rsidR="00000000" w:rsidRPr="00000000">
        <w:rPr>
          <w:sz w:val="24"/>
          <w:szCs w:val="24"/>
          <w:rtl w:val="0"/>
        </w:rPr>
        <w:t xml:space="preserve"> &gt;. Acesso em 4 fev. 2025.</w:t>
      </w:r>
    </w:p>
    <w:p w:rsidR="00000000" w:rsidDel="00000000" w:rsidP="00000000" w:rsidRDefault="00000000" w:rsidRPr="00000000" w14:paraId="0000009C">
      <w:pPr>
        <w:widowControl w:val="1"/>
        <w:jc w:val="both"/>
        <w:rPr>
          <w:sz w:val="24"/>
          <w:szCs w:val="24"/>
        </w:rPr>
      </w:pPr>
      <w:r w:rsidDel="00000000" w:rsidR="00000000" w:rsidRPr="00000000">
        <w:rPr>
          <w:rtl w:val="0"/>
        </w:rPr>
      </w:r>
    </w:p>
    <w:p w:rsidR="00000000" w:rsidDel="00000000" w:rsidP="00000000" w:rsidRDefault="00000000" w:rsidRPr="00000000" w14:paraId="0000009D">
      <w:pPr>
        <w:widowControl w:val="1"/>
        <w:jc w:val="both"/>
        <w:rPr>
          <w:sz w:val="24"/>
          <w:szCs w:val="24"/>
        </w:rPr>
      </w:pPr>
      <w:r w:rsidDel="00000000" w:rsidR="00000000" w:rsidRPr="00000000">
        <w:rPr>
          <w:sz w:val="24"/>
          <w:szCs w:val="24"/>
          <w:rtl w:val="0"/>
        </w:rPr>
        <w:t xml:space="preserve">EDUARDO, A. F. J; DALBIANCO, V. P; NEUMANN, P. S; COLVERO, R. B; DIANI, P. E. P; GODINHO, V. D. </w:t>
      </w:r>
      <w:r w:rsidDel="00000000" w:rsidR="00000000" w:rsidRPr="00000000">
        <w:rPr>
          <w:b w:val="1"/>
          <w:sz w:val="24"/>
          <w:szCs w:val="24"/>
          <w:rtl w:val="0"/>
        </w:rPr>
        <w:t xml:space="preserve">Análise dos processos de desenvolvimento de assentamentos rurais : O caso dos assentamentos Ibicuí, Recanto e São Joaquim no município de Santana do Livramento/RS.</w:t>
      </w:r>
      <w:r w:rsidDel="00000000" w:rsidR="00000000" w:rsidRPr="00000000">
        <w:rPr>
          <w:sz w:val="24"/>
          <w:szCs w:val="24"/>
          <w:rtl w:val="0"/>
        </w:rPr>
        <w:t xml:space="preserve"> ARACÊ , [S. l.] , v. 4, pág. 12548–12582, 2024. DOI: 10.56238/arev6n4-098. Disponível em: </w:t>
      </w:r>
      <w:hyperlink r:id="rId12">
        <w:r w:rsidDel="00000000" w:rsidR="00000000" w:rsidRPr="00000000">
          <w:rPr>
            <w:sz w:val="24"/>
            <w:szCs w:val="24"/>
            <w:u w:val="single"/>
            <w:rtl w:val="0"/>
          </w:rPr>
          <w:t xml:space="preserve">https://periodicos.newsciencepubl.com/arace/article/view/2031</w:t>
        </w:r>
      </w:hyperlink>
      <w:r w:rsidDel="00000000" w:rsidR="00000000" w:rsidRPr="00000000">
        <w:rPr>
          <w:sz w:val="24"/>
          <w:szCs w:val="24"/>
          <w:rtl w:val="0"/>
        </w:rPr>
        <w:t xml:space="preserve"> . Acesso em: 4 fev. 2025.</w:t>
      </w:r>
    </w:p>
    <w:p w:rsidR="00000000" w:rsidDel="00000000" w:rsidP="00000000" w:rsidRDefault="00000000" w:rsidRPr="00000000" w14:paraId="0000009E">
      <w:pPr>
        <w:widowControl w:val="1"/>
        <w:jc w:val="both"/>
        <w:rPr>
          <w:sz w:val="24"/>
          <w:szCs w:val="24"/>
        </w:rPr>
      </w:pPr>
      <w:r w:rsidDel="00000000" w:rsidR="00000000" w:rsidRPr="00000000">
        <w:rPr>
          <w:rtl w:val="0"/>
        </w:rPr>
      </w:r>
    </w:p>
    <w:p w:rsidR="00000000" w:rsidDel="00000000" w:rsidP="00000000" w:rsidRDefault="00000000" w:rsidRPr="00000000" w14:paraId="0000009F">
      <w:pPr>
        <w:widowControl w:val="1"/>
        <w:jc w:val="both"/>
        <w:rPr>
          <w:sz w:val="24"/>
          <w:szCs w:val="24"/>
        </w:rPr>
      </w:pPr>
      <w:r w:rsidDel="00000000" w:rsidR="00000000" w:rsidRPr="00000000">
        <w:rPr>
          <w:sz w:val="24"/>
          <w:szCs w:val="24"/>
          <w:rtl w:val="0"/>
        </w:rPr>
        <w:t xml:space="preserve">FERRON, J. DA L; TROIAN, A. </w:t>
      </w:r>
      <w:r w:rsidDel="00000000" w:rsidR="00000000" w:rsidRPr="00000000">
        <w:rPr>
          <w:b w:val="1"/>
          <w:sz w:val="24"/>
          <w:szCs w:val="24"/>
          <w:rtl w:val="0"/>
        </w:rPr>
        <w:t xml:space="preserve">O processo de implantação dos assentamentos rurais em Santana do Livramento (RS)</w:t>
      </w:r>
      <w:r w:rsidDel="00000000" w:rsidR="00000000" w:rsidRPr="00000000">
        <w:rPr>
          <w:sz w:val="24"/>
          <w:szCs w:val="24"/>
          <w:rtl w:val="0"/>
        </w:rPr>
        <w:t xml:space="preserve">. Economia e Desenvolvimento, Santa Maria, v.32, ed. esp., e 5, p. 01- 15, 2020.</w:t>
      </w:r>
    </w:p>
    <w:p w:rsidR="00000000" w:rsidDel="00000000" w:rsidP="00000000" w:rsidRDefault="00000000" w:rsidRPr="00000000" w14:paraId="000000A0">
      <w:pPr>
        <w:widowControl w:val="1"/>
        <w:jc w:val="both"/>
        <w:rPr>
          <w:sz w:val="24"/>
          <w:szCs w:val="24"/>
        </w:rPr>
      </w:pPr>
      <w:r w:rsidDel="00000000" w:rsidR="00000000" w:rsidRPr="00000000">
        <w:rPr>
          <w:rtl w:val="0"/>
        </w:rPr>
      </w:r>
    </w:p>
    <w:p w:rsidR="00000000" w:rsidDel="00000000" w:rsidP="00000000" w:rsidRDefault="00000000" w:rsidRPr="00000000" w14:paraId="000000A1">
      <w:pPr>
        <w:widowControl w:val="1"/>
        <w:jc w:val="both"/>
        <w:rPr>
          <w:sz w:val="24"/>
          <w:szCs w:val="24"/>
        </w:rPr>
      </w:pPr>
      <w:r w:rsidDel="00000000" w:rsidR="00000000" w:rsidRPr="00000000">
        <w:rPr>
          <w:sz w:val="24"/>
          <w:szCs w:val="24"/>
          <w:rtl w:val="0"/>
        </w:rPr>
        <w:t xml:space="preserve">MIRANDA, Fernanda Q. ZARNOTT, Alisson V. ZANELLA, Francis C. O Processo de Sistematização de Experiências Agroecológicas como Instrumento de Extensão Rural. </w:t>
      </w:r>
      <w:r w:rsidDel="00000000" w:rsidR="00000000" w:rsidRPr="00000000">
        <w:rPr>
          <w:b w:val="1"/>
          <w:sz w:val="24"/>
          <w:szCs w:val="24"/>
          <w:rtl w:val="0"/>
        </w:rPr>
        <w:t xml:space="preserve">In: DALBIANCO, et al. Uma Nova Extensão Rural Pública: a experiência pluralista e descentralizada da Assessoria Técnica, Social e Ambiental (Ates) no Estado do Rio Grande do Sul.</w:t>
      </w:r>
      <w:r w:rsidDel="00000000" w:rsidR="00000000" w:rsidRPr="00000000">
        <w:rPr>
          <w:sz w:val="24"/>
          <w:szCs w:val="24"/>
          <w:rtl w:val="0"/>
        </w:rPr>
        <w:t xml:space="preserve"> Ed. Unijuí, p. 163-178, 2018.</w:t>
      </w:r>
      <w:r w:rsidDel="00000000" w:rsidR="00000000" w:rsidRPr="00000000">
        <w:rPr>
          <w:rtl w:val="0"/>
        </w:rPr>
      </w:r>
    </w:p>
    <w:sectPr>
      <w:headerReference r:id="rId13" w:type="default"/>
      <w:type w:val="nextPage"/>
      <w:pgSz w:h="16840" w:w="11910" w:orient="portrait"/>
      <w:pgMar w:bottom="277.7952755905512" w:top="3361.8897637795276" w:left="1417.3228346456694" w:right="1417.3228346456694"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alibri"/>
  <w:font w:name="Georgia"/>
  <w:font w:name="Times New Roman"/>
  <w:font w:name="Arial"/>
  <w:font w:name="Avenir"/>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A3">
      <w:pPr>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Universidade Federal de Santa Maria - UFSM, </w:t>
      </w:r>
      <w:hyperlink r:id="rId1">
        <w:r w:rsidDel="00000000" w:rsidR="00000000" w:rsidRPr="00000000">
          <w:rPr>
            <w:rFonts w:ascii="Avenir" w:cs="Avenir" w:eastAsia="Avenir" w:hAnsi="Avenir"/>
            <w:sz w:val="20"/>
            <w:szCs w:val="20"/>
            <w:u w:val="single"/>
            <w:rtl w:val="0"/>
          </w:rPr>
          <w:t xml:space="preserve">alisoneduardo1891@gmail.com</w:t>
        </w:r>
      </w:hyperlink>
      <w:r w:rsidDel="00000000" w:rsidR="00000000" w:rsidRPr="00000000">
        <w:rPr>
          <w:rFonts w:ascii="Avenir" w:cs="Avenir" w:eastAsia="Avenir" w:hAnsi="Avenir"/>
          <w:sz w:val="20"/>
          <w:szCs w:val="20"/>
          <w:rtl w:val="0"/>
        </w:rPr>
        <w:t xml:space="preserve"> </w:t>
      </w:r>
      <w:r w:rsidDel="00000000" w:rsidR="00000000" w:rsidRPr="00000000">
        <w:rPr>
          <w:rFonts w:ascii="Avenir" w:cs="Avenir" w:eastAsia="Avenir" w:hAnsi="Avenir"/>
          <w:sz w:val="20"/>
          <w:szCs w:val="20"/>
          <w:rtl w:val="0"/>
        </w:rPr>
        <w:t xml:space="preserve">.</w:t>
      </w:r>
    </w:p>
  </w:footnote>
  <w:footnote w:id="1">
    <w:p w:rsidR="00000000" w:rsidDel="00000000" w:rsidP="00000000" w:rsidRDefault="00000000" w:rsidRPr="00000000" w14:paraId="000000A4">
      <w:pPr>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Universidade Federal do Pampa - UNIPAMPA, </w:t>
      </w:r>
      <w:hyperlink r:id="rId2">
        <w:r w:rsidDel="00000000" w:rsidR="00000000" w:rsidRPr="00000000">
          <w:rPr>
            <w:rFonts w:ascii="Avenir" w:cs="Avenir" w:eastAsia="Avenir" w:hAnsi="Avenir"/>
            <w:sz w:val="20"/>
            <w:szCs w:val="20"/>
            <w:u w:val="single"/>
            <w:rtl w:val="0"/>
          </w:rPr>
          <w:t xml:space="preserve">viniciusdalbianco@unipampa.edu.br</w:t>
        </w:r>
      </w:hyperlink>
      <w:r w:rsidDel="00000000" w:rsidR="00000000" w:rsidRPr="00000000">
        <w:rPr>
          <w:rFonts w:ascii="Avenir" w:cs="Avenir" w:eastAsia="Avenir" w:hAnsi="Avenir"/>
          <w:sz w:val="20"/>
          <w:szCs w:val="20"/>
          <w:rtl w:val="0"/>
        </w:rPr>
        <w:t xml:space="preserve"> .</w:t>
      </w:r>
    </w:p>
  </w:footnote>
  <w:footnote w:id="3">
    <w:p w:rsidR="00000000" w:rsidDel="00000000" w:rsidP="00000000" w:rsidRDefault="00000000" w:rsidRPr="00000000" w14:paraId="000000A5">
      <w:pPr>
        <w:jc w:val="both"/>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highlight w:val="white"/>
          <w:rtl w:val="0"/>
        </w:rPr>
        <w:t xml:space="preserve">Dentro de cada parte, existem diversos questionamentos pertinentes relacionados à temática, por exemplo, na parte de “Como são os lotes?”, se questiona o entrevistado (assentado responsável pela família) sobre o maquinário e equipamento utilizado no lote, assim como quais são as principais benfeitorias, entre outros questionamentos; com isso, se obtém as informações utilizadas para criação de retratos e materiais audiovisuais, que possibilitam demonstrar de forma mais clara a realidade vivida pelas famílias assentadas.</w:t>
      </w:r>
      <w:r w:rsidDel="00000000" w:rsidR="00000000" w:rsidRPr="00000000">
        <w:rPr>
          <w:rtl w:val="0"/>
        </w:rPr>
      </w:r>
    </w:p>
  </w:footnote>
  <w:footnote w:id="4">
    <w:p w:rsidR="00000000" w:rsidDel="00000000" w:rsidP="00000000" w:rsidRDefault="00000000" w:rsidRPr="00000000" w14:paraId="000000A6">
      <w:pPr>
        <w:widowControl w:val="1"/>
        <w:ind w:left="0" w:firstLine="0"/>
        <w:jc w:val="both"/>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No ano de 2022 foram atualizadas as informações de três assentamentos rurais (São Joaquim, Recanto e Ibicuí) do município  de Santana do Livramento. Entre os assentamentos que tiveram as informações atualizadas, destaca-se o Ibicuí. O trabalho  de atualização do SIGRA foi</w:t>
      </w:r>
      <w:r w:rsidDel="00000000" w:rsidR="00000000" w:rsidRPr="00000000">
        <w:rPr>
          <w:rFonts w:ascii="Avenir" w:cs="Avenir" w:eastAsia="Avenir" w:hAnsi="Avenir"/>
          <w:sz w:val="20"/>
          <w:szCs w:val="20"/>
          <w:highlight w:val="white"/>
          <w:rtl w:val="0"/>
        </w:rPr>
        <w:t xml:space="preserve"> realizado pelo Grupo Interdisciplinar de Estudos em Desenvolvimento Rural - GIEDER. A metodologia da coleta de dados utilizou planilhas com informações das famílias e visitas em cada um dos lotes para a realização de entrevista com os moradores da comunidade. A iniciativa foi financiada pelo projeto “Implementação do SIGRA no programa de ATER para os assentamentos de reforma agrária -  Universidade Federal de Santa Maria". Foi usado como base o banco de dados do SIGRA 2016 e a digitalização e análise dos dados foi feita através do Excel. </w:t>
      </w:r>
      <w:r w:rsidDel="00000000" w:rsidR="00000000" w:rsidRPr="00000000">
        <w:rPr>
          <w:rtl w:val="0"/>
        </w:rPr>
      </w:r>
    </w:p>
  </w:footnote>
  <w:footnote w:id="5">
    <w:p w:rsidR="00000000" w:rsidDel="00000000" w:rsidP="00000000" w:rsidRDefault="00000000" w:rsidRPr="00000000" w14:paraId="000000A7">
      <w:pPr>
        <w:jc w:val="both"/>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Os assentamentos rurais de Santana do Livramento, 22 assentamentos foram tutelados pelo  Governo Federal e 8 pelo  Governo estadual.</w:t>
      </w:r>
    </w:p>
  </w:footnote>
  <w:footnote w:id="6">
    <w:p w:rsidR="00000000" w:rsidDel="00000000" w:rsidP="00000000" w:rsidRDefault="00000000" w:rsidRPr="00000000" w14:paraId="000000A8">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As vias de acesso do assentamento Ibicuí é caracterizado da seguinte forma: O assentamento</w:t>
      </w:r>
      <w:r w:rsidDel="00000000" w:rsidR="00000000" w:rsidRPr="00000000">
        <w:rPr>
          <w:sz w:val="20"/>
          <w:szCs w:val="20"/>
          <w:rtl w:val="0"/>
        </w:rPr>
        <w:t xml:space="preserve"> está localizado às margens do rio, passando pelas pontes sobre o rio Ibicuí da Cruz, ao leste da sede municipal de Santana do Livramento, região caracterizada por um terreno montanhoso. O assentamento Ibicuí está localizado a uma distância  média de 35 km da sede do município de Santana do Livramento. O principal acesso ao Ibicuí é feito por vias municipais sem pavimentação, o que é muito difícil para as famílias, pois em algumas partes não é possível se chegar nem mesmo com veículos leves em dias de chuva. Além do mais, os lotes são bem espalhados e é difícil chegar até essas famílias, sendo necessário pensar em possíveis políticas públicas para viabilizar o deslocamento das famílias assentadas. Em dias de precipitação, as vias ficam totalmente interrompidas. </w:t>
      </w:r>
    </w:p>
    <w:p w:rsidR="00000000" w:rsidDel="00000000" w:rsidP="00000000" w:rsidRDefault="00000000" w:rsidRPr="00000000" w14:paraId="000000A9">
      <w:pPr>
        <w:rPr>
          <w:sz w:val="20"/>
          <w:szCs w:val="20"/>
        </w:rPr>
      </w:pPr>
      <w:r w:rsidDel="00000000" w:rsidR="00000000" w:rsidRPr="00000000">
        <w:rPr>
          <w:rtl w:val="0"/>
        </w:rPr>
      </w:r>
    </w:p>
  </w:footnote>
  <w:footnote w:id="2">
    <w:p w:rsidR="00000000" w:rsidDel="00000000" w:rsidP="00000000" w:rsidRDefault="00000000" w:rsidRPr="00000000" w14:paraId="000000AA">
      <w:pPr>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Universidade Federal de Santa Maria - UFSM, </w:t>
      </w:r>
      <w:hyperlink r:id="rId3">
        <w:r w:rsidDel="00000000" w:rsidR="00000000" w:rsidRPr="00000000">
          <w:rPr>
            <w:rFonts w:ascii="Avenir" w:cs="Avenir" w:eastAsia="Avenir" w:hAnsi="Avenir"/>
            <w:sz w:val="20"/>
            <w:szCs w:val="20"/>
            <w:highlight w:val="white"/>
            <w:u w:val="single"/>
            <w:rtl w:val="0"/>
          </w:rPr>
          <w:t xml:space="preserve">pedroemanoelperesdiani@gmail.com</w:t>
        </w:r>
      </w:hyperlink>
      <w:r w:rsidDel="00000000" w:rsidR="00000000" w:rsidRPr="00000000">
        <w:rPr>
          <w:rFonts w:ascii="Avenir" w:cs="Avenir" w:eastAsia="Avenir" w:hAnsi="Avenir"/>
          <w:sz w:val="20"/>
          <w:szCs w:val="20"/>
          <w:highlight w:val="white"/>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253</wp:posOffset>
          </wp:positionV>
          <wp:extent cx="7559040" cy="2136140"/>
          <wp:effectExtent b="0" l="0" r="0" t="0"/>
          <wp:wrapNone/>
          <wp:docPr id="6"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559040" cy="213614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rebuchet MS" w:cs="Trebuchet MS" w:eastAsia="Trebuchet MS" w:hAnsi="Trebuchet MS"/>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40"/>
    </w:pPr>
    <w:rPr>
      <w:rFonts w:ascii="Trebuchet MS" w:cs="Trebuchet MS" w:eastAsia="Trebuchet MS" w:hAnsi="Trebuchet MS"/>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 w:lineRule="auto"/>
      <w:ind w:left="2392" w:right="869" w:hanging="1282"/>
    </w:pPr>
    <w:rPr>
      <w:rFonts w:ascii="Calibri" w:cs="Calibri" w:eastAsia="Calibri" w:hAnsi="Calibri"/>
      <w:sz w:val="36"/>
      <w:szCs w:val="36"/>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Trebuchet MS" w:cs="Trebuchet MS" w:eastAsia="Trebuchet MS" w:hAnsi="Trebuchet MS"/>
      <w:lang w:bidi="ar-SA" w:eastAsia="en-US" w:val="pt-PT"/>
    </w:rPr>
  </w:style>
  <w:style w:type="paragraph" w:styleId="BodyText">
    <w:name w:val="Body Text"/>
    <w:basedOn w:val="Normal"/>
    <w:uiPriority w:val="1"/>
    <w:qFormat w:val="1"/>
    <w:pPr/>
    <w:rPr>
      <w:rFonts w:ascii="Trebuchet MS" w:cs="Trebuchet MS" w:eastAsia="Trebuchet MS" w:hAnsi="Trebuchet MS"/>
      <w:sz w:val="24"/>
      <w:szCs w:val="24"/>
      <w:lang w:bidi="ar-SA" w:eastAsia="en-US" w:val="pt-PT"/>
    </w:rPr>
  </w:style>
  <w:style w:type="paragraph" w:styleId="Heading1">
    <w:name w:val="Heading 1"/>
    <w:basedOn w:val="Normal"/>
    <w:uiPriority w:val="1"/>
    <w:qFormat w:val="1"/>
    <w:pPr>
      <w:ind w:left="140"/>
      <w:outlineLvl w:val="1"/>
    </w:pPr>
    <w:rPr>
      <w:rFonts w:ascii="Trebuchet MS" w:cs="Trebuchet MS" w:eastAsia="Trebuchet MS" w:hAnsi="Trebuchet MS"/>
      <w:b w:val="1"/>
      <w:bCs w:val="1"/>
      <w:sz w:val="24"/>
      <w:szCs w:val="24"/>
      <w:lang w:bidi="ar-SA" w:eastAsia="en-US" w:val="pt-PT"/>
    </w:rPr>
  </w:style>
  <w:style w:type="paragraph" w:styleId="Title">
    <w:name w:val="Title"/>
    <w:basedOn w:val="Normal"/>
    <w:uiPriority w:val="1"/>
    <w:qFormat w:val="1"/>
    <w:pPr>
      <w:spacing w:before="1"/>
      <w:ind w:left="2392" w:right="869" w:hanging="1282"/>
    </w:pPr>
    <w:rPr>
      <w:rFonts w:ascii="Calibri" w:cs="Calibri" w:eastAsia="Calibri" w:hAnsi="Calibri"/>
      <w:sz w:val="36"/>
      <w:szCs w:val="36"/>
      <w:lang w:bidi="ar-SA" w:eastAsia="en-US" w:val="pt-PT"/>
    </w:rPr>
  </w:style>
  <w:style w:type="paragraph" w:styleId="ListParagraph">
    <w:name w:val="List Paragraph"/>
    <w:basedOn w:val="Normal"/>
    <w:uiPriority w:val="1"/>
    <w:qFormat w:val="1"/>
    <w:pPr/>
    <w:rPr>
      <w:lang w:bidi="ar-SA" w:eastAsia="en-US" w:val="pt-PT"/>
    </w:rPr>
  </w:style>
  <w:style w:type="paragraph" w:styleId="TableParagraph">
    <w:name w:val="Table Paragraph"/>
    <w:basedOn w:val="Normal"/>
    <w:uiPriority w:val="1"/>
    <w:qFormat w:val="1"/>
    <w:pPr/>
    <w:rPr>
      <w:lang w:bidi="ar-SA" w:eastAsia="en-US" w:val="pt-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https://periodicos.ufsm.br/extensaorural/article/view/74626" TargetMode="External"/><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hyperlink" Target="https://periodicos.newsciencepubl.com/arace/article/view/203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mailto:alisoneduardo1891@gmail.com" TargetMode="External"/><Relationship Id="rId2" Type="http://schemas.openxmlformats.org/officeDocument/2006/relationships/hyperlink" Target="mailto:viniciusdalbianco@unipampa.edu.br" TargetMode="External"/><Relationship Id="rId3" Type="http://schemas.openxmlformats.org/officeDocument/2006/relationships/hyperlink" Target="mailto:pedroemanoelperesdiani@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KwYAgDow++UZfk/5ubau4aGDeA==">CgMxLjAaHwoBMBIaChgICVIUChJ0YWJsZS5heWpxa29qZ3BneWgaHwoBMRIaChgICVIUChJ0YWJsZS51bHd3bnNwbGJtMTIaHwoBMhIaChgICVIUChJ0YWJsZS53ZGxrYzFuc2ZvaGQaHwoBMxIaChgICVIUChJ0YWJsZS51Nm54MjFuYnc1Y2gyCWguNDhwaTF0ZzIJaC4xZjdvMWhlMg5oLnVoZHNrMDRkeXlydjIOaC56aDcwemM1YmVucTYyDmguZmlkY2RjODdnZGUyMg5oLmR2ejFwanRzZW94czgAciExZnN0dk5lYzB5b3IyMTJTRDNUc1Z3el9wVTRTejg0Y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2025-04-12T14:31:12Z</dcterms:created>
  <dc:creator>Monica Tomin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2025-04-12T00:00:00Z</vt:filetime>
  </property>
  <property fmtid="{D5CDD505-2E9C-101B-9397-08002B2CF9AE}" pid="3" name="Creator">
    <vt:lpwstr>Microsoft® Word 2016</vt:lpwstr>
  </property>
  <property fmtid="{D5CDD505-2E9C-101B-9397-08002B2CF9AE}" pid="4" name="LastSaved">
    <vt:filetime>2025-04-12T00:00:00Z</vt:filetime>
  </property>
  <property fmtid="{D5CDD505-2E9C-101B-9397-08002B2CF9AE}" pid="5" name="Producer">
    <vt:lpwstr>www.ilovepdf.com</vt:lpwstr>
  </property>
</Properties>
</file>