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drawing>
          <wp:inline distT="114300" distB="114300" distL="114300" distR="114300">
            <wp:extent cx="1366520" cy="6254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6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b/>
          <w:sz w:val="20"/>
          <w:szCs w:val="20"/>
        </w:rPr>
      </w:pPr>
      <w:bookmarkStart w:id="1" w:name="_heading=h.30j0zll" w:colFirst="0" w:colLast="0"/>
      <w:bookmarkEnd w:id="1"/>
    </w:p>
    <w:p>
      <w:pPr>
        <w:spacing w:line="240" w:lineRule="auto"/>
        <w:jc w:val="both"/>
        <w:rPr>
          <w:b/>
          <w:sz w:val="20"/>
          <w:szCs w:val="20"/>
        </w:rPr>
      </w:pPr>
      <w:bookmarkStart w:id="2" w:name="_heading=h.1fob9te" w:colFirst="0" w:colLast="0"/>
      <w:bookmarkEnd w:id="2"/>
      <w:r>
        <w:rPr>
          <w:b/>
          <w:sz w:val="20"/>
          <w:szCs w:val="20"/>
          <w:rtl w:val="0"/>
        </w:rPr>
        <w:t xml:space="preserve">ARÉA TEMÁTICA: </w:t>
      </w:r>
      <w:r>
        <w:rPr>
          <w:rFonts w:hint="default"/>
          <w:b/>
          <w:sz w:val="20"/>
          <w:szCs w:val="20"/>
          <w:rtl w:val="0"/>
          <w:lang w:val="pt-BR"/>
        </w:rPr>
        <w:t>Taxonômia</w:t>
      </w:r>
    </w:p>
    <w:p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SUBÁREA TEMÁTICA: </w:t>
      </w:r>
      <w:r>
        <w:rPr>
          <w:rFonts w:hint="default"/>
          <w:b/>
          <w:sz w:val="20"/>
          <w:szCs w:val="20"/>
          <w:rtl w:val="0"/>
          <w:lang w:val="pt-BR"/>
        </w:rPr>
        <w:t>V</w:t>
      </w:r>
      <w:r>
        <w:rPr>
          <w:b/>
          <w:sz w:val="20"/>
          <w:szCs w:val="20"/>
          <w:rtl w:val="0"/>
        </w:rPr>
        <w:t>ertebrados</w:t>
      </w:r>
    </w:p>
    <w:p>
      <w:pPr>
        <w:spacing w:line="240" w:lineRule="auto"/>
        <w:rPr>
          <w:b/>
          <w:sz w:val="20"/>
          <w:szCs w:val="20"/>
        </w:rPr>
      </w:pPr>
    </w:p>
    <w:p>
      <w:pPr>
        <w:spacing w:before="240" w:after="120" w:line="240" w:lineRule="auto"/>
        <w:jc w:val="center"/>
        <w:rPr>
          <w:b/>
          <w:sz w:val="20"/>
          <w:szCs w:val="20"/>
        </w:rPr>
      </w:pPr>
      <w:r>
        <w:rPr>
          <w:b/>
          <w:sz w:val="24"/>
          <w:szCs w:val="24"/>
          <w:rtl w:val="0"/>
        </w:rPr>
        <w:t>DESENVOLVIMENTO LARVAL DE</w:t>
      </w:r>
      <w:r>
        <w:rPr>
          <w:b/>
          <w:i/>
          <w:sz w:val="24"/>
          <w:szCs w:val="24"/>
          <w:rtl w:val="0"/>
        </w:rPr>
        <w:t xml:space="preserve"> Salminus franciscanus</w:t>
      </w:r>
      <w:r>
        <w:rPr>
          <w:b/>
          <w:sz w:val="24"/>
          <w:szCs w:val="24"/>
          <w:rtl w:val="0"/>
        </w:rPr>
        <w:t xml:space="preserve"> LIMA &amp; BRITSKI, 2007 (CHARACIFORMES, BRYCONIDAE)</w:t>
      </w:r>
    </w:p>
    <w:p>
      <w:pPr>
        <w:spacing w:line="240" w:lineRule="auto"/>
        <w:rPr>
          <w:b/>
          <w:sz w:val="20"/>
          <w:szCs w:val="20"/>
        </w:rPr>
      </w:pP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Autores: Acacia Santos Silva¹, Pedro Gargur², Gustavo Ribeiro Rosa³ &amp; Marcelo Fulgêncio Guedes Brito⁴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¹ Universidade Federal de Sergipe (UFS), Campus São Cristóvão. E-mail (ASS): Acaciaskaikru3@gmail.com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² Universidade Federal de Sergipe (UFS), Campus São Cristóvão</w:t>
      </w:r>
      <w:r>
        <w:rPr>
          <w:i/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E-mail (PG): pedrogargur@uol.com.br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³ </w:t>
      </w:r>
      <w:r>
        <w:rPr>
          <w:color w:val="222222"/>
          <w:sz w:val="20"/>
          <w:szCs w:val="20"/>
          <w:highlight w:val="white"/>
          <w:rtl w:val="0"/>
        </w:rPr>
        <w:t>Life Fish Pesquisa e Consultoria Ambiental LTDA</w:t>
      </w:r>
      <w:r>
        <w:rPr>
          <w:sz w:val="18"/>
          <w:szCs w:val="18"/>
          <w:rtl w:val="0"/>
        </w:rPr>
        <w:t xml:space="preserve">, </w:t>
      </w:r>
      <w:r>
        <w:rPr>
          <w:sz w:val="20"/>
          <w:szCs w:val="20"/>
          <w:rtl w:val="0"/>
        </w:rPr>
        <w:t>Belo Horizonte</w:t>
      </w:r>
      <w:r>
        <w:rPr>
          <w:i/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 xml:space="preserve">E-mail (GRR): </w:t>
      </w:r>
      <w:r>
        <w:rPr>
          <w:sz w:val="21"/>
          <w:szCs w:val="21"/>
          <w:highlight w:val="white"/>
          <w:rtl w:val="0"/>
        </w:rPr>
        <w:t>gustavoribeirorosa@hotmail.com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⁴Universidade Federal de Sergipe (UFS), Campus São Cristóvão</w:t>
      </w:r>
      <w:r>
        <w:rPr>
          <w:i/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</w:rPr>
        <w:t>E-mail (MFGB): marcelictio@gmail.com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shd w:val="clear" w:fill="EAD1DC"/>
        </w:rPr>
      </w:pPr>
      <w:r>
        <w:rPr>
          <w:b/>
          <w:color w:val="auto"/>
          <w:sz w:val="20"/>
          <w:szCs w:val="20"/>
          <w:rtl w:val="0"/>
        </w:rPr>
        <w:t>INTRODUÇÃO</w:t>
      </w:r>
      <w:r>
        <w:rPr>
          <w:color w:val="auto"/>
          <w:sz w:val="20"/>
          <w:szCs w:val="20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rtl w:val="0"/>
        </w:rPr>
        <w:t xml:space="preserve"> Entre os peixes Neotropicais de água doce, Characiformes é uma das ordens mais diversa, com aproximadamente 2.300 espécies distribuídas em 24 famílias (</w:t>
      </w:r>
      <w:r>
        <w:rPr>
          <w:color w:val="auto"/>
          <w:sz w:val="20"/>
          <w:szCs w:val="20"/>
          <w:highlight w:val="white"/>
          <w:rtl w:val="0"/>
        </w:rPr>
        <w:t xml:space="preserve">Fricke </w:t>
      </w:r>
      <w:r>
        <w:rPr>
          <w:i/>
          <w:iCs/>
          <w:color w:val="auto"/>
          <w:sz w:val="20"/>
          <w:szCs w:val="20"/>
          <w:highlight w:val="white"/>
          <w:rtl w:val="0"/>
        </w:rPr>
        <w:t>et al.</w:t>
      </w:r>
      <w:r>
        <w:rPr>
          <w:color w:val="auto"/>
          <w:sz w:val="20"/>
          <w:szCs w:val="20"/>
          <w:highlight w:val="white"/>
          <w:rtl w:val="0"/>
        </w:rPr>
        <w:t>,</w:t>
      </w:r>
      <w:r>
        <w:rPr>
          <w:color w:val="auto"/>
          <w:sz w:val="20"/>
          <w:szCs w:val="20"/>
          <w:rtl w:val="0"/>
        </w:rPr>
        <w:t xml:space="preserve"> 2023). Os Characiformes apresentam grande variedade de formas, tamanhos e hábitos alimentares (Gery, 1977). Possuem notável importância ecológica, devido a sua abundância e diversidade, além de muitos serem comercialmente importantes como alimentos e peixes ornamentais (Weitzman e Palmer, 2003). </w:t>
      </w:r>
      <w:r>
        <w:rPr>
          <w:i/>
          <w:color w:val="auto"/>
          <w:sz w:val="20"/>
          <w:szCs w:val="20"/>
          <w:rtl w:val="0"/>
        </w:rPr>
        <w:t>Salminus</w:t>
      </w:r>
      <w:r>
        <w:rPr>
          <w:color w:val="auto"/>
          <w:sz w:val="20"/>
          <w:szCs w:val="20"/>
          <w:rtl w:val="0"/>
        </w:rPr>
        <w:t xml:space="preserve"> Spix &amp; Agassiz, 1829 são peixes da Família Bryconidae de grande porte (75 cm comprimento padrão), e conta atualmente com 12 espécies válidas (</w:t>
      </w:r>
      <w:r>
        <w:rPr>
          <w:color w:val="auto"/>
          <w:sz w:val="20"/>
          <w:szCs w:val="20"/>
          <w:highlight w:val="white"/>
          <w:rtl w:val="0"/>
        </w:rPr>
        <w:t xml:space="preserve">Fricke </w:t>
      </w:r>
      <w:r>
        <w:rPr>
          <w:i/>
          <w:iCs/>
          <w:color w:val="auto"/>
          <w:sz w:val="20"/>
          <w:szCs w:val="20"/>
          <w:highlight w:val="white"/>
          <w:rtl w:val="0"/>
        </w:rPr>
        <w:t>et al.</w:t>
      </w:r>
      <w:r>
        <w:rPr>
          <w:color w:val="auto"/>
          <w:sz w:val="20"/>
          <w:szCs w:val="20"/>
          <w:highlight w:val="white"/>
          <w:rtl w:val="0"/>
        </w:rPr>
        <w:t>, 2023</w:t>
      </w:r>
      <w:r>
        <w:rPr>
          <w:color w:val="auto"/>
          <w:sz w:val="20"/>
          <w:szCs w:val="20"/>
          <w:rtl w:val="0"/>
        </w:rPr>
        <w:t xml:space="preserve">). Nos seus estágios larvais, as espécies de </w:t>
      </w:r>
      <w:r>
        <w:rPr>
          <w:i/>
          <w:color w:val="auto"/>
          <w:sz w:val="20"/>
          <w:szCs w:val="20"/>
          <w:rtl w:val="0"/>
        </w:rPr>
        <w:t>Salminus</w:t>
      </w:r>
      <w:r>
        <w:rPr>
          <w:color w:val="auto"/>
          <w:sz w:val="20"/>
          <w:szCs w:val="20"/>
          <w:rtl w:val="0"/>
        </w:rPr>
        <w:t xml:space="preserve"> se alimentam de zooplâncton e quando adultos se tornam piscívoros, desempenhando um papel fundamental na dinâmica, no funcionamento e estrutura dos ecossistemas aquáticos (Esteves e Pinto-Lobo, 2001; Lima e Bristski, 2007). 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rtl w:val="0"/>
        </w:rPr>
        <w:t xml:space="preserve">O dourado </w:t>
      </w:r>
      <w:r>
        <w:rPr>
          <w:i/>
          <w:color w:val="auto"/>
          <w:sz w:val="20"/>
          <w:szCs w:val="20"/>
          <w:rtl w:val="0"/>
        </w:rPr>
        <w:t>Salminus</w:t>
      </w:r>
      <w:r>
        <w:rPr>
          <w:color w:val="auto"/>
          <w:sz w:val="20"/>
          <w:szCs w:val="20"/>
          <w:rtl w:val="0"/>
        </w:rPr>
        <w:t xml:space="preserve"> </w:t>
      </w:r>
      <w:r>
        <w:rPr>
          <w:i/>
          <w:color w:val="auto"/>
          <w:sz w:val="20"/>
          <w:szCs w:val="20"/>
          <w:rtl w:val="0"/>
        </w:rPr>
        <w:t xml:space="preserve">franciscanus </w:t>
      </w:r>
      <w:r>
        <w:rPr>
          <w:color w:val="auto"/>
          <w:sz w:val="20"/>
          <w:szCs w:val="20"/>
          <w:rtl w:val="0"/>
        </w:rPr>
        <w:t xml:space="preserve">Lima &amp; Britski, 2007 é um peixe endêmico da bacia do rio São Francisco e o segundo maior piscívoro da bacia. Apresenta grande importância na pesca profissional, como também na pesca esportiva (Lima e Britski, 2007). Apesar de ser um peixe conhecido há séculos, sua descrição taxonômica só ocorreu recentemente por Lima </w:t>
      </w:r>
      <w:r>
        <w:rPr>
          <w:rFonts w:hint="default"/>
          <w:color w:val="auto"/>
          <w:sz w:val="20"/>
          <w:szCs w:val="20"/>
          <w:rtl w:val="0"/>
          <w:lang w:val="pt-BR"/>
        </w:rPr>
        <w:t>e</w:t>
      </w:r>
      <w:r>
        <w:rPr>
          <w:color w:val="auto"/>
          <w:sz w:val="20"/>
          <w:szCs w:val="20"/>
          <w:rtl w:val="0"/>
        </w:rPr>
        <w:t xml:space="preserve"> Britski (2007). As informações acerca da sua ontogenia em ambiente natural ainda representam uma grande lacuna de conhecimento, e desta forma, o presente estudo tem por objetivo descrever o desenvolvimento inicial de </w:t>
      </w:r>
      <w:r>
        <w:rPr>
          <w:i/>
          <w:color w:val="auto"/>
          <w:sz w:val="20"/>
          <w:szCs w:val="20"/>
          <w:rtl w:val="0"/>
        </w:rPr>
        <w:t xml:space="preserve">S. franciscanus </w:t>
      </w:r>
      <w:r>
        <w:rPr>
          <w:color w:val="auto"/>
          <w:sz w:val="20"/>
          <w:szCs w:val="20"/>
          <w:rtl w:val="0"/>
        </w:rPr>
        <w:t>amostrado em ambiente natural na bacia hidrográfica do rio São Francisco.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color w:val="auto"/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color w:val="auto"/>
          <w:sz w:val="20"/>
          <w:szCs w:val="20"/>
        </w:rPr>
      </w:pPr>
      <w:bookmarkStart w:id="3" w:name="_GoBack"/>
      <w:bookmarkEnd w:id="3"/>
      <w:r>
        <w:rPr>
          <w:b/>
          <w:color w:val="auto"/>
          <w:sz w:val="20"/>
          <w:szCs w:val="20"/>
          <w:rtl w:val="0"/>
        </w:rPr>
        <w:t>MATERIAL E MÉTODOS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rtl w:val="0"/>
        </w:rPr>
        <w:t>A bacia do rio São Francisco, terceira maior da América do Sul, abrange 639.219 km² de área e se estende por territórios de Minas Gerais, Goiás, Bahia, Pernambuco, Alagoas, Sergipe e Distrito Federal. Com base nas características do perfil longitudinal do rio e seus principais afluentes, a bacia do rio São Francisco é subdividida em quatro grandes áreas: alto, médio, sub-médio e baixo (</w:t>
      </w:r>
      <w:r>
        <w:rPr>
          <w:color w:val="auto"/>
          <w:sz w:val="20"/>
          <w:szCs w:val="20"/>
          <w:highlight w:val="white"/>
          <w:rtl w:val="0"/>
        </w:rPr>
        <w:t>CBHSF, 2023</w:t>
      </w:r>
      <w:r>
        <w:rPr>
          <w:color w:val="auto"/>
          <w:sz w:val="16"/>
          <w:szCs w:val="16"/>
          <w:rtl w:val="0"/>
        </w:rPr>
        <w:t>)</w:t>
      </w:r>
      <w:r>
        <w:rPr>
          <w:color w:val="auto"/>
          <w:sz w:val="20"/>
          <w:szCs w:val="20"/>
          <w:rtl w:val="0"/>
        </w:rPr>
        <w:t xml:space="preserve">. </w:t>
      </w:r>
      <w:r>
        <w:rPr>
          <w:color w:val="auto"/>
          <w:sz w:val="20"/>
          <w:szCs w:val="20"/>
          <w:highlight w:val="white"/>
          <w:rtl w:val="0"/>
        </w:rPr>
        <w:t>As coletas de ictioplâncton foram realizadas semanalmente no período noturno entre os meses de novembro/2019 - março/2020 e novembro/2020 - março/2021 na porção final do médio</w:t>
      </w:r>
      <w:r>
        <w:rPr>
          <w:rFonts w:hint="default"/>
          <w:color w:val="auto"/>
          <w:sz w:val="20"/>
          <w:szCs w:val="20"/>
          <w:highlight w:val="white"/>
          <w:rtl w:val="0"/>
          <w:lang w:val="pt-BR"/>
        </w:rPr>
        <w:t xml:space="preserve"> </w:t>
      </w:r>
      <w:r>
        <w:rPr>
          <w:color w:val="auto"/>
          <w:sz w:val="20"/>
          <w:szCs w:val="20"/>
          <w:highlight w:val="white"/>
          <w:rtl w:val="0"/>
        </w:rPr>
        <w:t>São Francisco, município de Xique-Xique (BA). Foram amostrados três pontos (Licença SISBIO n</w:t>
      </w:r>
      <w:r>
        <w:rPr>
          <w:rFonts w:hint="default"/>
          <w:color w:val="auto"/>
          <w:sz w:val="20"/>
          <w:szCs w:val="20"/>
          <w:highlight w:val="white"/>
          <w:rtl w:val="0"/>
          <w:lang w:val="pt-BR"/>
        </w:rPr>
        <w:t>º</w:t>
      </w:r>
      <w:r>
        <w:rPr>
          <w:color w:val="auto"/>
          <w:sz w:val="20"/>
          <w:szCs w:val="20"/>
          <w:highlight w:val="white"/>
          <w:rtl w:val="0"/>
        </w:rPr>
        <w:t xml:space="preserve"> 75713-1) por meio de uma rede de ictioplâncton cônica-cilíndrica (50 cm diâmetro de boca da rede, malha 300 Micra) com fluxômetro mecânico (General</w:t>
      </w:r>
      <w:r>
        <w:rPr>
          <w:color w:val="auto"/>
          <w:sz w:val="20"/>
          <w:szCs w:val="20"/>
          <w:rtl w:val="0"/>
        </w:rPr>
        <w:t xml:space="preserve"> Oceanics, 2030BR) acoplado à boca da rede (Nakatani et al., 2001). O material coletado foi anestesiado em eugenol e fixado em formol tamponado a 4%. Em seguida passou por triagem e análise em laboratório.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szCs w:val="20"/>
          <w:rtl w:val="0"/>
        </w:rPr>
        <w:t xml:space="preserve">Durante as análises morfológicas e morfométricas foram utilizadas estruturas-chave para descrever o processo de desenvolvimento com o auxílio de ocular milimetrada acoplada ao estereomicroscópio. </w:t>
      </w:r>
      <w:r>
        <w:rPr>
          <w:color w:val="auto"/>
          <w:sz w:val="20"/>
          <w:szCs w:val="20"/>
          <w:highlight w:val="white"/>
          <w:rtl w:val="0"/>
        </w:rPr>
        <w:t>Das larvas e juvenis iniciais, os caracteres morfométricos (Figura 1) obtidos foram comprimento total (CT); comprimento padrão (CP); comprimento do focinho (CF); diâmetro do olho (DOL); comprimento da cabeça (CC); comprimento do tronco (Ctr); comprimento da cauda (Cca); altura da cabeça (AC); altura do corpo (ACO); distância pré-peitoral (DFNP); distância pré-pélvica (DFNPv); distância pré-dorsal (DFND) e distância pré-anal (DFNA). Os caracteres merísticos foram número de miômeros pré-anais, número de miômeros pós-anais e número de raios das nadadeiras peitoral, dorsal, pélvicas e anal. Para as características morfológicas foram analisadas formação da cauda, absorção do saco vitelino, formação da boca, olhos, flexão da notocorda, formação das nadadeiras e padrão de pigmentação, sendo fotografados e ilustrados os indivíduos que melhor representaram essas características.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color w:val="auto"/>
          <w:sz w:val="20"/>
          <w:szCs w:val="20"/>
          <w:highlight w:val="white"/>
        </w:rPr>
      </w:pPr>
      <w:r>
        <w:rPr>
          <w:color w:val="auto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1489075</wp:posOffset>
            </wp:positionH>
            <wp:positionV relativeFrom="paragraph">
              <wp:posOffset>46990</wp:posOffset>
            </wp:positionV>
            <wp:extent cx="2752725" cy="15589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b/>
          <w:color w:val="auto"/>
          <w:sz w:val="20"/>
          <w:szCs w:val="20"/>
          <w:highlight w:val="whit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b/>
          <w:color w:val="auto"/>
          <w:sz w:val="20"/>
          <w:szCs w:val="20"/>
          <w:highlight w:val="whit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b/>
          <w:color w:val="auto"/>
          <w:sz w:val="20"/>
          <w:szCs w:val="20"/>
          <w:highlight w:val="whit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b/>
          <w:color w:val="auto"/>
          <w:sz w:val="20"/>
          <w:szCs w:val="20"/>
          <w:highlight w:val="whit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szCs w:val="20"/>
          <w:highlight w:val="white"/>
          <w:rtl w:val="0"/>
        </w:rPr>
        <w:t>Figura 1. Desenho esquemático das variáveis morfométricas analisadas: comprimento do focinho (CF), diâmetro do olho (DOL), altura da cabeça (AC), altura do corpo (ACO), comprimento da cabeça (CC), comprimento padrão (CP), comprimento total (CT).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color w:val="auto"/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color w:val="auto"/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rtl w:val="0"/>
        </w:rPr>
        <w:t xml:space="preserve">RESULTADOS E DISCUSSÃO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0"/>
          <w:szCs w:val="20"/>
          <w:highlight w:val="white"/>
          <w:rtl w:val="0"/>
        </w:rPr>
      </w:pPr>
      <w:r>
        <w:rPr>
          <w:color w:val="auto"/>
          <w:sz w:val="20"/>
          <w:szCs w:val="20"/>
          <w:highlight w:val="white"/>
          <w:rtl w:val="0"/>
        </w:rPr>
        <w:t xml:space="preserve">No presente trabalho foram analisadas 29 larvas de </w:t>
      </w:r>
      <w:r>
        <w:rPr>
          <w:i/>
          <w:color w:val="auto"/>
          <w:sz w:val="20"/>
          <w:szCs w:val="20"/>
          <w:highlight w:val="white"/>
          <w:rtl w:val="0"/>
        </w:rPr>
        <w:t>S.</w:t>
      </w:r>
      <w:r>
        <w:rPr>
          <w:color w:val="auto"/>
          <w:sz w:val="20"/>
          <w:szCs w:val="20"/>
          <w:highlight w:val="white"/>
          <w:rtl w:val="0"/>
        </w:rPr>
        <w:t xml:space="preserve"> </w:t>
      </w:r>
      <w:r>
        <w:rPr>
          <w:i/>
          <w:color w:val="auto"/>
          <w:sz w:val="20"/>
          <w:szCs w:val="20"/>
          <w:highlight w:val="white"/>
          <w:rtl w:val="0"/>
        </w:rPr>
        <w:t xml:space="preserve">franciscanus. </w:t>
      </w:r>
      <w:r>
        <w:rPr>
          <w:color w:val="auto"/>
          <w:sz w:val="20"/>
          <w:szCs w:val="20"/>
          <w:highlight w:val="white"/>
          <w:rtl w:val="0"/>
        </w:rPr>
        <w:t xml:space="preserve">Deste total 3 encontravam-se nos estágios de pré-flexão (9,3-9,5 mm CP), 19 flexão (7,5-10 mm CP), 4 pós-flexão (12-14 mm CP) e 3 juvenil (17-22,5 mm CP) (Figura 2). As larvas apresentam corpo de tamanho moderado a longo (ACO entre 14,73 e 22,5%), cabeça de tamanho moderado a grande (CC entre 15 e 35%) e os olhos são pequenos nas fases iniciais (DOL &lt; 25%) e se tornam moderados em pós-flexão e juvenil (DOL entre 23,2 e 26,8%). A boca é terminal com dentes presentes a partir do estágio de pré-flexão e a abertura anal localiza-se na região posterior do corpo. O botão da nadadeira peitoral é visível em pré-flexão e os raios da nadadeira caudal começam a surgir em flexão. Em pós-flexão é possivel observar raios nas nadadeiras dorsal, anal e caudal. É também neste estágio que ocorre o surgimento do botão na nadadeira pélvica. Possuem de </w:t>
      </w:r>
      <w:r>
        <w:rPr>
          <w:color w:val="auto"/>
          <w:sz w:val="20"/>
          <w:szCs w:val="20"/>
          <w:rtl w:val="0"/>
        </w:rPr>
        <w:t>40</w:t>
      </w:r>
      <w:r>
        <w:rPr>
          <w:color w:val="auto"/>
          <w:sz w:val="20"/>
          <w:szCs w:val="20"/>
          <w:highlight w:val="white"/>
          <w:rtl w:val="0"/>
        </w:rPr>
        <w:t xml:space="preserve"> a </w:t>
      </w:r>
      <w:r>
        <w:rPr>
          <w:color w:val="auto"/>
          <w:sz w:val="20"/>
          <w:szCs w:val="20"/>
          <w:rtl w:val="0"/>
        </w:rPr>
        <w:t>48</w:t>
      </w:r>
      <w:r>
        <w:rPr>
          <w:color w:val="auto"/>
          <w:sz w:val="20"/>
          <w:szCs w:val="20"/>
          <w:highlight w:val="white"/>
          <w:rtl w:val="0"/>
        </w:rPr>
        <w:t xml:space="preserve"> miômeros, variando entre</w:t>
      </w:r>
      <w:r>
        <w:rPr>
          <w:color w:val="auto"/>
          <w:sz w:val="20"/>
          <w:szCs w:val="20"/>
          <w:rtl w:val="0"/>
        </w:rPr>
        <w:t xml:space="preserve"> 40 a 42 em </w:t>
      </w:r>
      <w:r>
        <w:rPr>
          <w:color w:val="auto"/>
          <w:sz w:val="20"/>
          <w:szCs w:val="20"/>
          <w:highlight w:val="white"/>
          <w:rtl w:val="0"/>
        </w:rPr>
        <w:t>pré-flexão,</w:t>
      </w:r>
      <w:r>
        <w:rPr>
          <w:color w:val="auto"/>
          <w:sz w:val="20"/>
          <w:szCs w:val="20"/>
          <w:rtl w:val="0"/>
        </w:rPr>
        <w:t xml:space="preserve"> 43 a 45 flexão, 46 a 47 </w:t>
      </w:r>
      <w:r>
        <w:rPr>
          <w:color w:val="auto"/>
          <w:sz w:val="20"/>
          <w:szCs w:val="20"/>
          <w:highlight w:val="white"/>
          <w:rtl w:val="0"/>
        </w:rPr>
        <w:t>pós-flexão e de 47 a 48 em Juvenil. A pigmentação inicialmente concentra-se ao longo do intestino e no pedúnculo caudal. Em pós-flexão a pigmentação se intensifica por todo o corpo, concentrando-se na região frontal e superior da cabeça. Possui um padrão de pigmentação com cromatóforos dendríticos que se estendem nos raios das nadadeiras. A pigmentação se intensifica na fase juvenil, formando uma faixa no pedúnculo caudal que intensifica durante o desenvolvimento larval.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1"/>
          <w:szCs w:val="21"/>
          <w:highlight w:val="white"/>
          <w:rtl w:val="0"/>
        </w:rPr>
      </w:pPr>
      <w:r>
        <w:rPr>
          <w:color w:val="auto"/>
          <w:sz w:val="20"/>
          <w:szCs w:val="20"/>
          <w:highlight w:val="white"/>
          <w:rtl w:val="0"/>
        </w:rPr>
        <w:t xml:space="preserve">A pigmentação nas larvas de peixes é uma característica taxonômica importante e favorece a sobrevivência das espécies em fases mais avançadas, pois a presença de pigmentos espalhados ao longo do corpo da larva tende a ser uma estratégia de camuflagem, favorecendo a sobrevivência destes animais, pois nesta fase são muito suscetíveis à predação (Correia </w:t>
      </w:r>
      <w:r>
        <w:rPr>
          <w:i/>
          <w:iCs/>
          <w:color w:val="auto"/>
          <w:sz w:val="20"/>
          <w:szCs w:val="20"/>
          <w:highlight w:val="white"/>
          <w:rtl w:val="0"/>
        </w:rPr>
        <w:t>et al.</w:t>
      </w:r>
      <w:r>
        <w:rPr>
          <w:color w:val="auto"/>
          <w:sz w:val="20"/>
          <w:szCs w:val="20"/>
          <w:highlight w:val="white"/>
          <w:rtl w:val="0"/>
        </w:rPr>
        <w:t xml:space="preserve">, 2010). As espécies de </w:t>
      </w:r>
      <w:r>
        <w:rPr>
          <w:i/>
          <w:color w:val="auto"/>
          <w:sz w:val="20"/>
          <w:szCs w:val="20"/>
          <w:highlight w:val="white"/>
          <w:rtl w:val="0"/>
        </w:rPr>
        <w:t>Salminus</w:t>
      </w:r>
      <w:r>
        <w:rPr>
          <w:color w:val="auto"/>
          <w:sz w:val="20"/>
          <w:szCs w:val="20"/>
          <w:highlight w:val="white"/>
          <w:rtl w:val="0"/>
        </w:rPr>
        <w:t xml:space="preserve"> geralmente são pouco pigmentadas no início da fase larval. Isso dificulta a identificação por predadores visualmente orientados, aumentando as chances de sobrevivência. Essa escassa pigmentação pode estar associada às características comportamentais (Maciel </w:t>
      </w:r>
      <w:r>
        <w:rPr>
          <w:i/>
          <w:iCs/>
          <w:color w:val="auto"/>
          <w:sz w:val="20"/>
          <w:szCs w:val="20"/>
          <w:highlight w:val="white"/>
          <w:rtl w:val="0"/>
        </w:rPr>
        <w:t>et al.</w:t>
      </w:r>
      <w:r>
        <w:rPr>
          <w:color w:val="auto"/>
          <w:sz w:val="20"/>
          <w:szCs w:val="20"/>
          <w:highlight w:val="white"/>
          <w:rtl w:val="0"/>
        </w:rPr>
        <w:t xml:space="preserve">, 2010), pois larvas de peixes de água doce tropicais com comportamento pelágico são geralmente pouco pigmentadas, podendo apresentar mudanças no padrão da pigmentação quando passam a explorar outras regiões (Galuch </w:t>
      </w:r>
      <w:r>
        <w:rPr>
          <w:i/>
          <w:iCs/>
          <w:color w:val="auto"/>
          <w:sz w:val="20"/>
          <w:szCs w:val="20"/>
          <w:highlight w:val="white"/>
          <w:rtl w:val="0"/>
        </w:rPr>
        <w:t>et al.</w:t>
      </w:r>
      <w:r>
        <w:rPr>
          <w:color w:val="auto"/>
          <w:sz w:val="20"/>
          <w:szCs w:val="20"/>
          <w:highlight w:val="white"/>
          <w:rtl w:val="0"/>
        </w:rPr>
        <w:t>, 2003). Durante o desenvolvimento larval, os indivíduos começam a desenvolver capacidade natatória de interagir com componentes bióticos e abióticos e influenciar ativamente sua sobrevivência de várias maneiras, devido ao desenvolvimento de sua musculatura e nadadeiras (Fuiman, 1983).</w:t>
      </w:r>
      <w:r>
        <w:rPr>
          <w:color w:val="auto"/>
          <w:sz w:val="21"/>
          <w:szCs w:val="21"/>
          <w:highlight w:val="white"/>
          <w:rtl w:val="0"/>
        </w:rPr>
        <w:t xml:space="preserve"> Esta autonomia é importante para a predação, já que esses animais forrageiam ativamente pela busca de alimento, e isso é fundamental por essa espécie ser um predador de topo de cadeia (Esteves e Pinto Lobo, 2001). </w:t>
      </w:r>
      <w:r>
        <w:rPr>
          <w:i/>
          <w:color w:val="auto"/>
          <w:sz w:val="21"/>
          <w:szCs w:val="21"/>
          <w:highlight w:val="white"/>
          <w:rtl w:val="0"/>
        </w:rPr>
        <w:t>Salminus</w:t>
      </w:r>
      <w:r>
        <w:rPr>
          <w:color w:val="auto"/>
          <w:sz w:val="21"/>
          <w:szCs w:val="21"/>
          <w:highlight w:val="white"/>
          <w:rtl w:val="0"/>
        </w:rPr>
        <w:t xml:space="preserve"> </w:t>
      </w:r>
      <w:r>
        <w:rPr>
          <w:i/>
          <w:color w:val="auto"/>
          <w:sz w:val="21"/>
          <w:szCs w:val="21"/>
          <w:highlight w:val="white"/>
          <w:rtl w:val="0"/>
        </w:rPr>
        <w:t xml:space="preserve">franciscanus </w:t>
      </w:r>
      <w:r>
        <w:rPr>
          <w:color w:val="auto"/>
          <w:sz w:val="21"/>
          <w:szCs w:val="21"/>
          <w:highlight w:val="white"/>
          <w:rtl w:val="0"/>
        </w:rPr>
        <w:t xml:space="preserve">possui um desenvolvimento rápido, e esse crescimento acelerado das larvas é um dos parâmetros importantes para reduzir a perda por predação, o que justifica uma alimentação adequada </w:t>
      </w:r>
      <w:r>
        <w:rPr>
          <w:sz w:val="20"/>
          <w:szCs w:val="20"/>
          <w:highlight w:val="white"/>
          <w:rtl w:val="0"/>
        </w:rPr>
        <w:t>(zooplâncton e pequenos invertebrados)</w:t>
      </w:r>
      <w:r>
        <w:rPr>
          <w:sz w:val="21"/>
          <w:szCs w:val="21"/>
          <w:highlight w:val="white"/>
          <w:rtl w:val="0"/>
        </w:rPr>
        <w:t xml:space="preserve"> </w:t>
      </w:r>
      <w:r>
        <w:rPr>
          <w:color w:val="auto"/>
          <w:sz w:val="21"/>
          <w:szCs w:val="21"/>
          <w:highlight w:val="white"/>
          <w:rtl w:val="0"/>
        </w:rPr>
        <w:t>que contribua com os gastos energéticos necessários  (Z</w:t>
      </w:r>
      <w:r>
        <w:rPr>
          <w:color w:val="auto"/>
          <w:sz w:val="21"/>
          <w:szCs w:val="21"/>
          <w:highlight w:val="white"/>
          <w:rtl w:val="0"/>
        </w:rPr>
        <w:t>aniboni Filho,  2000).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1"/>
          <w:szCs w:val="21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color w:val="auto"/>
          <w:sz w:val="21"/>
          <w:szCs w:val="21"/>
          <w:highlight w:val="whit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b/>
          <w:sz w:val="20"/>
          <w:szCs w:val="20"/>
        </w:rPr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10795</wp:posOffset>
            </wp:positionV>
            <wp:extent cx="3547745" cy="1883410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b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Figura 2. Figura com as fases larvais do </w:t>
      </w:r>
      <w:r>
        <w:rPr>
          <w:i/>
          <w:sz w:val="20"/>
          <w:szCs w:val="20"/>
          <w:rtl w:val="0"/>
        </w:rPr>
        <w:t>Salminus franciscanus</w:t>
      </w:r>
      <w:r>
        <w:rPr>
          <w:sz w:val="20"/>
          <w:szCs w:val="20"/>
          <w:rtl w:val="0"/>
        </w:rPr>
        <w:t xml:space="preserve"> em</w:t>
      </w:r>
      <w:r>
        <w:rPr>
          <w:i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(a) Pré-flexão, (b) Flexão, (c) Pós-flexão e (d) Juvenil.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CONCLUSÕES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sz w:val="20"/>
          <w:szCs w:val="20"/>
          <w:highlight w:val="white"/>
        </w:rPr>
      </w:pPr>
      <w:r>
        <w:rPr>
          <w:sz w:val="20"/>
          <w:szCs w:val="20"/>
          <w:rtl w:val="0"/>
        </w:rPr>
        <w:t xml:space="preserve">A identificação taxonômica de larvas em estágios iniciais é uma atividade complexa, tendo em vista que as descrições disponíveis na literatura não abrangem a riqueza real da espécie. As informações geradas no presente estudo sobre o desenvolvimento inicial de </w:t>
      </w:r>
      <w:r>
        <w:rPr>
          <w:i/>
          <w:sz w:val="20"/>
          <w:szCs w:val="20"/>
          <w:rtl w:val="0"/>
        </w:rPr>
        <w:t>S. franciscanus</w:t>
      </w:r>
      <w:r>
        <w:rPr>
          <w:sz w:val="20"/>
          <w:szCs w:val="20"/>
          <w:rtl w:val="0"/>
        </w:rPr>
        <w:t xml:space="preserve"> em ambiente natural </w:t>
      </w:r>
      <w:r>
        <w:rPr>
          <w:sz w:val="20"/>
          <w:szCs w:val="20"/>
          <w:highlight w:val="white"/>
          <w:rtl w:val="0"/>
        </w:rPr>
        <w:t xml:space="preserve">fornecerão importante base para a identificação de larvas da espécie, bem como subsídios para o entendimento da comunidade íctica e a determinação de áreas e períodos de desova.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sz w:val="20"/>
          <w:szCs w:val="20"/>
          <w:highlight w:val="whit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 w:val="0"/>
        </w:rPr>
        <w:t>Apoio: Fundo Brasileiro para a Biodiversidade, Plano Nacional de Assistência Estudantil, Conselho Nacional de Desenvolvimento Científico e Tecnológico.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"/>
        <w:jc w:val="both"/>
        <w:textAlignment w:val="auto"/>
        <w:rPr>
          <w:color w:val="0000FF"/>
          <w:sz w:val="20"/>
          <w:szCs w:val="20"/>
          <w:highlight w:val="white"/>
        </w:rPr>
      </w:pPr>
      <w:r>
        <w:rPr>
          <w:sz w:val="20"/>
          <w:szCs w:val="20"/>
          <w:rtl w:val="0"/>
        </w:rPr>
        <w:br w:type="textWrapping"/>
      </w:r>
      <w:r>
        <w:rPr>
          <w:b/>
          <w:sz w:val="20"/>
          <w:szCs w:val="20"/>
          <w:rtl w:val="0"/>
        </w:rPr>
        <w:t>REFERÊNCIAS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 w:val="0"/>
        </w:rPr>
        <w:t xml:space="preserve">CBHSF, 2023. A bacia. Comitê da Bacia Hidrográfica do São Francisco.  Belo Horizonte. 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  <w:rtl w:val="0"/>
        </w:rPr>
        <w:t>Correia, M.;  Maciel, C.; Nascimento, L.  &amp; Maciel, J. A. 2010.  Ontogenia da pigmentação das larvas de três espécies de Characiformes, criadas em incubatório. Enciclopédia Biosfera 6 (11): 1-14.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  <w:rtl w:val="0"/>
        </w:rPr>
        <w:t xml:space="preserve">Esteves, K. E. &amp; Pinto Lôbo, A. V. 2001. Feeding pattern of </w:t>
      </w:r>
      <w:r>
        <w:rPr>
          <w:i/>
          <w:color w:val="000000"/>
          <w:sz w:val="20"/>
          <w:szCs w:val="20"/>
          <w:highlight w:val="white"/>
          <w:rtl w:val="0"/>
        </w:rPr>
        <w:t>Salminus maxillosus</w:t>
      </w:r>
      <w:r>
        <w:rPr>
          <w:color w:val="000000"/>
          <w:sz w:val="20"/>
          <w:szCs w:val="20"/>
          <w:highlight w:val="white"/>
          <w:rtl w:val="0"/>
        </w:rPr>
        <w:t xml:space="preserve"> (Pisces, Characidae) at Cachoeira das Emas, Mogi-Guaçu River (São Paulo State, southeast Brazil).</w:t>
      </w:r>
      <w:r>
        <w:rPr>
          <w:color w:val="202124"/>
          <w:sz w:val="20"/>
          <w:szCs w:val="20"/>
          <w:shd w:val="clear" w:fill="F8F9FA"/>
          <w:rtl w:val="0"/>
        </w:rPr>
        <w:t>Brazilian Journal of Biology</w:t>
      </w:r>
      <w:r>
        <w:rPr>
          <w:color w:val="000000"/>
          <w:sz w:val="20"/>
          <w:szCs w:val="20"/>
          <w:highlight w:val="white"/>
          <w:rtl w:val="0"/>
        </w:rPr>
        <w:t>, 61(2): 267-276.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rtl w:val="0"/>
        </w:rPr>
        <w:t>Fuiman, L.A.; Conner, J.V.; Lathrop, B.F.; Buynak, G.L.; Snyder, D.E. and Loos, J.J. 1983. State of the art of identification for cyprinid fish larvae from eastern North America. Transactions of the American Fisheries Society, 112(2): 319-332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  <w:rtl w:val="0"/>
        </w:rPr>
        <w:t>Fricke, R.</w:t>
      </w:r>
      <w:r>
        <w:rPr>
          <w:sz w:val="20"/>
          <w:szCs w:val="20"/>
          <w:highlight w:val="white"/>
          <w:rtl w:val="0"/>
        </w:rPr>
        <w:t xml:space="preserve">; </w:t>
      </w:r>
      <w:r>
        <w:rPr>
          <w:color w:val="000000"/>
          <w:sz w:val="20"/>
          <w:szCs w:val="20"/>
          <w:highlight w:val="white"/>
          <w:rtl w:val="0"/>
        </w:rPr>
        <w:t xml:space="preserve">Eschmeyer, WN &amp; </w:t>
      </w:r>
      <w:r>
        <w:rPr>
          <w:sz w:val="20"/>
          <w:szCs w:val="20"/>
          <w:highlight w:val="white"/>
          <w:rtl w:val="0"/>
        </w:rPr>
        <w:t>V</w:t>
      </w:r>
      <w:r>
        <w:rPr>
          <w:color w:val="000000"/>
          <w:sz w:val="20"/>
          <w:szCs w:val="20"/>
          <w:highlight w:val="white"/>
          <w:rtl w:val="0"/>
        </w:rPr>
        <w:t>an der Laan, R. 2023. Catalog of Fishes: genera, species, references.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232323"/>
          <w:sz w:val="20"/>
          <w:szCs w:val="20"/>
          <w:highlight w:val="white"/>
        </w:rPr>
      </w:pPr>
      <w:r>
        <w:rPr>
          <w:color w:val="232323"/>
          <w:sz w:val="20"/>
          <w:szCs w:val="20"/>
          <w:highlight w:val="white"/>
          <w:rtl w:val="0"/>
        </w:rPr>
        <w:t>Géry, J. 1977. Characoids of the World. TFH Publications, Neptune City, 672 p.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0"/>
          <w:szCs w:val="20"/>
        </w:rPr>
      </w:pPr>
      <w:r>
        <w:rPr>
          <w:color w:val="000000"/>
          <w:sz w:val="20"/>
          <w:szCs w:val="20"/>
          <w:rtl w:val="0"/>
        </w:rPr>
        <w:t>Galuch, A. V.; Suiberto, M. R.; Nakatani, K.; Bialetzki, A.</w:t>
      </w:r>
      <w:r>
        <w:rPr>
          <w:sz w:val="20"/>
          <w:szCs w:val="20"/>
          <w:rtl w:val="0"/>
        </w:rPr>
        <w:t xml:space="preserve"> &amp;</w:t>
      </w:r>
      <w:r>
        <w:rPr>
          <w:color w:val="000000"/>
          <w:sz w:val="20"/>
          <w:szCs w:val="20"/>
          <w:rtl w:val="0"/>
        </w:rPr>
        <w:t xml:space="preserve"> Baumgartner, G. 2003. Desenvolvimento inicial e distribuição temporal de larvas e juvenis de </w:t>
      </w:r>
      <w:r>
        <w:rPr>
          <w:i/>
          <w:color w:val="000000"/>
          <w:sz w:val="20"/>
          <w:szCs w:val="20"/>
          <w:rtl w:val="0"/>
        </w:rPr>
        <w:t>Bryconamericus stramineus</w:t>
      </w:r>
      <w:r>
        <w:rPr>
          <w:color w:val="000000"/>
          <w:sz w:val="20"/>
          <w:szCs w:val="20"/>
          <w:rtl w:val="0"/>
        </w:rPr>
        <w:t xml:space="preserve"> Eigenmann, 1908 (Osteichthyes, Characidae) na planície alagável do alto rio Paraná, Brasil. Acta Scientiarum</w:t>
      </w:r>
      <w:r>
        <w:rPr>
          <w:sz w:val="20"/>
          <w:szCs w:val="20"/>
          <w:rtl w:val="0"/>
        </w:rPr>
        <w:t xml:space="preserve">. </w:t>
      </w:r>
      <w:r>
        <w:rPr>
          <w:color w:val="000000"/>
          <w:sz w:val="20"/>
          <w:szCs w:val="20"/>
          <w:rtl w:val="0"/>
        </w:rPr>
        <w:t>25</w:t>
      </w:r>
      <w:r>
        <w:rPr>
          <w:sz w:val="20"/>
          <w:szCs w:val="20"/>
          <w:rtl w:val="0"/>
        </w:rPr>
        <w:t>(</w:t>
      </w:r>
      <w:r>
        <w:rPr>
          <w:color w:val="000000"/>
          <w:sz w:val="20"/>
          <w:szCs w:val="20"/>
          <w:rtl w:val="0"/>
        </w:rPr>
        <w:t xml:space="preserve"> 2)</w:t>
      </w:r>
      <w:r>
        <w:rPr>
          <w:sz w:val="20"/>
          <w:szCs w:val="20"/>
          <w:rtl w:val="0"/>
        </w:rPr>
        <w:t>:</w:t>
      </w:r>
      <w:r>
        <w:rPr>
          <w:color w:val="000000"/>
          <w:sz w:val="20"/>
          <w:szCs w:val="20"/>
          <w:rtl w:val="0"/>
        </w:rPr>
        <w:t xml:space="preserve"> 335- 343.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 xml:space="preserve">Lima, C. T. L. &amp; Britski, H. A. 2007. </w:t>
      </w:r>
      <w:r>
        <w:rPr>
          <w:i/>
          <w:color w:val="000000"/>
          <w:sz w:val="20"/>
          <w:szCs w:val="20"/>
          <w:rtl w:val="0"/>
        </w:rPr>
        <w:t>Salminus franciscanus</w:t>
      </w:r>
      <w:r>
        <w:rPr>
          <w:color w:val="000000"/>
          <w:sz w:val="20"/>
          <w:szCs w:val="20"/>
          <w:rtl w:val="0"/>
        </w:rPr>
        <w:t>, a new species from the rio São Francisco basin, Brazil (Ostariophysi: Characiformes: Characidae). Neotropical Ichthyology, 5(3):237-244.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  <w:rtl w:val="0"/>
        </w:rPr>
        <w:t>Maciel, C. M. R. R.; Lanna, E. A. T.; Maciel Junior, A.; Donzele, J. L.; Neves, C. A. &amp; Menin E. 2010. Morphological and behavioral development of the piracanjuba larvae. R. Bras. Zootec., 39(5): 961-970.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  <w:rtl w:val="0"/>
        </w:rPr>
        <w:t>Nakatani, K.; Agostinho., A. A.; Baumgartner G.; Bialetzki A.; Sanches P. V.; Makrakis M. C. &amp; Pavanelli C. S. 2001. Ovos e larvas de peixes de água doce: desenvolvimento e manual de identificação. Eduem, Maringá. 378p.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000000"/>
          <w:sz w:val="20"/>
          <w:szCs w:val="20"/>
          <w:highlight w:val="white"/>
          <w:rtl w:val="0"/>
        </w:rPr>
        <w:t>Weitzman, S. H.</w:t>
      </w:r>
      <w:r>
        <w:rPr>
          <w:sz w:val="20"/>
          <w:szCs w:val="20"/>
          <w:highlight w:val="white"/>
          <w:rtl w:val="0"/>
        </w:rPr>
        <w:t xml:space="preserve"> &amp;</w:t>
      </w:r>
      <w:r>
        <w:rPr>
          <w:color w:val="000000"/>
          <w:sz w:val="20"/>
          <w:szCs w:val="20"/>
          <w:highlight w:val="white"/>
          <w:rtl w:val="0"/>
        </w:rPr>
        <w:t xml:space="preserve"> Palmer, L.  2003. Family Gasteropelecidae (Freshwater hatchetfishes). In: Reis, R. E.; Kullander, S. O.</w:t>
      </w:r>
      <w:r>
        <w:rPr>
          <w:sz w:val="20"/>
          <w:szCs w:val="20"/>
          <w:highlight w:val="white"/>
          <w:rtl w:val="0"/>
        </w:rPr>
        <w:t xml:space="preserve"> &amp;</w:t>
      </w:r>
      <w:r>
        <w:rPr>
          <w:color w:val="000000"/>
          <w:sz w:val="20"/>
          <w:szCs w:val="20"/>
          <w:highlight w:val="white"/>
          <w:rtl w:val="0"/>
        </w:rPr>
        <w:t xml:space="preserve"> Fe</w:t>
      </w:r>
      <w:r>
        <w:rPr>
          <w:sz w:val="20"/>
          <w:szCs w:val="20"/>
          <w:highlight w:val="white"/>
          <w:rtl w:val="0"/>
        </w:rPr>
        <w:t>rraris</w:t>
      </w:r>
      <w:r>
        <w:rPr>
          <w:color w:val="000000"/>
          <w:sz w:val="20"/>
          <w:szCs w:val="20"/>
          <w:highlight w:val="white"/>
          <w:rtl w:val="0"/>
        </w:rPr>
        <w:t>, C. J. Check List of the Freshwater Fishes of South and Central America (CLOFFSCA). Porto Alegre: Edipucrs,  p. 101–103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FF"/>
          <w:sz w:val="20"/>
          <w:szCs w:val="20"/>
          <w:highlight w:val="white"/>
        </w:rPr>
      </w:pPr>
      <w:r>
        <w:rPr>
          <w:sz w:val="20"/>
          <w:szCs w:val="20"/>
          <w:rtl w:val="0"/>
        </w:rPr>
        <w:t>Zaniboni Filho, E. 2000. Larvicultura de peixes de água doce. Informe Agropecuário, Belo Horizonte, p. 69-77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2D5908"/>
    <w:rsid w:val="4CB726ED"/>
    <w:rsid w:val="4EEE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annotation text"/>
    <w:basedOn w:val="1"/>
    <w:link w:val="1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annotation subject"/>
    <w:basedOn w:val="12"/>
    <w:next w:val="12"/>
    <w:link w:val="20"/>
    <w:semiHidden/>
    <w:unhideWhenUsed/>
    <w:uiPriority w:val="99"/>
    <w:rPr>
      <w:b/>
      <w:bCs/>
    </w:rPr>
  </w:style>
  <w:style w:type="paragraph" w:styleId="16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o de comentário Char"/>
    <w:basedOn w:val="8"/>
    <w:link w:val="12"/>
    <w:semiHidden/>
    <w:uiPriority w:val="99"/>
    <w:rPr>
      <w:sz w:val="20"/>
      <w:szCs w:val="20"/>
    </w:r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Assunto do comentário Char"/>
    <w:basedOn w:val="18"/>
    <w:link w:val="15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Cp6ObFLjID0coRsWAr71aliTdA==">CgMxLjAyCGguZ2pkZ3hzMgloLjMwajB6bGwyCWguMWZvYjl0ZTgAciExeHNyRWx4UmdBbTItLUJPd3JsRHBORXB6NWtiY0FfWXE=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2023-09-16T03:23:00Z</dcterms:created>
  <dc:creator>Lenovo</dc:creator>
  <cp:lastModifiedBy>Lenovo</cp:lastModifiedBy>
  <dcterms:modified xsi:type="dcterms:W3CDTF">2023-10-16T21:43:19Z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4ECE3AA54B7342D78468E75B375C9EE0_12</vt:lpwstr>
  </property>
</Properties>
</file>