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5730" w14:textId="77777777" w:rsidR="00861247" w:rsidRPr="00091607" w:rsidRDefault="00861247" w:rsidP="00091607">
      <w:pPr>
        <w:spacing w:line="240" w:lineRule="auto"/>
        <w:ind w:leftChars="0" w:left="0" w:firstLineChars="0" w:firstLine="0"/>
        <w:rPr>
          <w:b/>
          <w:bCs/>
          <w:sz w:val="24"/>
          <w:szCs w:val="24"/>
        </w:rPr>
      </w:pPr>
    </w:p>
    <w:p w14:paraId="4E21B1F0" w14:textId="008F7190" w:rsidR="004A25DE" w:rsidRPr="00091607" w:rsidRDefault="004A25DE" w:rsidP="00091607">
      <w:pPr>
        <w:spacing w:line="240" w:lineRule="auto"/>
        <w:ind w:leftChars="0" w:left="2" w:hanging="2"/>
        <w:jc w:val="center"/>
        <w:rPr>
          <w:b/>
          <w:bCs/>
          <w:position w:val="0"/>
          <w:sz w:val="24"/>
          <w:szCs w:val="24"/>
          <w:lang w:eastAsia="en-US"/>
        </w:rPr>
      </w:pPr>
      <w:r w:rsidRPr="00091607">
        <w:rPr>
          <w:b/>
          <w:bCs/>
          <w:sz w:val="24"/>
          <w:szCs w:val="24"/>
        </w:rPr>
        <w:t>ANALISIS DE LAS CONDICIONES DEL PROCESO DE ARTICULACIÓN ENTRE LA EDUCACIÓN MEDIA Y LA EDUCACIÓN SUPERIOR, COMO ESTRATEGIA PARA DISMINUIR LOS RIESGOS DE DESERCIÓN UNIVERSITARIA</w:t>
      </w:r>
    </w:p>
    <w:p w14:paraId="5908981C" w14:textId="77777777" w:rsidR="00C637C2" w:rsidRPr="00091607" w:rsidRDefault="00C637C2" w:rsidP="00091607">
      <w:pPr>
        <w:spacing w:line="240" w:lineRule="auto"/>
        <w:ind w:left="0" w:hanging="2"/>
        <w:rPr>
          <w:sz w:val="24"/>
          <w:szCs w:val="24"/>
        </w:rPr>
      </w:pPr>
    </w:p>
    <w:p w14:paraId="381DA32F" w14:textId="222A6A07" w:rsidR="004A25DE" w:rsidRPr="00091607" w:rsidRDefault="00177CB2" w:rsidP="00091607">
      <w:pPr>
        <w:tabs>
          <w:tab w:val="left" w:pos="7078"/>
          <w:tab w:val="left" w:pos="9638"/>
        </w:tabs>
        <w:spacing w:line="240" w:lineRule="auto"/>
        <w:ind w:left="0" w:hanging="2"/>
        <w:rPr>
          <w:color w:val="000000"/>
          <w:sz w:val="24"/>
          <w:szCs w:val="24"/>
        </w:rPr>
      </w:pPr>
      <w:r w:rsidRPr="00091607">
        <w:rPr>
          <w:b/>
          <w:sz w:val="24"/>
          <w:szCs w:val="24"/>
        </w:rPr>
        <w:t>Línea Temática</w:t>
      </w:r>
      <w:r w:rsidRPr="00091607">
        <w:rPr>
          <w:sz w:val="24"/>
          <w:szCs w:val="24"/>
        </w:rPr>
        <w:t xml:space="preserve">: </w:t>
      </w:r>
      <w:r w:rsidR="004A25DE" w:rsidRPr="00091607">
        <w:rPr>
          <w:color w:val="000000"/>
          <w:sz w:val="24"/>
          <w:szCs w:val="24"/>
        </w:rPr>
        <w:t>Articulación de la Educación Superior con las Enseñanzas Medias – Prácticas relacionadas con el acceso a la Educación Superio</w:t>
      </w:r>
      <w:r w:rsidR="00861247" w:rsidRPr="00091607">
        <w:rPr>
          <w:color w:val="000000"/>
          <w:sz w:val="24"/>
          <w:szCs w:val="24"/>
        </w:rPr>
        <w:t>r</w:t>
      </w:r>
    </w:p>
    <w:p w14:paraId="63F5AB6C" w14:textId="77777777" w:rsidR="004A25DE" w:rsidRPr="00091607" w:rsidRDefault="004A25DE" w:rsidP="00091607">
      <w:pPr>
        <w:tabs>
          <w:tab w:val="left" w:pos="7078"/>
          <w:tab w:val="left" w:pos="9638"/>
        </w:tabs>
        <w:spacing w:line="240" w:lineRule="auto"/>
        <w:ind w:left="0" w:hanging="2"/>
        <w:rPr>
          <w:color w:val="000000"/>
          <w:sz w:val="24"/>
          <w:szCs w:val="24"/>
        </w:rPr>
      </w:pPr>
    </w:p>
    <w:p w14:paraId="54A9B970" w14:textId="56971236" w:rsidR="004A25DE" w:rsidRPr="00091607" w:rsidRDefault="004A25DE" w:rsidP="00091607">
      <w:pPr>
        <w:spacing w:line="240" w:lineRule="auto"/>
        <w:ind w:leftChars="0" w:left="2" w:hanging="2"/>
        <w:jc w:val="right"/>
        <w:rPr>
          <w:i/>
          <w:sz w:val="24"/>
          <w:szCs w:val="24"/>
        </w:rPr>
      </w:pPr>
      <w:r w:rsidRPr="00091607">
        <w:rPr>
          <w:i/>
          <w:sz w:val="24"/>
          <w:szCs w:val="24"/>
        </w:rPr>
        <w:t>Luisa Fernanda</w:t>
      </w:r>
      <w:r w:rsidR="00C9757C" w:rsidRPr="00C9757C">
        <w:rPr>
          <w:i/>
          <w:sz w:val="24"/>
          <w:szCs w:val="24"/>
        </w:rPr>
        <w:t xml:space="preserve"> </w:t>
      </w:r>
      <w:proofErr w:type="spellStart"/>
      <w:r w:rsidR="00C9757C" w:rsidRPr="00091607">
        <w:rPr>
          <w:i/>
          <w:sz w:val="24"/>
          <w:szCs w:val="24"/>
        </w:rPr>
        <w:t>Benitez</w:t>
      </w:r>
      <w:proofErr w:type="spellEnd"/>
      <w:r w:rsidRPr="00091607">
        <w:rPr>
          <w:i/>
          <w:sz w:val="24"/>
          <w:szCs w:val="24"/>
        </w:rPr>
        <w:t xml:space="preserve">, Universidad Sergio Arboleda, </w:t>
      </w:r>
      <w:r w:rsidRPr="00091607">
        <w:rPr>
          <w:rStyle w:val="Hyperlink"/>
          <w:sz w:val="24"/>
          <w:szCs w:val="24"/>
        </w:rPr>
        <w:t>lfbenitez77@outlook.com</w:t>
      </w:r>
    </w:p>
    <w:p w14:paraId="1B2EEEB0" w14:textId="11CBAFCF" w:rsidR="004A25DE" w:rsidRPr="00091607" w:rsidRDefault="004A25DE" w:rsidP="00091607">
      <w:pPr>
        <w:spacing w:line="240" w:lineRule="auto"/>
        <w:ind w:leftChars="0" w:left="2" w:hanging="2"/>
        <w:jc w:val="right"/>
        <w:rPr>
          <w:color w:val="605E5C"/>
          <w:sz w:val="24"/>
          <w:szCs w:val="24"/>
          <w:shd w:val="clear" w:color="auto" w:fill="FFFFFF"/>
        </w:rPr>
      </w:pPr>
      <w:r w:rsidRPr="00091607">
        <w:rPr>
          <w:i/>
          <w:sz w:val="24"/>
          <w:szCs w:val="24"/>
        </w:rPr>
        <w:t>Isabel Cristina</w:t>
      </w:r>
      <w:r w:rsidR="00C9757C" w:rsidRPr="00C9757C">
        <w:rPr>
          <w:i/>
          <w:sz w:val="24"/>
          <w:szCs w:val="24"/>
        </w:rPr>
        <w:t xml:space="preserve"> </w:t>
      </w:r>
      <w:r w:rsidR="00C9757C" w:rsidRPr="00091607">
        <w:rPr>
          <w:i/>
          <w:sz w:val="24"/>
          <w:szCs w:val="24"/>
        </w:rPr>
        <w:t>Flórez</w:t>
      </w:r>
      <w:r w:rsidRPr="00091607">
        <w:rPr>
          <w:i/>
          <w:sz w:val="24"/>
          <w:szCs w:val="24"/>
        </w:rPr>
        <w:t xml:space="preserve">, Universidad Sergio Arboleda, </w:t>
      </w:r>
      <w:hyperlink r:id="rId12" w:history="1">
        <w:r w:rsidRPr="00091607">
          <w:rPr>
            <w:rStyle w:val="Hyperlink"/>
            <w:sz w:val="24"/>
            <w:szCs w:val="24"/>
          </w:rPr>
          <w:t>Isabelc.florez@hotmail.com</w:t>
        </w:r>
      </w:hyperlink>
    </w:p>
    <w:p w14:paraId="4C757581" w14:textId="4CE43E09" w:rsidR="00C637C2" w:rsidRPr="00091607" w:rsidRDefault="00177CB2" w:rsidP="00091607">
      <w:pPr>
        <w:tabs>
          <w:tab w:val="left" w:pos="9638"/>
        </w:tabs>
        <w:spacing w:line="240" w:lineRule="auto"/>
        <w:ind w:left="0" w:hanging="2"/>
        <w:jc w:val="right"/>
        <w:rPr>
          <w:i/>
          <w:iCs/>
          <w:color w:val="000000"/>
          <w:sz w:val="24"/>
          <w:szCs w:val="24"/>
        </w:rPr>
      </w:pPr>
      <w:r w:rsidRPr="00091607">
        <w:rPr>
          <w:sz w:val="24"/>
          <w:szCs w:val="24"/>
        </w:rPr>
        <w:t xml:space="preserve">     </w:t>
      </w:r>
    </w:p>
    <w:p w14:paraId="74EFEC59" w14:textId="1B72A3D4" w:rsidR="00C9318A" w:rsidRPr="00091607" w:rsidRDefault="00C9318A" w:rsidP="00091607">
      <w:pPr>
        <w:spacing w:line="240" w:lineRule="auto"/>
        <w:ind w:leftChars="0" w:left="0" w:firstLineChars="0" w:firstLine="0"/>
        <w:rPr>
          <w:b/>
          <w:sz w:val="24"/>
          <w:szCs w:val="24"/>
        </w:rPr>
      </w:pPr>
      <w:r w:rsidRPr="00091607">
        <w:rPr>
          <w:b/>
          <w:sz w:val="24"/>
          <w:szCs w:val="24"/>
        </w:rPr>
        <w:t>Resumen</w:t>
      </w:r>
    </w:p>
    <w:p w14:paraId="0E9885F6" w14:textId="7CDBF549" w:rsidR="00C9318A" w:rsidRPr="00091607" w:rsidRDefault="00C9318A" w:rsidP="00091607">
      <w:pPr>
        <w:spacing w:line="240" w:lineRule="auto"/>
        <w:ind w:leftChars="0" w:left="0" w:firstLineChars="0" w:firstLine="0"/>
        <w:rPr>
          <w:sz w:val="24"/>
          <w:szCs w:val="24"/>
          <w:lang w:eastAsia="es-CO"/>
        </w:rPr>
      </w:pPr>
      <w:r w:rsidRPr="00091607">
        <w:rPr>
          <w:sz w:val="24"/>
          <w:szCs w:val="24"/>
          <w:lang w:eastAsia="es-CO"/>
        </w:rPr>
        <w:t xml:space="preserve">En Colombia para el 2017, las cifras de deserción universitaria eran del 50 %, es decir, uno de cada dos estudiantes que ingresan al sistema de educación superior deciden desertar, siendo más fuerte este fenómeno en los tres primeros semestres. Los diferentes estudios han demostrado que existen diferentes factores que inciden la decisión de los estudiantes frente a permanecer o no en el sistema de educación superior y uno de los aspectos que han entrado en estos análisis es el proceso de articulación existente entre la educación media y la educación superior. </w:t>
      </w:r>
      <w:r w:rsidRPr="00091607">
        <w:rPr>
          <w:sz w:val="24"/>
          <w:szCs w:val="24"/>
        </w:rPr>
        <w:t xml:space="preserve">Desde diferentes líneas y organizaciones, se ha venido consolidando una necesidad imperante de implementar estrategias para facilitar y apoyar la transición de la educación media a la educación superior, con el fin de disminuir la brecha existente entre los índices de estudiantes egresados </w:t>
      </w:r>
      <w:r w:rsidRPr="00471E09">
        <w:rPr>
          <w:sz w:val="24"/>
          <w:szCs w:val="24"/>
        </w:rPr>
        <w:t xml:space="preserve">de un nivel que logran ingresar a otro (Colegio a universidad), así como también incidir positivamente en el éxito académico y en la disminución de fenómenos como la deserción universitaria. </w:t>
      </w:r>
      <w:r w:rsidRPr="00471E09">
        <w:rPr>
          <w:sz w:val="24"/>
          <w:szCs w:val="24"/>
          <w:lang w:eastAsia="es-CO"/>
        </w:rPr>
        <w:t xml:space="preserve"> En este sentido, se propone una investigación de corte </w:t>
      </w:r>
      <w:r w:rsidR="004A51C5" w:rsidRPr="00471E09">
        <w:rPr>
          <w:sz w:val="24"/>
          <w:szCs w:val="24"/>
          <w:lang w:eastAsia="es-CO"/>
        </w:rPr>
        <w:t xml:space="preserve">hermenéutico – cualitativo que busca analizar las condiciones del procesos de articulación entre </w:t>
      </w:r>
      <w:r w:rsidRPr="00471E09">
        <w:rPr>
          <w:sz w:val="24"/>
          <w:szCs w:val="24"/>
          <w:lang w:eastAsia="es-CO"/>
        </w:rPr>
        <w:t>la educación media y la educación superior, como estrategia para disminuir los riesgos de deserción universitaria; esto partiendo de la premisa de que los procesos de articulación adecuados permiten a los individuos hacer un tránsito más sano en el marco de su ciclo vital por lo que se espera que existan impactos significativos en la permanencia universitaria</w:t>
      </w:r>
      <w:r w:rsidRPr="00091607">
        <w:rPr>
          <w:sz w:val="24"/>
          <w:szCs w:val="24"/>
          <w:lang w:eastAsia="es-CO"/>
        </w:rPr>
        <w:t xml:space="preserve">. </w:t>
      </w:r>
    </w:p>
    <w:p w14:paraId="788D53E8" w14:textId="77777777" w:rsidR="00091607" w:rsidRPr="00091607" w:rsidRDefault="00091607" w:rsidP="00091607">
      <w:pPr>
        <w:spacing w:line="240" w:lineRule="auto"/>
        <w:ind w:leftChars="0" w:left="0" w:firstLineChars="0" w:firstLine="0"/>
        <w:rPr>
          <w:position w:val="0"/>
          <w:sz w:val="24"/>
          <w:szCs w:val="24"/>
          <w:lang w:eastAsia="en-US"/>
        </w:rPr>
      </w:pPr>
    </w:p>
    <w:p w14:paraId="0C57F46E" w14:textId="23447769" w:rsidR="00C9318A" w:rsidRPr="00091607" w:rsidRDefault="00C9318A" w:rsidP="00091607">
      <w:pPr>
        <w:spacing w:line="240" w:lineRule="auto"/>
        <w:ind w:left="0" w:hanging="2"/>
        <w:rPr>
          <w:sz w:val="24"/>
          <w:szCs w:val="24"/>
        </w:rPr>
      </w:pPr>
      <w:r w:rsidRPr="00091607">
        <w:rPr>
          <w:b/>
          <w:sz w:val="24"/>
          <w:szCs w:val="24"/>
        </w:rPr>
        <w:t>Palabras clave:</w:t>
      </w:r>
      <w:r w:rsidR="004A51C5">
        <w:rPr>
          <w:sz w:val="24"/>
          <w:szCs w:val="24"/>
        </w:rPr>
        <w:t xml:space="preserve"> Deserción, articulación, educación media, educación s</w:t>
      </w:r>
      <w:r w:rsidRPr="00091607">
        <w:rPr>
          <w:sz w:val="24"/>
          <w:szCs w:val="24"/>
        </w:rPr>
        <w:t xml:space="preserve">uperior. </w:t>
      </w:r>
    </w:p>
    <w:p w14:paraId="0915AB7F" w14:textId="77777777" w:rsidR="00C9318A" w:rsidRPr="00091607" w:rsidRDefault="00C9318A" w:rsidP="00091607">
      <w:pPr>
        <w:pBdr>
          <w:top w:val="nil"/>
          <w:left w:val="nil"/>
          <w:bottom w:val="nil"/>
          <w:right w:val="nil"/>
          <w:between w:val="nil"/>
        </w:pBdr>
        <w:tabs>
          <w:tab w:val="center" w:pos="4419"/>
          <w:tab w:val="right" w:pos="8838"/>
        </w:tabs>
        <w:spacing w:line="240" w:lineRule="auto"/>
        <w:ind w:leftChars="0" w:left="0" w:firstLineChars="0" w:firstLine="0"/>
        <w:rPr>
          <w:b/>
          <w:sz w:val="24"/>
          <w:szCs w:val="24"/>
        </w:rPr>
      </w:pPr>
    </w:p>
    <w:p w14:paraId="4625604D" w14:textId="6A596CA1" w:rsidR="004A25DE" w:rsidRPr="00091607" w:rsidRDefault="00C9318A" w:rsidP="00091607">
      <w:pPr>
        <w:pStyle w:val="PargrafodaLista"/>
        <w:numPr>
          <w:ilvl w:val="0"/>
          <w:numId w:val="6"/>
        </w:numPr>
        <w:spacing w:after="120"/>
        <w:rPr>
          <w:rFonts w:ascii="Times New Roman" w:hAnsi="Times New Roman" w:cs="Times New Roman"/>
          <w:b/>
          <w:lang w:eastAsia="es-CO"/>
        </w:rPr>
      </w:pPr>
      <w:r w:rsidRPr="00091607">
        <w:rPr>
          <w:rFonts w:ascii="Times New Roman" w:hAnsi="Times New Roman" w:cs="Times New Roman"/>
          <w:b/>
          <w:lang w:eastAsia="es-CO"/>
        </w:rPr>
        <w:t xml:space="preserve">Introducción </w:t>
      </w:r>
    </w:p>
    <w:p w14:paraId="3C01B118" w14:textId="7BECB874" w:rsidR="007E413C" w:rsidRDefault="007E413C" w:rsidP="007E413C">
      <w:pPr>
        <w:ind w:left="-2" w:firstLineChars="0" w:firstLine="0"/>
        <w:rPr>
          <w:sz w:val="24"/>
          <w:szCs w:val="24"/>
          <w:lang w:eastAsia="es-CO"/>
        </w:rPr>
      </w:pPr>
      <w:r w:rsidRPr="007E413C">
        <w:rPr>
          <w:sz w:val="24"/>
          <w:szCs w:val="24"/>
          <w:lang w:eastAsia="es-CO"/>
        </w:rPr>
        <w:t>El fenómeno de la deserción universitaria en un tema que tiene un lugar primordial en las agendas educativas de Colombia, la región y el mundo. De acuerdo con el MEN (2019) las</w:t>
      </w:r>
      <w:r>
        <w:rPr>
          <w:sz w:val="24"/>
          <w:szCs w:val="24"/>
          <w:lang w:eastAsia="es-CO"/>
        </w:rPr>
        <w:t xml:space="preserve"> cifras</w:t>
      </w:r>
      <w:r w:rsidRPr="007E413C">
        <w:rPr>
          <w:sz w:val="24"/>
          <w:szCs w:val="24"/>
          <w:lang w:eastAsia="es-CO"/>
        </w:rPr>
        <w:t xml:space="preserve"> actualizadas sobre este asunto, indican que para el 2019, en Colombia, 1 de cada 3 estudiantes que ingresaron al sistema de educación superior desertaron (26.85% tasa de deserción promedio acumulada), esto partiendo de la premisa de que en Colombia la deserción se define como el abandono durante dos periodos consecutivos del sistema educativo, la institución de educación superior o el programa académicos. (Bohórquez, 2021)</w:t>
      </w:r>
      <w:r>
        <w:rPr>
          <w:sz w:val="24"/>
          <w:szCs w:val="24"/>
          <w:lang w:eastAsia="es-CO"/>
        </w:rPr>
        <w:t>.</w:t>
      </w:r>
    </w:p>
    <w:p w14:paraId="59ACE5CA" w14:textId="008A12ED" w:rsidR="00B758BF" w:rsidRDefault="007E413C" w:rsidP="00B758BF">
      <w:pPr>
        <w:ind w:left="-2" w:firstLineChars="0" w:firstLine="0"/>
        <w:rPr>
          <w:sz w:val="24"/>
          <w:szCs w:val="24"/>
          <w:lang w:eastAsia="es-CO"/>
        </w:rPr>
      </w:pPr>
      <w:r>
        <w:rPr>
          <w:sz w:val="24"/>
          <w:szCs w:val="24"/>
          <w:lang w:eastAsia="es-CO"/>
        </w:rPr>
        <w:lastRenderedPageBreak/>
        <w:t xml:space="preserve">Las implicaciones del fenómeno de la deserción son muchas y muy variadas, generando impactos desde el punto de vista individual, social, económico, etc. y reflejándose en la pérdida de recursos públicos y privados, sin embargo, uno de los principales impactos está asociado a la ruptura de los proyectos de vida de los jóvenes, lo cual genera una significativa preocupación por establecer mecanismos y estrategias protectoras, más aun, cuando se conoce que los riesgos están mayormente concentrados en los primeros semestres. </w:t>
      </w:r>
    </w:p>
    <w:p w14:paraId="4C04B4AF" w14:textId="5148ECFE" w:rsidR="00F6564D" w:rsidRDefault="00F6564D" w:rsidP="00B758BF">
      <w:pPr>
        <w:ind w:left="-2" w:firstLineChars="0" w:firstLine="0"/>
        <w:rPr>
          <w:sz w:val="24"/>
          <w:szCs w:val="24"/>
          <w:lang w:eastAsia="es-CO"/>
        </w:rPr>
      </w:pPr>
    </w:p>
    <w:p w14:paraId="4DB06B66" w14:textId="55AA6778" w:rsidR="001A6BA9" w:rsidRDefault="00F6564D" w:rsidP="00B758BF">
      <w:pPr>
        <w:spacing w:line="240" w:lineRule="auto"/>
        <w:ind w:leftChars="0" w:left="0" w:firstLineChars="0" w:firstLine="0"/>
        <w:rPr>
          <w:color w:val="000000" w:themeColor="text1"/>
          <w:sz w:val="24"/>
          <w:szCs w:val="24"/>
          <w:lang w:eastAsia="es-CO"/>
        </w:rPr>
      </w:pPr>
      <w:r w:rsidRPr="001A6BA9">
        <w:rPr>
          <w:color w:val="000000" w:themeColor="text1"/>
          <w:sz w:val="24"/>
          <w:szCs w:val="24"/>
          <w:lang w:eastAsia="es-CO"/>
        </w:rPr>
        <w:t xml:space="preserve">Vélez y López (2004), refieren que las causas asociadas a la deserción transitan desde la </w:t>
      </w:r>
      <w:r w:rsidR="001A6BA9" w:rsidRPr="001A6BA9">
        <w:rPr>
          <w:color w:val="000000" w:themeColor="text1"/>
          <w:sz w:val="24"/>
          <w:szCs w:val="24"/>
          <w:lang w:eastAsia="es-CO"/>
        </w:rPr>
        <w:t>disponibilidad</w:t>
      </w:r>
      <w:r w:rsidRPr="001A6BA9">
        <w:rPr>
          <w:color w:val="000000" w:themeColor="text1"/>
          <w:sz w:val="24"/>
          <w:szCs w:val="24"/>
          <w:lang w:eastAsia="es-CO"/>
        </w:rPr>
        <w:t xml:space="preserve"> de recursos económicos, la orientación socio ocupacional y vocacional de los estudiantes, </w:t>
      </w:r>
      <w:r w:rsidR="001A6BA9" w:rsidRPr="001A6BA9">
        <w:rPr>
          <w:color w:val="000000" w:themeColor="text1"/>
          <w:sz w:val="24"/>
          <w:szCs w:val="24"/>
          <w:lang w:eastAsia="es-CO"/>
        </w:rPr>
        <w:t>los factores socioculturales</w:t>
      </w:r>
      <w:r w:rsidRPr="001A6BA9">
        <w:rPr>
          <w:color w:val="000000" w:themeColor="text1"/>
          <w:sz w:val="24"/>
          <w:szCs w:val="24"/>
          <w:lang w:eastAsia="es-CO"/>
        </w:rPr>
        <w:t xml:space="preserve"> de la familia y del estudiante, el nivel de preparación y </w:t>
      </w:r>
      <w:r w:rsidR="001A6BA9" w:rsidRPr="001A6BA9">
        <w:rPr>
          <w:color w:val="000000" w:themeColor="text1"/>
          <w:sz w:val="24"/>
          <w:szCs w:val="24"/>
          <w:lang w:eastAsia="es-CO"/>
        </w:rPr>
        <w:t>desarrollo</w:t>
      </w:r>
      <w:r w:rsidRPr="001A6BA9">
        <w:rPr>
          <w:color w:val="000000" w:themeColor="text1"/>
          <w:sz w:val="24"/>
          <w:szCs w:val="24"/>
          <w:lang w:eastAsia="es-CO"/>
        </w:rPr>
        <w:t xml:space="preserve"> de </w:t>
      </w:r>
      <w:r w:rsidR="001A6BA9" w:rsidRPr="001A6BA9">
        <w:rPr>
          <w:color w:val="000000" w:themeColor="text1"/>
          <w:sz w:val="24"/>
          <w:szCs w:val="24"/>
          <w:lang w:eastAsia="es-CO"/>
        </w:rPr>
        <w:t>competencias</w:t>
      </w:r>
      <w:r w:rsidRPr="001A6BA9">
        <w:rPr>
          <w:color w:val="000000" w:themeColor="text1"/>
          <w:sz w:val="24"/>
          <w:szCs w:val="24"/>
          <w:lang w:eastAsia="es-CO"/>
        </w:rPr>
        <w:t xml:space="preserve"> </w:t>
      </w:r>
      <w:r w:rsidR="001A6BA9" w:rsidRPr="001A6BA9">
        <w:rPr>
          <w:color w:val="000000" w:themeColor="text1"/>
          <w:sz w:val="24"/>
          <w:szCs w:val="24"/>
          <w:lang w:eastAsia="es-CO"/>
        </w:rPr>
        <w:t>básicas, etc.; análisis consi</w:t>
      </w:r>
      <w:r w:rsidR="001A6BA9">
        <w:rPr>
          <w:color w:val="000000" w:themeColor="text1"/>
          <w:sz w:val="24"/>
          <w:szCs w:val="24"/>
          <w:lang w:eastAsia="es-CO"/>
        </w:rPr>
        <w:t>s</w:t>
      </w:r>
      <w:r w:rsidR="001A6BA9" w:rsidRPr="001A6BA9">
        <w:rPr>
          <w:color w:val="000000" w:themeColor="text1"/>
          <w:sz w:val="24"/>
          <w:szCs w:val="24"/>
          <w:lang w:eastAsia="es-CO"/>
        </w:rPr>
        <w:t xml:space="preserve">tente con lo </w:t>
      </w:r>
      <w:r w:rsidR="00F917CC" w:rsidRPr="001A6BA9">
        <w:rPr>
          <w:color w:val="000000" w:themeColor="text1"/>
          <w:sz w:val="24"/>
          <w:szCs w:val="24"/>
          <w:lang w:eastAsia="es-CO"/>
        </w:rPr>
        <w:t>plante</w:t>
      </w:r>
      <w:r w:rsidR="001A6BA9" w:rsidRPr="001A6BA9">
        <w:rPr>
          <w:color w:val="000000" w:themeColor="text1"/>
          <w:sz w:val="24"/>
          <w:szCs w:val="24"/>
          <w:lang w:eastAsia="es-CO"/>
        </w:rPr>
        <w:t xml:space="preserve">ado por García et al. (2018) para quienes </w:t>
      </w:r>
      <w:r w:rsidR="00F917CC" w:rsidRPr="001A6BA9">
        <w:rPr>
          <w:color w:val="000000" w:themeColor="text1"/>
          <w:sz w:val="24"/>
          <w:szCs w:val="24"/>
          <w:lang w:eastAsia="es-CO"/>
        </w:rPr>
        <w:t>el problema de la deserc</w:t>
      </w:r>
      <w:r w:rsidR="001A6BA9" w:rsidRPr="001A6BA9">
        <w:rPr>
          <w:color w:val="000000" w:themeColor="text1"/>
          <w:sz w:val="24"/>
          <w:szCs w:val="24"/>
          <w:lang w:eastAsia="es-CO"/>
        </w:rPr>
        <w:t xml:space="preserve">ión escolar es multifactorial; por lo que </w:t>
      </w:r>
      <w:r w:rsidR="00F917CC" w:rsidRPr="001A6BA9">
        <w:rPr>
          <w:color w:val="000000" w:themeColor="text1"/>
          <w:sz w:val="24"/>
          <w:szCs w:val="24"/>
          <w:lang w:eastAsia="es-CO"/>
        </w:rPr>
        <w:t>alterar el proceso de deserción implica hacerse cargo de los intereses, demandas y formas de intervención social de los jóvenes, así como tratar de integrar la cultura juvenil al interior de la cultura académica. Al respecto, las dificultades emocionales y de la conducta en los alumnos constituyen un serio y difícil problema tanto para la educación y la salud mental de los estudiantes como para los padres, cuyos hijos no logran un rendimiento acorde con sus esfuerzos y expectativas.</w:t>
      </w:r>
    </w:p>
    <w:p w14:paraId="5D5026FF" w14:textId="6BB961A5" w:rsidR="00C9318A" w:rsidRPr="001A6BA9" w:rsidRDefault="004A25DE" w:rsidP="00B758BF">
      <w:pPr>
        <w:spacing w:line="240" w:lineRule="auto"/>
        <w:ind w:leftChars="0" w:left="0" w:firstLineChars="0" w:firstLine="0"/>
        <w:rPr>
          <w:color w:val="000000" w:themeColor="text1"/>
          <w:sz w:val="24"/>
          <w:szCs w:val="24"/>
          <w:lang w:eastAsia="es-CO"/>
        </w:rPr>
      </w:pPr>
      <w:r w:rsidRPr="00091607">
        <w:rPr>
          <w:sz w:val="24"/>
          <w:szCs w:val="24"/>
          <w:lang w:eastAsia="es-CO"/>
        </w:rPr>
        <w:t>Los estudios</w:t>
      </w:r>
      <w:r w:rsidR="00861247" w:rsidRPr="00091607">
        <w:rPr>
          <w:sz w:val="24"/>
          <w:szCs w:val="24"/>
          <w:lang w:eastAsia="es-CO"/>
        </w:rPr>
        <w:t xml:space="preserve"> alrededor de este tema,</w:t>
      </w:r>
      <w:r w:rsidRPr="00091607">
        <w:rPr>
          <w:sz w:val="24"/>
          <w:szCs w:val="24"/>
          <w:lang w:eastAsia="es-CO"/>
        </w:rPr>
        <w:t xml:space="preserve"> han demostrado que existen diferentes factores que inciden </w:t>
      </w:r>
      <w:r w:rsidR="00861247" w:rsidRPr="00091607">
        <w:rPr>
          <w:sz w:val="24"/>
          <w:szCs w:val="24"/>
          <w:lang w:eastAsia="es-CO"/>
        </w:rPr>
        <w:t xml:space="preserve">en </w:t>
      </w:r>
      <w:r w:rsidRPr="00091607">
        <w:rPr>
          <w:sz w:val="24"/>
          <w:szCs w:val="24"/>
          <w:lang w:eastAsia="es-CO"/>
        </w:rPr>
        <w:t xml:space="preserve">la decisión de los estudiantes frente a permanecer o no en el sistema de educación superior y uno de los aspectos que han entrado en estos análisis es el proceso de articulación existente entre la educación media y la educación superior. </w:t>
      </w:r>
      <w:r w:rsidRPr="00091607">
        <w:rPr>
          <w:sz w:val="24"/>
          <w:szCs w:val="24"/>
        </w:rPr>
        <w:t xml:space="preserve">Desde diferentes líneas y organizaciones, se ha venido consolidando una necesidad imperante de implementar estrategias para facilitar y apoyar la transición de la educación media a la educación superior, con el fin de disminuir la brecha existente entre los índices de estudiantes egresados de un nivel que logran ingresar a otro (Colegio a universidad), así como también incidir positivamente en el éxito académico y en la disminución de fenómenos como la deserción universitaria. </w:t>
      </w:r>
      <w:r w:rsidRPr="00091607">
        <w:rPr>
          <w:sz w:val="24"/>
          <w:szCs w:val="24"/>
          <w:lang w:eastAsia="es-CO"/>
        </w:rPr>
        <w:t xml:space="preserve"> </w:t>
      </w:r>
    </w:p>
    <w:p w14:paraId="4A4336C0" w14:textId="61287CA3" w:rsidR="00C9318A" w:rsidRPr="00091607" w:rsidRDefault="004F1A06" w:rsidP="001A6BA9">
      <w:pPr>
        <w:spacing w:line="240" w:lineRule="auto"/>
        <w:ind w:leftChars="0" w:left="2" w:hanging="2"/>
        <w:rPr>
          <w:sz w:val="24"/>
          <w:szCs w:val="24"/>
        </w:rPr>
      </w:pPr>
      <w:r w:rsidRPr="00091607">
        <w:rPr>
          <w:sz w:val="24"/>
          <w:szCs w:val="24"/>
        </w:rPr>
        <w:t xml:space="preserve">De acuerdo con el documento </w:t>
      </w:r>
      <w:r w:rsidRPr="00091607">
        <w:rPr>
          <w:i/>
          <w:iCs/>
          <w:sz w:val="24"/>
          <w:szCs w:val="24"/>
        </w:rPr>
        <w:t xml:space="preserve">La educación en </w:t>
      </w:r>
      <w:r w:rsidRPr="00091607">
        <w:rPr>
          <w:sz w:val="24"/>
          <w:szCs w:val="24"/>
        </w:rPr>
        <w:t xml:space="preserve">Colombia de la OCDE, el Ministerio de Educación Nacional (MEN) y el Departamento Nacional de Planeación (DNP) plantean que “sólo el 30% de los jóvenes hace la transición de la escuela o colegio a la educación superior, y de estos, muchos desertarán antes de terminar; las tasas de deserción anual en educación superior varían entre el 10,4% en las universidades y el 22,2,% en las instituciones técnicas y tecnológicas” </w:t>
      </w:r>
      <w:sdt>
        <w:sdtPr>
          <w:rPr>
            <w:sz w:val="24"/>
            <w:szCs w:val="24"/>
          </w:rPr>
          <w:id w:val="1919440055"/>
          <w:citation/>
        </w:sdtPr>
        <w:sdtContent>
          <w:r w:rsidRPr="00091607">
            <w:rPr>
              <w:sz w:val="24"/>
              <w:szCs w:val="24"/>
            </w:rPr>
            <w:fldChar w:fldCharType="begin"/>
          </w:r>
          <w:r w:rsidRPr="00091607">
            <w:rPr>
              <w:sz w:val="24"/>
              <w:szCs w:val="24"/>
            </w:rPr>
            <w:instrText xml:space="preserve">CITATION OCD16 \l 3082 </w:instrText>
          </w:r>
          <w:r w:rsidRPr="00091607">
            <w:rPr>
              <w:sz w:val="24"/>
              <w:szCs w:val="24"/>
            </w:rPr>
            <w:fldChar w:fldCharType="separate"/>
          </w:r>
          <w:r w:rsidRPr="00091607">
            <w:rPr>
              <w:noProof/>
              <w:sz w:val="24"/>
              <w:szCs w:val="24"/>
            </w:rPr>
            <w:t>(OCDE, Ministerio de Educación Nacional y Departamento de Planeación Nacional, 2016)</w:t>
          </w:r>
          <w:r w:rsidRPr="00091607">
            <w:rPr>
              <w:sz w:val="24"/>
              <w:szCs w:val="24"/>
            </w:rPr>
            <w:fldChar w:fldCharType="end"/>
          </w:r>
        </w:sdtContent>
      </w:sdt>
      <w:r w:rsidRPr="00091607">
        <w:rPr>
          <w:sz w:val="24"/>
          <w:szCs w:val="24"/>
        </w:rPr>
        <w:t>. Es así como se refuerza la importancia de apoyar desde las instituciones de educación superior, este proceso de transición, pues como lo sugiere la OCDE, si la educación media sirve de vía de acceso a una educación posterior y al mercado laboral, entonces se deberán utilizar los mecanismos correspondientes para ayudar a los estudiantes a realizar esta transición.</w:t>
      </w:r>
    </w:p>
    <w:p w14:paraId="15C87779" w14:textId="2AA686B0" w:rsidR="008045A0" w:rsidRDefault="004F1A06" w:rsidP="00091607">
      <w:pPr>
        <w:spacing w:line="240" w:lineRule="auto"/>
        <w:ind w:leftChars="0" w:left="2" w:hanging="2"/>
        <w:rPr>
          <w:sz w:val="24"/>
          <w:szCs w:val="24"/>
        </w:rPr>
      </w:pPr>
      <w:r w:rsidRPr="00091607">
        <w:rPr>
          <w:sz w:val="24"/>
          <w:szCs w:val="24"/>
        </w:rPr>
        <w:t xml:space="preserve">Al respecto, Cárcamo et al. (2010) definen la transición como “el conjunto de acciones y etapas que se dan en el paso entre el egreso de la enseñanza media y la incorporación a la universidad en calidad de estudiante” (p. 12),  lo cual refuerza la necesidad de crear iniciativas institucionales cuyo propósito sea apoyar dicha transición generando a través de la movilización de ambientes de aprendizaje estimulantes, atractivos, retadores y conectados con las características de las generaciones actuales de estudiantes. Esta premisa pone entonces la mirada sobre los mecanismos de apoyo que hoy se despliegan sobre la población general de estudiantes, pero, sobre todo, sobre aquellos grupos más vulnerables (desde todos los puntos de vista) pues evidentemente los factores de riesgo para la deserción pueden verse incrementados y las posibilidades de culminar con éxito su proyecto académico estarán en mayor amenaza; esto claramente incide en aspectos como la equidad de la educación superior. </w:t>
      </w:r>
    </w:p>
    <w:p w14:paraId="2AFD5FCB" w14:textId="3A1962C3" w:rsidR="00F917CC" w:rsidRPr="00091607" w:rsidRDefault="004F1A06" w:rsidP="001A6BA9">
      <w:pPr>
        <w:spacing w:line="240" w:lineRule="auto"/>
        <w:ind w:leftChars="0" w:left="0" w:firstLineChars="0" w:firstLine="0"/>
        <w:rPr>
          <w:sz w:val="24"/>
          <w:szCs w:val="24"/>
        </w:rPr>
      </w:pPr>
      <w:r w:rsidRPr="00091607">
        <w:rPr>
          <w:sz w:val="24"/>
          <w:szCs w:val="24"/>
        </w:rPr>
        <w:lastRenderedPageBreak/>
        <w:t xml:space="preserve">En este orden de ideas, al tener en cuenta lo anteriormente mencionado y considerando los aspectos cruciales en el momento del ciclo vital en el que se encuentran los estudiantes están próximos a iniciar su proceso de transición del colegio a la universidad, se hace relevante analizar las iniciativas que se despliegan a nivel institucional para acompañar y orientar a los jóvenes en este momento, esto de acuerdo con Chacón (2015), impactará también en decisiones más objetivas hacia el futuro profesional y  evidentemente en su capacidad para adaptarse de manera positiva al entorno de la educación superior. </w:t>
      </w:r>
    </w:p>
    <w:p w14:paraId="2698C10D" w14:textId="2B65649E" w:rsidR="008045A0" w:rsidRPr="00091607" w:rsidRDefault="004F1A06" w:rsidP="00091607">
      <w:pPr>
        <w:spacing w:line="240" w:lineRule="auto"/>
        <w:ind w:leftChars="0" w:left="0" w:firstLineChars="0" w:firstLine="0"/>
        <w:rPr>
          <w:sz w:val="24"/>
          <w:szCs w:val="24"/>
        </w:rPr>
      </w:pPr>
      <w:r w:rsidRPr="00091607">
        <w:rPr>
          <w:sz w:val="24"/>
          <w:szCs w:val="24"/>
        </w:rPr>
        <w:t xml:space="preserve">Por ende, el éxito en el proceso de transición está relacionado principalmente con la capacidad de adaptación y de las competencias que los estudiantes han logrado desarrollar a través de sus experiencias y el proceso de aprendizaje en la educación secundaria; sin embargo, asuntos como la autonomía y la libertad (tan propias del ambiente universitario) pueden convertirse en una oportunidad de crecimiento personal o en una amenaza para su propio proyecto, sino se asumen con criterio, compromiso y madurez personal. Esta premisa, es reforzada también por Ferreira et al. (2013), quienes han encontrado que el ingreso a la educación superior implica que los estudiantes pongan en marcha una serie de estrategias para readaptarse a las nuevas condiciones que experimentará: ajustes en la dinámica institucional, nuevas prácticas pedagógicas, niveles mayores de responsabilidad y autonomía, etc. </w:t>
      </w:r>
    </w:p>
    <w:p w14:paraId="70D1DC6C" w14:textId="4766CE42" w:rsidR="008045A0" w:rsidRPr="00091607" w:rsidRDefault="00861247" w:rsidP="00091607">
      <w:pPr>
        <w:spacing w:line="240" w:lineRule="auto"/>
        <w:ind w:left="0" w:hanging="2"/>
        <w:rPr>
          <w:sz w:val="24"/>
          <w:szCs w:val="24"/>
          <w:lang w:eastAsia="es-CO"/>
        </w:rPr>
      </w:pPr>
      <w:r w:rsidRPr="00091607">
        <w:rPr>
          <w:sz w:val="24"/>
          <w:szCs w:val="24"/>
          <w:lang w:eastAsia="es-CO"/>
        </w:rPr>
        <w:t xml:space="preserve">A partir de lo anterior, </w:t>
      </w:r>
      <w:r w:rsidR="004A25DE" w:rsidRPr="00091607">
        <w:rPr>
          <w:sz w:val="24"/>
          <w:szCs w:val="24"/>
          <w:lang w:eastAsia="es-CO"/>
        </w:rPr>
        <w:t xml:space="preserve"> se propone una investigación </w:t>
      </w:r>
      <w:r w:rsidR="001F4848" w:rsidRPr="00091607">
        <w:rPr>
          <w:sz w:val="24"/>
          <w:szCs w:val="24"/>
          <w:lang w:eastAsia="es-CO"/>
        </w:rPr>
        <w:t>de corte cualitativo</w:t>
      </w:r>
      <w:r w:rsidR="004A25DE" w:rsidRPr="00091607">
        <w:rPr>
          <w:sz w:val="24"/>
          <w:szCs w:val="24"/>
          <w:lang w:eastAsia="es-CO"/>
        </w:rPr>
        <w:t xml:space="preserve"> hermenéutico, </w:t>
      </w:r>
      <w:r w:rsidR="001F4848" w:rsidRPr="00091607">
        <w:rPr>
          <w:sz w:val="24"/>
          <w:szCs w:val="24"/>
          <w:lang w:eastAsia="es-CO"/>
        </w:rPr>
        <w:t xml:space="preserve">en la que se busca </w:t>
      </w:r>
      <w:r w:rsidR="00F019F2" w:rsidRPr="00091607">
        <w:rPr>
          <w:sz w:val="24"/>
          <w:szCs w:val="24"/>
          <w:lang w:eastAsia="es-CO"/>
        </w:rPr>
        <w:t>establecer un análisis sobre las condiciones del proceso de articulación entre la educación media y la educación superior, como estrategia para disminuir los riesgos de deserción universitaria</w:t>
      </w:r>
      <w:r w:rsidR="00F019F2" w:rsidRPr="00091607">
        <w:rPr>
          <w:b/>
          <w:bCs/>
          <w:position w:val="0"/>
          <w:sz w:val="24"/>
          <w:szCs w:val="24"/>
          <w:lang w:eastAsia="en-US"/>
        </w:rPr>
        <w:t xml:space="preserve">; </w:t>
      </w:r>
      <w:r w:rsidR="001F4848" w:rsidRPr="00091607">
        <w:rPr>
          <w:sz w:val="24"/>
          <w:szCs w:val="24"/>
          <w:lang w:eastAsia="es-CO"/>
        </w:rPr>
        <w:t>para lo cual se ha planteado como pregunta de investigación:</w:t>
      </w:r>
      <w:r w:rsidR="001F4848" w:rsidRPr="00091607">
        <w:rPr>
          <w:i/>
          <w:sz w:val="24"/>
          <w:szCs w:val="24"/>
        </w:rPr>
        <w:t xml:space="preserve">¿Cuáles aspectos debe contener un   programa de articulación entre la educación media y la superior para reducir el riesgo de deserción universitaria asociada a factores de riesgo académico en la Escuela de Administración de una universidad Colombiana? . </w:t>
      </w:r>
      <w:r w:rsidR="001F4848" w:rsidRPr="00091607">
        <w:rPr>
          <w:sz w:val="24"/>
          <w:szCs w:val="24"/>
          <w:lang w:eastAsia="es-CO"/>
        </w:rPr>
        <w:t>Es</w:t>
      </w:r>
      <w:r w:rsidR="004A25DE" w:rsidRPr="00091607">
        <w:rPr>
          <w:sz w:val="24"/>
          <w:szCs w:val="24"/>
          <w:lang w:eastAsia="es-CO"/>
        </w:rPr>
        <w:t xml:space="preserve">to partiendo de la premisa de que los procesos de articulación adecuados </w:t>
      </w:r>
      <w:r w:rsidR="001F4848" w:rsidRPr="00091607">
        <w:rPr>
          <w:sz w:val="24"/>
          <w:szCs w:val="24"/>
          <w:lang w:eastAsia="es-CO"/>
        </w:rPr>
        <w:t xml:space="preserve">son los que </w:t>
      </w:r>
      <w:r w:rsidR="004A25DE" w:rsidRPr="00091607">
        <w:rPr>
          <w:sz w:val="24"/>
          <w:szCs w:val="24"/>
          <w:lang w:eastAsia="es-CO"/>
        </w:rPr>
        <w:t xml:space="preserve">permiten a los individuos hacer un tránsito más sano en el marco de su ciclo vital por lo que se espera que existan impactos significativos en la permanencia universitaria. </w:t>
      </w:r>
    </w:p>
    <w:p w14:paraId="7C6FBE37" w14:textId="3D396A89" w:rsidR="00F917CC" w:rsidRPr="00091607" w:rsidRDefault="001F4848" w:rsidP="00091607">
      <w:pPr>
        <w:spacing w:line="240" w:lineRule="auto"/>
        <w:ind w:leftChars="0" w:left="0" w:firstLineChars="0" w:firstLine="0"/>
        <w:rPr>
          <w:sz w:val="24"/>
          <w:szCs w:val="24"/>
          <w:lang w:eastAsia="es-CO"/>
        </w:rPr>
      </w:pPr>
      <w:r w:rsidRPr="00091607">
        <w:rPr>
          <w:sz w:val="24"/>
          <w:szCs w:val="24"/>
          <w:lang w:eastAsia="es-CO"/>
        </w:rPr>
        <w:t xml:space="preserve">En este marco, se </w:t>
      </w:r>
      <w:r w:rsidR="001E2A57" w:rsidRPr="00091607">
        <w:rPr>
          <w:sz w:val="24"/>
          <w:szCs w:val="24"/>
          <w:lang w:eastAsia="es-CO"/>
        </w:rPr>
        <w:t xml:space="preserve">implementaron instrumentos </w:t>
      </w:r>
      <w:r w:rsidR="00071FCC" w:rsidRPr="00091607">
        <w:rPr>
          <w:sz w:val="24"/>
          <w:szCs w:val="24"/>
          <w:lang w:eastAsia="es-CO"/>
        </w:rPr>
        <w:t xml:space="preserve">específicos </w:t>
      </w:r>
      <w:r w:rsidR="001E2A57" w:rsidRPr="00091607">
        <w:rPr>
          <w:sz w:val="24"/>
          <w:szCs w:val="24"/>
          <w:lang w:eastAsia="es-CO"/>
        </w:rPr>
        <w:t xml:space="preserve">en grupos poblacionales segmentados (estudiantes de Educación Media, Estudiantes Universitarios y Funcionarios institucionales) a fin de </w:t>
      </w:r>
      <w:r w:rsidR="00071FCC" w:rsidRPr="00091607">
        <w:rPr>
          <w:sz w:val="24"/>
          <w:szCs w:val="24"/>
          <w:lang w:eastAsia="es-CO"/>
        </w:rPr>
        <w:t>recolectar in</w:t>
      </w:r>
      <w:r w:rsidR="00154D56" w:rsidRPr="00091607">
        <w:rPr>
          <w:sz w:val="24"/>
          <w:szCs w:val="24"/>
          <w:lang w:eastAsia="es-CO"/>
        </w:rPr>
        <w:t>formación acerca de tres ejes: i</w:t>
      </w:r>
      <w:r w:rsidR="00071FCC" w:rsidRPr="00091607">
        <w:rPr>
          <w:sz w:val="24"/>
          <w:szCs w:val="24"/>
          <w:lang w:eastAsia="es-CO"/>
        </w:rPr>
        <w:t xml:space="preserve">dentificación de elementos asociados </w:t>
      </w:r>
      <w:r w:rsidR="00154D56" w:rsidRPr="00091607">
        <w:rPr>
          <w:sz w:val="24"/>
          <w:szCs w:val="24"/>
          <w:lang w:eastAsia="es-CO"/>
        </w:rPr>
        <w:t>a la transición que inciden en la</w:t>
      </w:r>
      <w:r w:rsidR="00071FCC" w:rsidRPr="00091607">
        <w:rPr>
          <w:sz w:val="24"/>
          <w:szCs w:val="24"/>
          <w:lang w:eastAsia="es-CO"/>
        </w:rPr>
        <w:t xml:space="preserve"> decisión de permanecer o de</w:t>
      </w:r>
      <w:r w:rsidR="00154D56" w:rsidRPr="00091607">
        <w:rPr>
          <w:sz w:val="24"/>
          <w:szCs w:val="24"/>
          <w:lang w:eastAsia="es-CO"/>
        </w:rPr>
        <w:t>sertar del programa académico, r</w:t>
      </w:r>
      <w:r w:rsidR="00071FCC" w:rsidRPr="00091607">
        <w:rPr>
          <w:sz w:val="24"/>
          <w:szCs w:val="24"/>
          <w:lang w:eastAsia="es-CO"/>
        </w:rPr>
        <w:t xml:space="preserve">econocimiento de las acciones implementadas </w:t>
      </w:r>
      <w:r w:rsidR="00154D56" w:rsidRPr="00091607">
        <w:rPr>
          <w:sz w:val="24"/>
          <w:szCs w:val="24"/>
          <w:lang w:eastAsia="es-CO"/>
        </w:rPr>
        <w:t>para facilitar los procesos de transición e identificación de oportunidades de fortalecimiento institucional para favorecer la articulación y transición entre la educación media y la educación superior.</w:t>
      </w:r>
      <w:r w:rsidR="009A6F4C" w:rsidRPr="00091607">
        <w:rPr>
          <w:sz w:val="24"/>
          <w:szCs w:val="24"/>
          <w:lang w:eastAsia="es-CO"/>
        </w:rPr>
        <w:t xml:space="preserve"> </w:t>
      </w:r>
      <w:r w:rsidR="00154D56" w:rsidRPr="00091607">
        <w:rPr>
          <w:sz w:val="24"/>
          <w:szCs w:val="24"/>
          <w:lang w:eastAsia="es-CO"/>
        </w:rPr>
        <w:t xml:space="preserve"> </w:t>
      </w:r>
    </w:p>
    <w:p w14:paraId="5EB8EC26" w14:textId="032B44D7" w:rsidR="00C9318A" w:rsidRPr="00091607" w:rsidRDefault="00C9318A" w:rsidP="00091607">
      <w:pPr>
        <w:spacing w:line="240" w:lineRule="auto"/>
        <w:ind w:leftChars="0" w:left="0" w:firstLineChars="0" w:firstLine="0"/>
        <w:rPr>
          <w:sz w:val="24"/>
          <w:szCs w:val="24"/>
          <w:lang w:eastAsia="es-CO"/>
        </w:rPr>
      </w:pPr>
    </w:p>
    <w:p w14:paraId="347F26FC" w14:textId="709E5628" w:rsidR="008045A0" w:rsidRPr="00091607" w:rsidRDefault="00C9318A" w:rsidP="00091607">
      <w:pPr>
        <w:pStyle w:val="PargrafodaLista"/>
        <w:numPr>
          <w:ilvl w:val="0"/>
          <w:numId w:val="6"/>
        </w:numPr>
        <w:spacing w:after="120"/>
        <w:textDirection w:val="btLr"/>
        <w:rPr>
          <w:rFonts w:ascii="Times New Roman" w:hAnsi="Times New Roman" w:cs="Times New Roman"/>
          <w:b/>
          <w:lang w:eastAsia="es-CO"/>
        </w:rPr>
      </w:pPr>
      <w:r w:rsidRPr="00091607">
        <w:rPr>
          <w:rFonts w:ascii="Times New Roman" w:hAnsi="Times New Roman" w:cs="Times New Roman"/>
          <w:b/>
          <w:lang w:eastAsia="es-CO"/>
        </w:rPr>
        <w:t>Resultados</w:t>
      </w:r>
    </w:p>
    <w:p w14:paraId="055C3F6F" w14:textId="77777777" w:rsidR="00091607" w:rsidRPr="00091607" w:rsidRDefault="00091607" w:rsidP="00091607">
      <w:pPr>
        <w:pStyle w:val="PargrafodaLista"/>
        <w:spacing w:after="120"/>
        <w:textDirection w:val="btLr"/>
        <w:rPr>
          <w:rFonts w:ascii="Times New Roman" w:hAnsi="Times New Roman" w:cs="Times New Roman"/>
          <w:b/>
          <w:lang w:eastAsia="es-CO"/>
        </w:rPr>
      </w:pPr>
    </w:p>
    <w:p w14:paraId="5940C773" w14:textId="118168F8" w:rsidR="00804921" w:rsidRDefault="009A6F4C" w:rsidP="00091607">
      <w:pPr>
        <w:spacing w:line="240" w:lineRule="auto"/>
        <w:ind w:leftChars="0" w:left="0" w:firstLineChars="0" w:firstLine="0"/>
        <w:rPr>
          <w:sz w:val="24"/>
          <w:szCs w:val="24"/>
          <w:lang w:eastAsia="es-CO"/>
        </w:rPr>
      </w:pPr>
      <w:r w:rsidRPr="00091607">
        <w:rPr>
          <w:sz w:val="24"/>
          <w:szCs w:val="24"/>
          <w:lang w:eastAsia="es-CO"/>
        </w:rPr>
        <w:t xml:space="preserve">La información obtenida a través de técnicas de recolección como entrevistas y grupos focales fue procesada, organizada y categorizada, a fin de facilitar los procesos de </w:t>
      </w:r>
      <w:r w:rsidR="00E74C7E" w:rsidRPr="00091607">
        <w:rPr>
          <w:sz w:val="24"/>
          <w:szCs w:val="24"/>
          <w:lang w:eastAsia="es-CO"/>
        </w:rPr>
        <w:t>triangulación</w:t>
      </w:r>
      <w:r w:rsidR="004F1A06" w:rsidRPr="00091607">
        <w:rPr>
          <w:sz w:val="24"/>
          <w:szCs w:val="24"/>
          <w:lang w:eastAsia="es-CO"/>
        </w:rPr>
        <w:t xml:space="preserve"> a través de matrices d</w:t>
      </w:r>
      <w:r w:rsidR="00E74C7E" w:rsidRPr="00091607">
        <w:rPr>
          <w:sz w:val="24"/>
          <w:szCs w:val="24"/>
          <w:lang w:eastAsia="es-CO"/>
        </w:rPr>
        <w:t>e análisis que permitirán visibilizar la interacción entre las variables y la identificación de elementos que alimenten la analítica y la definición de posibilidades de mejora al inte</w:t>
      </w:r>
      <w:r w:rsidR="00804921">
        <w:rPr>
          <w:sz w:val="24"/>
          <w:szCs w:val="24"/>
          <w:lang w:eastAsia="es-CO"/>
        </w:rPr>
        <w:t xml:space="preserve">rior de la población estudiada. En este sentido se realizaron 4 entrevistas, dos de ellas a funcionarios del nivel de educación media y dos de profesionales a cargo de los procesos de articulación en el nivel de educación superior; así mismo, se realizaron dos grupos focales, uno con estudiantes de primer semestre de la Escuela de Administración de la Universidad del Rosario y uno con estudiantes de último año de educación media. </w:t>
      </w:r>
    </w:p>
    <w:p w14:paraId="631E553F" w14:textId="77777777" w:rsidR="008E7605" w:rsidRDefault="008E7605" w:rsidP="00091607">
      <w:pPr>
        <w:spacing w:line="240" w:lineRule="auto"/>
        <w:ind w:leftChars="0" w:left="0" w:firstLineChars="0" w:firstLine="0"/>
        <w:rPr>
          <w:sz w:val="24"/>
          <w:szCs w:val="24"/>
          <w:lang w:eastAsia="es-CO"/>
        </w:rPr>
      </w:pPr>
    </w:p>
    <w:p w14:paraId="682D7DEF" w14:textId="77777777" w:rsidR="008E7605" w:rsidRDefault="008E7605" w:rsidP="00091607">
      <w:pPr>
        <w:spacing w:line="240" w:lineRule="auto"/>
        <w:ind w:leftChars="0" w:left="0" w:firstLineChars="0" w:firstLine="0"/>
        <w:rPr>
          <w:sz w:val="24"/>
          <w:szCs w:val="24"/>
          <w:lang w:eastAsia="es-CO"/>
        </w:rPr>
      </w:pPr>
    </w:p>
    <w:p w14:paraId="20A79BDA" w14:textId="1DB948E0" w:rsidR="00BF1D0B" w:rsidRDefault="00BF1D0B" w:rsidP="00091607">
      <w:pPr>
        <w:spacing w:line="240" w:lineRule="auto"/>
        <w:ind w:leftChars="0" w:left="0" w:firstLineChars="0" w:firstLine="0"/>
        <w:rPr>
          <w:sz w:val="24"/>
          <w:szCs w:val="24"/>
          <w:lang w:eastAsia="es-CO"/>
        </w:rPr>
      </w:pPr>
      <w:r>
        <w:rPr>
          <w:sz w:val="24"/>
          <w:szCs w:val="24"/>
          <w:lang w:eastAsia="es-CO"/>
        </w:rPr>
        <w:lastRenderedPageBreak/>
        <w:t xml:space="preserve">En ese sentido, los resultados pueden categorizarse de acuerdo con los focos a los que se ha dirigido la intervención de cara al fortalecimiento de los canales de articulación: </w:t>
      </w:r>
    </w:p>
    <w:p w14:paraId="3DBCE439" w14:textId="77777777" w:rsidR="00BF1D0B" w:rsidRDefault="00BF1D0B" w:rsidP="00091607">
      <w:pPr>
        <w:spacing w:line="240" w:lineRule="auto"/>
        <w:ind w:leftChars="0" w:left="0" w:firstLineChars="0" w:firstLine="0"/>
        <w:rPr>
          <w:sz w:val="24"/>
          <w:szCs w:val="24"/>
          <w:lang w:eastAsia="es-CO"/>
        </w:rPr>
      </w:pPr>
    </w:p>
    <w:p w14:paraId="7EA09D62" w14:textId="77777777" w:rsidR="008E7605" w:rsidRDefault="009F4995" w:rsidP="008E7605">
      <w:pPr>
        <w:spacing w:line="240" w:lineRule="auto"/>
        <w:ind w:leftChars="0" w:left="0" w:firstLineChars="0" w:firstLine="0"/>
        <w:rPr>
          <w:bCs/>
          <w:sz w:val="24"/>
          <w:szCs w:val="24"/>
        </w:rPr>
      </w:pPr>
      <w:r>
        <w:rPr>
          <w:bCs/>
          <w:i/>
          <w:sz w:val="24"/>
          <w:szCs w:val="24"/>
        </w:rPr>
        <w:t xml:space="preserve">Desde </w:t>
      </w:r>
      <w:r w:rsidR="00B60A2E">
        <w:rPr>
          <w:bCs/>
          <w:i/>
          <w:sz w:val="24"/>
          <w:szCs w:val="24"/>
        </w:rPr>
        <w:t>el punto de vista institucional</w:t>
      </w:r>
      <w:r w:rsidR="00E375AD">
        <w:rPr>
          <w:bCs/>
          <w:i/>
          <w:sz w:val="24"/>
          <w:szCs w:val="24"/>
        </w:rPr>
        <w:t xml:space="preserve">: </w:t>
      </w:r>
      <w:r w:rsidR="00F67C3F">
        <w:rPr>
          <w:bCs/>
          <w:i/>
          <w:sz w:val="24"/>
          <w:szCs w:val="24"/>
        </w:rPr>
        <w:t xml:space="preserve"> </w:t>
      </w:r>
      <w:r w:rsidR="00F67C3F">
        <w:rPr>
          <w:bCs/>
          <w:sz w:val="24"/>
          <w:szCs w:val="24"/>
        </w:rPr>
        <w:t xml:space="preserve">una de las apuestas del sistema educativo colombiano, está focalizada en la mejora de las condiciones de acceso y cobertura los diferentes niveles y particularmente en educación superior. </w:t>
      </w:r>
      <w:r w:rsidR="00BF1D0B">
        <w:rPr>
          <w:bCs/>
          <w:sz w:val="24"/>
          <w:szCs w:val="24"/>
        </w:rPr>
        <w:t>Es así como se evidencia, que a nivel institucional se ha movilizado acciones transversales que permitan facilitar el tránsito de los estudiantes; para ello se han definido parámetros relacionados con el fortalecimiento en los procesos de acceso, de tal manera que se desplieguen componentes vocacionales que complementen el proceso de admisión y matrícula. De esta manera, una de las acciones en las que se encuentra mayor énfasis está relacionada con la apertura de espacios institucionales, charlas, ferias y conferencias con expertos; lo que pone sobre la mesa el enfoque sobre los asuntos vocacionales y el conocimiento genérico de la institución.</w:t>
      </w:r>
    </w:p>
    <w:p w14:paraId="0ABE887A" w14:textId="726DF017" w:rsidR="008E7605" w:rsidRPr="00091607" w:rsidRDefault="008E7605" w:rsidP="008E7605">
      <w:pPr>
        <w:spacing w:line="240" w:lineRule="auto"/>
        <w:ind w:leftChars="0" w:left="0" w:firstLineChars="0" w:firstLine="0"/>
        <w:rPr>
          <w:bCs/>
          <w:sz w:val="24"/>
          <w:szCs w:val="24"/>
        </w:rPr>
      </w:pPr>
      <w:r w:rsidRPr="00091607">
        <w:rPr>
          <w:bCs/>
          <w:sz w:val="24"/>
          <w:szCs w:val="24"/>
        </w:rPr>
        <w:t xml:space="preserve">Desde el entorno universitario, los lineamientos y programas en relación con articulación y permanencia, y las acciones / programas orientados a favorecer la inclusión / adaptación de los estudiantes a la vida universitaria, permiten destacar que contar con una política que propenda por la generación de programas de inmersión, facilita que los estudiantes puedan empezar a vivir la experiencia universitaria de manera anticipada, sin embargo, se observa también que en ocasiones estas líneas de acción cumplen propósitos desde el enfoque de mercadeo, respondiendo a metas comerciales, por lo que resulta fundamental robustecer las iniciativas enfocadas a identificar y potencializar talentos, para formarlos en competencias útiles para la vida universitaria. </w:t>
      </w:r>
    </w:p>
    <w:p w14:paraId="4A8657F5" w14:textId="05DEFAD4" w:rsidR="008E7605" w:rsidRDefault="008E7605" w:rsidP="008E7605">
      <w:pPr>
        <w:spacing w:line="240" w:lineRule="auto"/>
        <w:ind w:left="0" w:hanging="2"/>
        <w:rPr>
          <w:bCs/>
          <w:sz w:val="24"/>
          <w:szCs w:val="24"/>
        </w:rPr>
      </w:pPr>
      <w:r w:rsidRPr="00091607">
        <w:rPr>
          <w:sz w:val="24"/>
          <w:szCs w:val="24"/>
        </w:rPr>
        <w:t xml:space="preserve">Esto coincide con la investigación de </w:t>
      </w:r>
      <w:r w:rsidRPr="00091607">
        <w:rPr>
          <w:bCs/>
          <w:sz w:val="24"/>
          <w:szCs w:val="24"/>
        </w:rPr>
        <w:t>Carcausto et al. (2020) en el cual influyen factores internos y externos que permiten a los nuevos estudiantes adaptarse con éxito al entorno universitario. En este sentido, las instituciones, reportan el diseño de programas basados en visitas a las universidades, cátedras introductorias, experiencias de inmersión charlas con expertos y espacios de orientación profesional, que les permitan conocer más sobre la dinámica de los programas y las instituciones. En efecto, dichas actividades permiten identificar y construir perfiles de estudiantes, valorar los requerimientos a que nivel institucional deben desplegarse e incentivar desde la educación media la toma de decisiones informada y acompañada sobre su proceso académico universitarios.</w:t>
      </w:r>
    </w:p>
    <w:p w14:paraId="104FEF79" w14:textId="65A2C19B" w:rsidR="008E7605" w:rsidRDefault="008E7605" w:rsidP="008E7605">
      <w:pPr>
        <w:spacing w:line="240" w:lineRule="auto"/>
        <w:ind w:leftChars="0" w:left="0" w:firstLineChars="0" w:firstLine="0"/>
        <w:rPr>
          <w:bCs/>
          <w:sz w:val="24"/>
          <w:szCs w:val="24"/>
        </w:rPr>
      </w:pPr>
      <w:r w:rsidRPr="00091607">
        <w:rPr>
          <w:bCs/>
          <w:sz w:val="24"/>
          <w:szCs w:val="24"/>
        </w:rPr>
        <w:t>También, a partir de la necesidad de realizar estos análisis, se ha fomentado y fortalecido una cultura de la obtención, almacenamiento, organización y manejo de grandes cantidades de datos acerca de los estudiantes, lo que ha permitido realizar una planeación escolar más certera y una adecuada administración de los recursos educativos. A su vez la necesidad de contar con datos más objetivos acerca de los estudiantes ha estimulado la necesidad de generar instrumentos como exámenes estandarizados, cuestionarios de ingreso, encuestas de opinión, portafolios de evidencias, entre otros (Sánchez et al., 2021).</w:t>
      </w:r>
    </w:p>
    <w:p w14:paraId="78487F7E" w14:textId="77777777" w:rsidR="008E7605" w:rsidRPr="00091607" w:rsidRDefault="008E7605" w:rsidP="008E7605">
      <w:pPr>
        <w:spacing w:line="240" w:lineRule="auto"/>
        <w:ind w:left="0" w:hanging="2"/>
        <w:rPr>
          <w:bCs/>
          <w:sz w:val="24"/>
          <w:szCs w:val="24"/>
        </w:rPr>
      </w:pPr>
    </w:p>
    <w:p w14:paraId="5CC78142" w14:textId="7B59671B" w:rsidR="00D03846" w:rsidRPr="008E7605" w:rsidRDefault="008E7605" w:rsidP="00091607">
      <w:pPr>
        <w:spacing w:line="240" w:lineRule="auto"/>
        <w:ind w:leftChars="0" w:left="0" w:firstLineChars="0" w:firstLine="0"/>
        <w:rPr>
          <w:bCs/>
          <w:sz w:val="24"/>
          <w:szCs w:val="24"/>
        </w:rPr>
      </w:pPr>
      <w:r>
        <w:rPr>
          <w:bCs/>
          <w:i/>
          <w:sz w:val="24"/>
          <w:szCs w:val="24"/>
        </w:rPr>
        <w:t xml:space="preserve">En el rol del docente: </w:t>
      </w:r>
      <w:r w:rsidR="00BF1D0B">
        <w:rPr>
          <w:bCs/>
          <w:sz w:val="24"/>
          <w:szCs w:val="24"/>
        </w:rPr>
        <w:t xml:space="preserve"> </w:t>
      </w:r>
      <w:r w:rsidR="00F917CC" w:rsidRPr="00091607">
        <w:rPr>
          <w:bCs/>
          <w:sz w:val="24"/>
          <w:szCs w:val="24"/>
        </w:rPr>
        <w:t xml:space="preserve">En este proceso de transición, toma especial importancia el papel del profesor / orientador desde el colegio, ya que este elemento tiene una valoración significativa en la toma de decisiones, sin embargo, resulta fundamental que desde este nivel educativo </w:t>
      </w:r>
      <w:r>
        <w:rPr>
          <w:bCs/>
          <w:sz w:val="24"/>
          <w:szCs w:val="24"/>
        </w:rPr>
        <w:t>(Educación Media), se c</w:t>
      </w:r>
      <w:r w:rsidR="00F917CC" w:rsidRPr="00091607">
        <w:rPr>
          <w:bCs/>
          <w:sz w:val="24"/>
          <w:szCs w:val="24"/>
        </w:rPr>
        <w:t>uente con acc</w:t>
      </w:r>
      <w:r w:rsidR="00353E84" w:rsidRPr="00091607">
        <w:rPr>
          <w:bCs/>
          <w:sz w:val="24"/>
          <w:szCs w:val="24"/>
        </w:rPr>
        <w:t>iones estructuradas, más allá de acciones aisladas, así mismo, es fundamental que el entorno académico del estudiante de colegio esté alineado</w:t>
      </w:r>
      <w:r w:rsidR="00E45372" w:rsidRPr="00091607">
        <w:rPr>
          <w:bCs/>
          <w:sz w:val="24"/>
          <w:szCs w:val="24"/>
        </w:rPr>
        <w:t xml:space="preserve"> con la dinámica de la vida universitaria, favoreciendo el desarrollo de habilidades blandas que le permitan realizar un proceso de transición más efectivo. </w:t>
      </w:r>
    </w:p>
    <w:p w14:paraId="1BB38F4F" w14:textId="2FEA508B" w:rsidR="00091607" w:rsidRDefault="00F019F2" w:rsidP="00091607">
      <w:pPr>
        <w:spacing w:line="240" w:lineRule="auto"/>
        <w:ind w:leftChars="0" w:left="0" w:firstLineChars="0" w:firstLine="0"/>
        <w:rPr>
          <w:bCs/>
          <w:sz w:val="24"/>
          <w:szCs w:val="24"/>
        </w:rPr>
      </w:pPr>
      <w:r w:rsidRPr="00091607">
        <w:rPr>
          <w:bCs/>
          <w:sz w:val="24"/>
          <w:szCs w:val="24"/>
        </w:rPr>
        <w:t xml:space="preserve">Lo anterior coincide con lo presentado por Bohórquez (2021), el cual destaca la importancia que en las instituciones educativas se enfatice en la función del docente en los procesos de transición, ya que el docente desde su ejercicio es capaz de tener conocimiento de su entorno, y a través de la </w:t>
      </w:r>
      <w:r w:rsidR="00D03846" w:rsidRPr="00091607">
        <w:rPr>
          <w:bCs/>
          <w:sz w:val="24"/>
          <w:szCs w:val="24"/>
        </w:rPr>
        <w:t>práctica</w:t>
      </w:r>
      <w:r w:rsidRPr="00091607">
        <w:rPr>
          <w:bCs/>
          <w:sz w:val="24"/>
          <w:szCs w:val="24"/>
        </w:rPr>
        <w:t xml:space="preserve"> y contacto directo con los estud</w:t>
      </w:r>
      <w:r w:rsidR="00D03846" w:rsidRPr="00091607">
        <w:rPr>
          <w:bCs/>
          <w:sz w:val="24"/>
          <w:szCs w:val="24"/>
        </w:rPr>
        <w:t>iantes propicia</w:t>
      </w:r>
      <w:r w:rsidRPr="00091607">
        <w:rPr>
          <w:bCs/>
          <w:sz w:val="24"/>
          <w:szCs w:val="24"/>
        </w:rPr>
        <w:t xml:space="preserve"> el desarrollo de capacidades, destrezas, habilidades y </w:t>
      </w:r>
      <w:r w:rsidRPr="00091607">
        <w:rPr>
          <w:bCs/>
          <w:sz w:val="24"/>
          <w:szCs w:val="24"/>
        </w:rPr>
        <w:lastRenderedPageBreak/>
        <w:t xml:space="preserve">además, descubrir vocaciones y apoyar para que desde </w:t>
      </w:r>
      <w:r w:rsidR="00D03846" w:rsidRPr="00091607">
        <w:rPr>
          <w:bCs/>
          <w:sz w:val="24"/>
          <w:szCs w:val="24"/>
        </w:rPr>
        <w:t xml:space="preserve">este enfoque </w:t>
      </w:r>
      <w:r w:rsidRPr="00091607">
        <w:rPr>
          <w:bCs/>
          <w:sz w:val="24"/>
          <w:szCs w:val="24"/>
        </w:rPr>
        <w:t xml:space="preserve"> los estudiantes logren transitar hacia la educación superior. </w:t>
      </w:r>
    </w:p>
    <w:p w14:paraId="4B20BA4A" w14:textId="77777777" w:rsidR="008E7605" w:rsidRDefault="008E7605" w:rsidP="00091607">
      <w:pPr>
        <w:spacing w:line="240" w:lineRule="auto"/>
        <w:ind w:leftChars="0" w:left="0" w:firstLineChars="0" w:firstLine="0"/>
        <w:rPr>
          <w:bCs/>
          <w:sz w:val="24"/>
          <w:szCs w:val="24"/>
        </w:rPr>
      </w:pPr>
    </w:p>
    <w:p w14:paraId="691AC8FB" w14:textId="398CDFCE" w:rsidR="003553F4" w:rsidRPr="003553F4" w:rsidRDefault="003553F4" w:rsidP="00091607">
      <w:pPr>
        <w:spacing w:line="240" w:lineRule="auto"/>
        <w:ind w:leftChars="0" w:left="0" w:firstLineChars="0" w:firstLine="0"/>
        <w:rPr>
          <w:bCs/>
          <w:sz w:val="24"/>
          <w:szCs w:val="24"/>
        </w:rPr>
      </w:pPr>
      <w:r>
        <w:rPr>
          <w:bCs/>
          <w:i/>
          <w:sz w:val="24"/>
          <w:szCs w:val="24"/>
        </w:rPr>
        <w:t xml:space="preserve">Respecto al desarrollo de competencias básicas para el éxito académico: </w:t>
      </w:r>
      <w:r>
        <w:rPr>
          <w:bCs/>
          <w:sz w:val="24"/>
          <w:szCs w:val="24"/>
        </w:rPr>
        <w:t xml:space="preserve">en esta línea, los actores participantes del proyecto, reportan iniciativas de intervención, orientadas a potenciar las habilidades de los estudiantes para acceder al aprendizaje, es decir, fortalecer sus competencias básicas de lectura, escritura, pensamiento matemático, entre otros, así mismo, busca impactar el desarrollo de competencias para aprender a aprender, dotándole de herramientas y estrategias metacognoscitivas en pro del éxito académico. </w:t>
      </w:r>
    </w:p>
    <w:p w14:paraId="305DFED6" w14:textId="7C0BF096" w:rsidR="00C9318A" w:rsidRPr="00091607" w:rsidRDefault="00C9318A" w:rsidP="003553F4">
      <w:pPr>
        <w:spacing w:line="240" w:lineRule="auto"/>
        <w:ind w:leftChars="0" w:left="0" w:firstLineChars="0" w:firstLine="0"/>
        <w:rPr>
          <w:bCs/>
          <w:sz w:val="24"/>
          <w:szCs w:val="24"/>
        </w:rPr>
      </w:pPr>
    </w:p>
    <w:p w14:paraId="3010C0C2" w14:textId="77777777" w:rsidR="00C9318A" w:rsidRPr="00091607" w:rsidRDefault="00177CB2" w:rsidP="00091607">
      <w:pPr>
        <w:pStyle w:val="PargrafodaLista"/>
        <w:numPr>
          <w:ilvl w:val="0"/>
          <w:numId w:val="6"/>
        </w:numPr>
        <w:spacing w:after="120"/>
        <w:textDirection w:val="btLr"/>
        <w:rPr>
          <w:rFonts w:ascii="Times New Roman" w:hAnsi="Times New Roman" w:cs="Times New Roman"/>
          <w:b/>
          <w:lang w:eastAsia="es-CO"/>
        </w:rPr>
      </w:pPr>
      <w:r w:rsidRPr="00091607">
        <w:rPr>
          <w:rFonts w:ascii="Times New Roman" w:hAnsi="Times New Roman" w:cs="Times New Roman"/>
          <w:b/>
          <w:lang w:eastAsia="es-CO"/>
        </w:rPr>
        <w:t xml:space="preserve">Conclusiones </w:t>
      </w:r>
    </w:p>
    <w:p w14:paraId="40ED96DB" w14:textId="7AD8128B" w:rsidR="00F6153B" w:rsidRPr="00091607" w:rsidRDefault="00C9318A" w:rsidP="00091607">
      <w:pPr>
        <w:spacing w:line="240" w:lineRule="auto"/>
        <w:ind w:left="-2" w:firstLineChars="0" w:firstLine="0"/>
        <w:rPr>
          <w:sz w:val="24"/>
          <w:szCs w:val="24"/>
        </w:rPr>
      </w:pPr>
      <w:r w:rsidRPr="00091607">
        <w:rPr>
          <w:sz w:val="24"/>
          <w:szCs w:val="24"/>
        </w:rPr>
        <w:t>El desarrollo de la metodología planteada y los resultados recabados, permiten centralizar las siguientes conclusiones de este est</w:t>
      </w:r>
      <w:r w:rsidR="009649F3" w:rsidRPr="00091607">
        <w:rPr>
          <w:sz w:val="24"/>
          <w:szCs w:val="24"/>
        </w:rPr>
        <w:t xml:space="preserve">udio: </w:t>
      </w:r>
    </w:p>
    <w:p w14:paraId="0CD3E450" w14:textId="77CA4548" w:rsidR="00B926A0" w:rsidRPr="00091607" w:rsidRDefault="00F6153B" w:rsidP="00091607">
      <w:pPr>
        <w:pStyle w:val="PargrafodaLista"/>
        <w:numPr>
          <w:ilvl w:val="0"/>
          <w:numId w:val="8"/>
        </w:numPr>
        <w:spacing w:after="120"/>
        <w:jc w:val="both"/>
        <w:rPr>
          <w:rFonts w:ascii="Times New Roman" w:hAnsi="Times New Roman" w:cs="Times New Roman"/>
        </w:rPr>
      </w:pPr>
      <w:r w:rsidRPr="00091607">
        <w:rPr>
          <w:rFonts w:ascii="Times New Roman" w:hAnsi="Times New Roman" w:cs="Times New Roman"/>
        </w:rPr>
        <w:t>El fenómeno de la deserción requiere ser analizado de manera holística, pues integra diferentes perspectivas que lo explican y diversas causas asociadas</w:t>
      </w:r>
      <w:r w:rsidR="00A65846">
        <w:rPr>
          <w:rFonts w:ascii="Times New Roman" w:hAnsi="Times New Roman" w:cs="Times New Roman"/>
        </w:rPr>
        <w:t xml:space="preserve">, que incluso están asociadas a momentos previos al ingreso a la Educación Superior, por ejemplo, al proceso de salida de la educación media y la transición al nivel siguiente. </w:t>
      </w:r>
    </w:p>
    <w:p w14:paraId="3D09B16D" w14:textId="7EA52020" w:rsidR="009649F3" w:rsidRPr="00091607" w:rsidRDefault="009649F3" w:rsidP="00091607">
      <w:pPr>
        <w:pStyle w:val="PargrafodaLista"/>
        <w:numPr>
          <w:ilvl w:val="0"/>
          <w:numId w:val="8"/>
        </w:numPr>
        <w:spacing w:after="120"/>
        <w:jc w:val="both"/>
        <w:rPr>
          <w:rFonts w:ascii="Times New Roman" w:hAnsi="Times New Roman" w:cs="Times New Roman"/>
        </w:rPr>
      </w:pPr>
      <w:r w:rsidRPr="00091607">
        <w:rPr>
          <w:rFonts w:ascii="Times New Roman" w:eastAsia="Times New Roman" w:hAnsi="Times New Roman" w:cs="Times New Roman"/>
        </w:rPr>
        <w:t>El ambiente de aprendizaje para los estudiantes que están haciendo transición de la educación media a la educación superior, debe propender por el desarrollo de habilidades blandas, considerando que estas también tienen una relación importante con su proceso de adaptación y claramente con el éxito académico</w:t>
      </w:r>
      <w:r w:rsidR="00091607" w:rsidRPr="00091607">
        <w:rPr>
          <w:rFonts w:ascii="Times New Roman" w:eastAsia="Times New Roman" w:hAnsi="Times New Roman" w:cs="Times New Roman"/>
        </w:rPr>
        <w:t xml:space="preserve"> y la permanencia universitaria.</w:t>
      </w:r>
      <w:r w:rsidRPr="00091607">
        <w:rPr>
          <w:rFonts w:ascii="Times New Roman" w:eastAsia="Times New Roman" w:hAnsi="Times New Roman" w:cs="Times New Roman"/>
        </w:rPr>
        <w:t xml:space="preserve"> </w:t>
      </w:r>
    </w:p>
    <w:p w14:paraId="48A12701" w14:textId="228A1F2B" w:rsidR="009649F3" w:rsidRPr="00091607" w:rsidRDefault="009649F3" w:rsidP="00091607">
      <w:pPr>
        <w:pStyle w:val="PargrafodaLista"/>
        <w:numPr>
          <w:ilvl w:val="0"/>
          <w:numId w:val="8"/>
        </w:numPr>
        <w:spacing w:after="120"/>
        <w:jc w:val="both"/>
        <w:rPr>
          <w:rFonts w:ascii="Times New Roman" w:hAnsi="Times New Roman" w:cs="Times New Roman"/>
        </w:rPr>
      </w:pPr>
      <w:r w:rsidRPr="00091607">
        <w:rPr>
          <w:rFonts w:ascii="Times New Roman" w:eastAsia="Times New Roman" w:hAnsi="Times New Roman" w:cs="Times New Roman"/>
        </w:rPr>
        <w:t>El período existente entre la finalización de la etapa escolar y el inicio de la vida universitaria, exige en los individuos la puesta en marcha de una serie de habilidades y competencias diferenciales, por lo cual es importante desarrollar acciones que facilite</w:t>
      </w:r>
      <w:r w:rsidR="00777D5D">
        <w:rPr>
          <w:rFonts w:ascii="Times New Roman" w:eastAsia="Times New Roman" w:hAnsi="Times New Roman" w:cs="Times New Roman"/>
        </w:rPr>
        <w:t>n</w:t>
      </w:r>
      <w:r w:rsidRPr="00091607">
        <w:rPr>
          <w:rFonts w:ascii="Times New Roman" w:eastAsia="Times New Roman" w:hAnsi="Times New Roman" w:cs="Times New Roman"/>
        </w:rPr>
        <w:t xml:space="preserve"> ese ejercicio de reconfiguración de los estudiantes. </w:t>
      </w:r>
    </w:p>
    <w:p w14:paraId="53D7FF8A" w14:textId="2BC68D15" w:rsidR="009649F3" w:rsidRPr="00091607" w:rsidRDefault="009649F3" w:rsidP="00091607">
      <w:pPr>
        <w:pStyle w:val="PargrafodaLista"/>
        <w:numPr>
          <w:ilvl w:val="0"/>
          <w:numId w:val="8"/>
        </w:numPr>
        <w:spacing w:after="120"/>
        <w:jc w:val="both"/>
        <w:rPr>
          <w:rFonts w:ascii="Times New Roman" w:hAnsi="Times New Roman" w:cs="Times New Roman"/>
        </w:rPr>
      </w:pPr>
      <w:r w:rsidRPr="00091607">
        <w:rPr>
          <w:rFonts w:ascii="Times New Roman" w:hAnsi="Times New Roman" w:cs="Times New Roman"/>
        </w:rPr>
        <w:t>Las transiciones vitales tienen efectos significativos sobre los procesos de permanencia universitaria, y son un elemento que debería incorporarse en los planes de trabajo institucional, a fin de lograr intervenciones efectivas que doten a los estudiantes de habilidades blandas que le faciliten tránsito a la vida universitaria.</w:t>
      </w:r>
    </w:p>
    <w:p w14:paraId="6DB7BEA6" w14:textId="329E7E47" w:rsidR="009649F3" w:rsidRPr="000C4030" w:rsidRDefault="00F6153B" w:rsidP="00091607">
      <w:pPr>
        <w:pStyle w:val="PargrafodaLista"/>
        <w:numPr>
          <w:ilvl w:val="0"/>
          <w:numId w:val="8"/>
        </w:numPr>
        <w:spacing w:after="120"/>
        <w:jc w:val="both"/>
        <w:rPr>
          <w:rFonts w:ascii="Times New Roman" w:hAnsi="Times New Roman" w:cs="Times New Roman"/>
        </w:rPr>
      </w:pPr>
      <w:r w:rsidRPr="00091607">
        <w:rPr>
          <w:rFonts w:ascii="Times New Roman" w:eastAsia="Times New Roman" w:hAnsi="Times New Roman" w:cs="Times New Roman"/>
        </w:rPr>
        <w:t>No es posible pensar en el diseño de procesos de intervención universales</w:t>
      </w:r>
      <w:r w:rsidR="009649F3" w:rsidRPr="00091607">
        <w:rPr>
          <w:rFonts w:ascii="Times New Roman" w:eastAsia="Times New Roman" w:hAnsi="Times New Roman" w:cs="Times New Roman"/>
        </w:rPr>
        <w:t xml:space="preserve"> en términos de la transición a la vida universitaria</w:t>
      </w:r>
      <w:r w:rsidRPr="00091607">
        <w:rPr>
          <w:rFonts w:ascii="Times New Roman" w:eastAsia="Times New Roman" w:hAnsi="Times New Roman" w:cs="Times New Roman"/>
        </w:rPr>
        <w:t>, por el contrario, es fundamental partir del análisis de los contextos, caracterizar el fenómeno de acuerdo con las realidades de las instituciones y de lo</w:t>
      </w:r>
      <w:r w:rsidR="009649F3" w:rsidRPr="00091607">
        <w:rPr>
          <w:rFonts w:ascii="Times New Roman" w:eastAsia="Times New Roman" w:hAnsi="Times New Roman" w:cs="Times New Roman"/>
        </w:rPr>
        <w:t>s estudiantes que las integran.</w:t>
      </w:r>
    </w:p>
    <w:p w14:paraId="055F3879" w14:textId="3B22B0BE" w:rsidR="000C4030" w:rsidRPr="000C4030" w:rsidRDefault="000C4030" w:rsidP="00091607">
      <w:pPr>
        <w:pStyle w:val="PargrafodaLista"/>
        <w:numPr>
          <w:ilvl w:val="0"/>
          <w:numId w:val="8"/>
        </w:numPr>
        <w:spacing w:after="120"/>
        <w:jc w:val="both"/>
        <w:rPr>
          <w:rFonts w:ascii="Times New Roman" w:hAnsi="Times New Roman" w:cs="Times New Roman"/>
        </w:rPr>
      </w:pPr>
      <w:r w:rsidRPr="000C4030">
        <w:rPr>
          <w:rFonts w:ascii="Times New Roman" w:eastAsia="Times New Roman" w:hAnsi="Times New Roman" w:cs="Times New Roman"/>
        </w:rPr>
        <w:t>Es recomendable que en los ámbitos institucionales que fortalezcan las condiciones académicas, emocionales, cognitivas, entre otras, de los estudiantes previo a su ingreso a la universidad, esto implica que el acercamiento al ambiente universitario sea real y fomente el desarrollo de un plan de carrera con enfoque vocacional</w:t>
      </w:r>
    </w:p>
    <w:p w14:paraId="6FF6B2B8" w14:textId="77777777" w:rsidR="000C4030" w:rsidRPr="00091607" w:rsidRDefault="000C4030" w:rsidP="000C4030">
      <w:pPr>
        <w:pStyle w:val="PargrafodaLista"/>
        <w:numPr>
          <w:ilvl w:val="0"/>
          <w:numId w:val="8"/>
        </w:numPr>
        <w:spacing w:after="120"/>
        <w:jc w:val="both"/>
        <w:rPr>
          <w:rFonts w:ascii="Times New Roman" w:hAnsi="Times New Roman" w:cs="Times New Roman"/>
        </w:rPr>
      </w:pPr>
      <w:r w:rsidRPr="00091607">
        <w:rPr>
          <w:rFonts w:ascii="Times New Roman" w:eastAsia="Times New Roman" w:hAnsi="Times New Roman" w:cs="Times New Roman"/>
        </w:rPr>
        <w:t xml:space="preserve">Es fundamental crear alianzas con colegios, teniendo como base los perfiles estudiantiles y las líneas comunes de interacción, este ejercicio permite visibilizar las expectativas de los estudiantes y alienarlas con la oferta institucional de la universidad. </w:t>
      </w:r>
    </w:p>
    <w:p w14:paraId="66331F86" w14:textId="77777777" w:rsidR="000C4030" w:rsidRPr="00091607" w:rsidRDefault="000C4030" w:rsidP="000C4030">
      <w:pPr>
        <w:pStyle w:val="PargrafodaLista"/>
        <w:numPr>
          <w:ilvl w:val="0"/>
          <w:numId w:val="8"/>
        </w:numPr>
        <w:spacing w:after="120"/>
        <w:jc w:val="both"/>
        <w:rPr>
          <w:rFonts w:ascii="Times New Roman" w:hAnsi="Times New Roman" w:cs="Times New Roman"/>
        </w:rPr>
      </w:pPr>
      <w:r w:rsidRPr="00091607">
        <w:rPr>
          <w:rFonts w:ascii="Times New Roman" w:eastAsia="Times New Roman" w:hAnsi="Times New Roman" w:cs="Times New Roman"/>
        </w:rPr>
        <w:t xml:space="preserve">Integrar a los cuerpos profesorales del colegio en la implementación de acciones de transición a la vida universitaria, llevando impacto más allá de la comunicación de información, esto quiere decir, que, desde el desarrollo de las clases en educación media, se puedan diseñar experiencias que le permitan al estudiante fortalecer sus habilidades blandas y mitigar los riesgos para el éxito académico asociados a esta línea de acción. </w:t>
      </w:r>
    </w:p>
    <w:p w14:paraId="3CE33081" w14:textId="77777777" w:rsidR="000C4030" w:rsidRPr="00091607" w:rsidRDefault="000C4030" w:rsidP="000C4030">
      <w:pPr>
        <w:pStyle w:val="PargrafodaLista"/>
        <w:spacing w:after="120"/>
        <w:ind w:left="358"/>
        <w:jc w:val="both"/>
        <w:rPr>
          <w:rFonts w:ascii="Times New Roman" w:hAnsi="Times New Roman" w:cs="Times New Roman"/>
        </w:rPr>
      </w:pPr>
    </w:p>
    <w:p w14:paraId="66133FFD" w14:textId="475934CD" w:rsidR="00091607" w:rsidRPr="00091607" w:rsidRDefault="00091607" w:rsidP="00091607">
      <w:pPr>
        <w:pStyle w:val="PargrafodaLista"/>
        <w:spacing w:after="120"/>
        <w:ind w:left="358"/>
        <w:jc w:val="both"/>
        <w:rPr>
          <w:rFonts w:ascii="Times New Roman" w:hAnsi="Times New Roman" w:cs="Times New Roman"/>
        </w:rPr>
      </w:pPr>
    </w:p>
    <w:p w14:paraId="2AD2C0D1" w14:textId="0770C2F2" w:rsidR="00F6153B" w:rsidRPr="00091607" w:rsidRDefault="00F6153B" w:rsidP="00777D5D">
      <w:pPr>
        <w:spacing w:line="240" w:lineRule="auto"/>
        <w:ind w:leftChars="0" w:left="0" w:firstLineChars="0" w:firstLine="0"/>
        <w:rPr>
          <w:sz w:val="24"/>
          <w:szCs w:val="24"/>
        </w:rPr>
      </w:pPr>
    </w:p>
    <w:p w14:paraId="03DD13E2" w14:textId="735F3520" w:rsidR="00091607" w:rsidRPr="00091607" w:rsidRDefault="00091607" w:rsidP="00091607">
      <w:pPr>
        <w:pStyle w:val="PargrafodaLista"/>
        <w:numPr>
          <w:ilvl w:val="0"/>
          <w:numId w:val="6"/>
        </w:numPr>
        <w:rPr>
          <w:rFonts w:ascii="Times New Roman" w:hAnsi="Times New Roman" w:cs="Times New Roman"/>
          <w:b/>
        </w:rPr>
      </w:pPr>
      <w:r w:rsidRPr="00091607">
        <w:rPr>
          <w:rFonts w:ascii="Times New Roman" w:hAnsi="Times New Roman" w:cs="Times New Roman"/>
          <w:b/>
        </w:rPr>
        <w:t xml:space="preserve">Referencias </w:t>
      </w:r>
    </w:p>
    <w:p w14:paraId="48FB8829" w14:textId="018B81D7" w:rsidR="00091607" w:rsidRPr="00091607" w:rsidRDefault="00091607" w:rsidP="00091607">
      <w:pPr>
        <w:spacing w:line="240" w:lineRule="auto"/>
        <w:ind w:leftChars="0" w:left="0" w:firstLineChars="0" w:firstLine="0"/>
        <w:rPr>
          <w:position w:val="0"/>
          <w:sz w:val="24"/>
          <w:szCs w:val="24"/>
          <w:lang w:eastAsia="en-US"/>
        </w:rPr>
      </w:pPr>
    </w:p>
    <w:p w14:paraId="74A37198" w14:textId="77777777" w:rsidR="00091607" w:rsidRPr="00091607" w:rsidRDefault="00091607" w:rsidP="00091607">
      <w:pPr>
        <w:pStyle w:val="Bibliografia"/>
        <w:spacing w:after="0" w:line="240" w:lineRule="auto"/>
        <w:ind w:leftChars="0" w:left="0" w:firstLineChars="0" w:firstLine="0"/>
        <w:rPr>
          <w:position w:val="0"/>
          <w:sz w:val="24"/>
          <w:szCs w:val="24"/>
          <w:lang w:val="es-CO" w:eastAsia="en-US"/>
        </w:rPr>
      </w:pPr>
      <w:r w:rsidRPr="00091607">
        <w:rPr>
          <w:position w:val="0"/>
          <w:sz w:val="24"/>
          <w:szCs w:val="24"/>
          <w:lang w:val="es-CO" w:eastAsia="en-US"/>
        </w:rPr>
        <w:t xml:space="preserve">Bohórquez, Y. (2021). El proceso de transición de la educación media a educación superior en el Municipio de Carcasí entre los años 2015 y 2019. (Tesis de grado, Universidad Pontificia Bolivariana). Bucaramanga. Recuperado el 2022, de </w:t>
      </w:r>
      <w:hyperlink r:id="rId13" w:history="1">
        <w:r w:rsidRPr="00091607">
          <w:rPr>
            <w:position w:val="0"/>
            <w:sz w:val="24"/>
            <w:szCs w:val="24"/>
            <w:lang w:val="es-CO" w:eastAsia="en-US"/>
          </w:rPr>
          <w:t>https://repository.upb.edu.co/bitstream/handle/20.500.11912/9205/319_1%20%281%29.pdf?sequence=1</w:t>
        </w:r>
      </w:hyperlink>
    </w:p>
    <w:p w14:paraId="1803EFA2" w14:textId="77777777" w:rsidR="00091607" w:rsidRPr="00091607" w:rsidRDefault="00091607" w:rsidP="00091607">
      <w:pPr>
        <w:pStyle w:val="Bibliografia"/>
        <w:spacing w:after="0" w:line="240" w:lineRule="auto"/>
        <w:ind w:left="0" w:hanging="2"/>
        <w:rPr>
          <w:noProof/>
          <w:sz w:val="24"/>
          <w:szCs w:val="24"/>
        </w:rPr>
      </w:pPr>
    </w:p>
    <w:p w14:paraId="3D49D938" w14:textId="33387597" w:rsidR="00091607" w:rsidRPr="00091607" w:rsidRDefault="00091607" w:rsidP="00091607">
      <w:pPr>
        <w:pStyle w:val="Bibliografia"/>
        <w:spacing w:after="0" w:line="240" w:lineRule="auto"/>
        <w:ind w:left="0" w:hanging="2"/>
        <w:rPr>
          <w:noProof/>
          <w:position w:val="0"/>
          <w:sz w:val="24"/>
          <w:szCs w:val="24"/>
          <w:lang w:eastAsia="en-US"/>
        </w:rPr>
      </w:pPr>
      <w:r w:rsidRPr="00091607">
        <w:rPr>
          <w:noProof/>
          <w:sz w:val="24"/>
          <w:szCs w:val="24"/>
        </w:rPr>
        <w:t xml:space="preserve">Cárcamo, A., González, E., Herrera, R., &amp; Poblete, A. (2010). Transición entre educación media y universidad: Marco de referencia y experencias internacionales. . </w:t>
      </w:r>
      <w:r w:rsidRPr="00091607">
        <w:rPr>
          <w:i/>
          <w:iCs/>
          <w:noProof/>
          <w:sz w:val="24"/>
          <w:szCs w:val="24"/>
        </w:rPr>
        <w:t>Centro Interuniversitario de Desarrollo CINDA</w:t>
      </w:r>
      <w:r w:rsidRPr="00091607">
        <w:rPr>
          <w:noProof/>
          <w:sz w:val="24"/>
          <w:szCs w:val="24"/>
        </w:rPr>
        <w:t>, 356. Recuperado el 2020, de https://cinda.cl/wp-content/uploads/2011/03/el-proceso-de-transicion-entre-educacion-media-y-superior-experiencias-univertitarias.pdf</w:t>
      </w:r>
    </w:p>
    <w:p w14:paraId="0B4CFD3D" w14:textId="77777777" w:rsidR="00091607" w:rsidRPr="00091607" w:rsidRDefault="00091607" w:rsidP="00091607">
      <w:pPr>
        <w:pStyle w:val="Bibliografia"/>
        <w:spacing w:after="0" w:line="240" w:lineRule="auto"/>
        <w:ind w:left="0" w:hanging="2"/>
        <w:rPr>
          <w:noProof/>
          <w:sz w:val="24"/>
          <w:szCs w:val="24"/>
        </w:rPr>
      </w:pPr>
    </w:p>
    <w:p w14:paraId="551EFCB4" w14:textId="6A0CE228" w:rsidR="00091607" w:rsidRPr="00091607" w:rsidRDefault="00091607" w:rsidP="00091607">
      <w:pPr>
        <w:pStyle w:val="Bibliografia"/>
        <w:spacing w:after="0" w:line="240" w:lineRule="auto"/>
        <w:ind w:left="0" w:hanging="2"/>
        <w:rPr>
          <w:noProof/>
          <w:sz w:val="24"/>
          <w:szCs w:val="24"/>
        </w:rPr>
      </w:pPr>
      <w:r w:rsidRPr="00091607">
        <w:rPr>
          <w:noProof/>
          <w:sz w:val="24"/>
          <w:szCs w:val="24"/>
        </w:rPr>
        <w:t xml:space="preserve">Carcausto, L., Duche, A., Gutierrez, O., &amp; Paredes, F. (2020). Transición secundaria-universidad y la adaptación a la vida universitaria. </w:t>
      </w:r>
      <w:r w:rsidRPr="00091607">
        <w:rPr>
          <w:i/>
          <w:iCs/>
          <w:noProof/>
          <w:sz w:val="24"/>
          <w:szCs w:val="24"/>
        </w:rPr>
        <w:t>Revista de Ciencias Sociales, 26</w:t>
      </w:r>
      <w:r w:rsidRPr="00091607">
        <w:rPr>
          <w:noProof/>
          <w:sz w:val="24"/>
          <w:szCs w:val="24"/>
        </w:rPr>
        <w:t>(3), S.P. Recuperado el 2021, de https://www.redalyc.org/jatsRepo/280/28063519018/html/index.html</w:t>
      </w:r>
    </w:p>
    <w:p w14:paraId="29F1F69D" w14:textId="77777777" w:rsidR="00091607" w:rsidRPr="00091607" w:rsidRDefault="00091607" w:rsidP="00091607">
      <w:pPr>
        <w:pStyle w:val="Bibliografia"/>
        <w:spacing w:after="0" w:line="240" w:lineRule="auto"/>
        <w:ind w:leftChars="0" w:left="2" w:hanging="2"/>
        <w:rPr>
          <w:position w:val="0"/>
          <w:sz w:val="24"/>
          <w:szCs w:val="24"/>
          <w:lang w:val="es-CO" w:eastAsia="en-US"/>
        </w:rPr>
      </w:pPr>
    </w:p>
    <w:p w14:paraId="20D16A8C" w14:textId="239BC56F" w:rsidR="00091607" w:rsidRPr="00091607" w:rsidRDefault="00091607" w:rsidP="00091607">
      <w:pPr>
        <w:pStyle w:val="Bibliografia"/>
        <w:spacing w:after="0" w:line="240" w:lineRule="auto"/>
        <w:ind w:leftChars="0" w:left="2" w:hanging="2"/>
        <w:rPr>
          <w:position w:val="0"/>
          <w:sz w:val="24"/>
          <w:szCs w:val="24"/>
          <w:lang w:val="es-CO" w:eastAsia="en-US"/>
        </w:rPr>
      </w:pPr>
      <w:r w:rsidRPr="00091607">
        <w:rPr>
          <w:position w:val="0"/>
          <w:sz w:val="24"/>
          <w:szCs w:val="24"/>
          <w:lang w:val="es-CO" w:eastAsia="en-US"/>
        </w:rPr>
        <w:t>Chacón, J. (2015). De la Educación Secundaria a la Superior: Una ruptura por solucionar. Recuperado el 2020, de https://repository.unimilitar.edu.co/handle/10654/6781</w:t>
      </w:r>
    </w:p>
    <w:p w14:paraId="742463C2" w14:textId="77777777" w:rsidR="00091607" w:rsidRPr="004A51C5" w:rsidRDefault="00091607" w:rsidP="00091607">
      <w:pPr>
        <w:pStyle w:val="Bibliografia"/>
        <w:spacing w:after="0" w:line="240" w:lineRule="auto"/>
        <w:ind w:left="0" w:hanging="2"/>
        <w:rPr>
          <w:noProof/>
          <w:sz w:val="24"/>
          <w:szCs w:val="24"/>
          <w:lang w:val="es-CO"/>
        </w:rPr>
      </w:pPr>
    </w:p>
    <w:p w14:paraId="1CF13894" w14:textId="428E9CDB" w:rsidR="00091607" w:rsidRPr="00091607" w:rsidRDefault="00091607" w:rsidP="00091607">
      <w:pPr>
        <w:pStyle w:val="Bibliografia"/>
        <w:spacing w:after="0" w:line="240" w:lineRule="auto"/>
        <w:ind w:left="0" w:hanging="2"/>
        <w:rPr>
          <w:noProof/>
          <w:sz w:val="24"/>
          <w:szCs w:val="24"/>
        </w:rPr>
      </w:pPr>
      <w:r w:rsidRPr="004A51C5">
        <w:rPr>
          <w:noProof/>
          <w:sz w:val="24"/>
          <w:szCs w:val="24"/>
          <w:lang w:val="es-CO"/>
        </w:rPr>
        <w:t xml:space="preserve">Ferreira, E., Lopes, A., &amp; Sousa, R. (2013). </w:t>
      </w:r>
      <w:r w:rsidRPr="00091607">
        <w:rPr>
          <w:noProof/>
          <w:sz w:val="24"/>
          <w:szCs w:val="24"/>
        </w:rPr>
        <w:t xml:space="preserve">La transición y el proceso de adaptación en la Educación Superior: Un estudio con estudiantes de una escuela de enfermería y de una escuela de educación. . </w:t>
      </w:r>
      <w:r w:rsidRPr="00091607">
        <w:rPr>
          <w:i/>
          <w:iCs/>
          <w:noProof/>
          <w:sz w:val="24"/>
          <w:szCs w:val="24"/>
        </w:rPr>
        <w:t>Revista de Docencia Universitaria (REDU), 11</w:t>
      </w:r>
      <w:r w:rsidRPr="00091607">
        <w:rPr>
          <w:noProof/>
          <w:sz w:val="24"/>
          <w:szCs w:val="24"/>
        </w:rPr>
        <w:t xml:space="preserve">(3), 403. Recuperado el 2020, de </w:t>
      </w:r>
      <w:hyperlink r:id="rId14" w:history="1">
        <w:r w:rsidRPr="00091607">
          <w:rPr>
            <w:rStyle w:val="Hyperlink"/>
            <w:noProof/>
            <w:sz w:val="24"/>
            <w:szCs w:val="24"/>
          </w:rPr>
          <w:t>https://doi.org/10.4995/redu.2013.5535</w:t>
        </w:r>
      </w:hyperlink>
    </w:p>
    <w:p w14:paraId="215FB9FF" w14:textId="77777777" w:rsidR="00091607" w:rsidRPr="00091607" w:rsidRDefault="00091607" w:rsidP="00091607">
      <w:pPr>
        <w:spacing w:after="0" w:line="240" w:lineRule="auto"/>
        <w:ind w:left="-2" w:firstLineChars="0" w:firstLine="0"/>
        <w:rPr>
          <w:noProof/>
          <w:sz w:val="24"/>
          <w:szCs w:val="24"/>
        </w:rPr>
      </w:pPr>
    </w:p>
    <w:p w14:paraId="6D1456B0" w14:textId="33140064" w:rsidR="00091607" w:rsidRPr="00091607" w:rsidRDefault="00091607" w:rsidP="00091607">
      <w:pPr>
        <w:spacing w:after="0" w:line="240" w:lineRule="auto"/>
        <w:ind w:left="-2" w:firstLineChars="0" w:firstLine="0"/>
        <w:rPr>
          <w:noProof/>
          <w:sz w:val="24"/>
          <w:szCs w:val="24"/>
        </w:rPr>
      </w:pPr>
      <w:r w:rsidRPr="00091607">
        <w:rPr>
          <w:noProof/>
          <w:sz w:val="24"/>
          <w:szCs w:val="24"/>
        </w:rPr>
        <w:t xml:space="preserve">García, T., Palizada, M., Bueno, M., &amp; Sánchez, L. (2018). Causas de deserción escolar en estudiantes del nivel de licenciatura. </w:t>
      </w:r>
      <w:r w:rsidRPr="00091607">
        <w:rPr>
          <w:i/>
          <w:iCs/>
          <w:noProof/>
          <w:sz w:val="24"/>
          <w:szCs w:val="24"/>
        </w:rPr>
        <w:t>Revista Académica de Investigación TLATEMOANI</w:t>
      </w:r>
      <w:r w:rsidRPr="00091607">
        <w:rPr>
          <w:noProof/>
          <w:sz w:val="24"/>
          <w:szCs w:val="24"/>
        </w:rPr>
        <w:t xml:space="preserve">. Recuperado el 2022, de </w:t>
      </w:r>
      <w:hyperlink r:id="rId15" w:history="1">
        <w:r w:rsidRPr="00091607">
          <w:rPr>
            <w:rStyle w:val="Hyperlink"/>
            <w:noProof/>
            <w:sz w:val="24"/>
            <w:szCs w:val="24"/>
          </w:rPr>
          <w:t>https://www.eumed.net/rev/tlatemoani/28/desercion-escolar.html</w:t>
        </w:r>
      </w:hyperlink>
    </w:p>
    <w:p w14:paraId="74DAECBE" w14:textId="77777777" w:rsidR="00091607" w:rsidRPr="00091607" w:rsidRDefault="00091607" w:rsidP="00091607">
      <w:pPr>
        <w:pStyle w:val="Bibliografia"/>
        <w:spacing w:after="0" w:line="240" w:lineRule="auto"/>
        <w:ind w:left="0" w:hanging="2"/>
        <w:rPr>
          <w:noProof/>
          <w:sz w:val="24"/>
          <w:szCs w:val="24"/>
        </w:rPr>
      </w:pPr>
    </w:p>
    <w:p w14:paraId="404E7E5F" w14:textId="706F31EB" w:rsidR="00091607" w:rsidRPr="00091607" w:rsidRDefault="00091607" w:rsidP="00091607">
      <w:pPr>
        <w:pStyle w:val="Bibliografia"/>
        <w:spacing w:after="0" w:line="240" w:lineRule="auto"/>
        <w:ind w:left="0" w:hanging="2"/>
        <w:rPr>
          <w:noProof/>
          <w:position w:val="0"/>
          <w:sz w:val="24"/>
          <w:szCs w:val="24"/>
          <w:lang w:eastAsia="en-US"/>
        </w:rPr>
      </w:pPr>
      <w:r w:rsidRPr="00091607">
        <w:rPr>
          <w:noProof/>
          <w:sz w:val="24"/>
          <w:szCs w:val="24"/>
        </w:rPr>
        <w:t xml:space="preserve">OCDE, Ministerio de Educación Nacional y Departamento de Planeación Nacional. (2016). </w:t>
      </w:r>
      <w:r w:rsidRPr="00091607">
        <w:rPr>
          <w:i/>
          <w:iCs/>
          <w:noProof/>
          <w:sz w:val="24"/>
          <w:szCs w:val="24"/>
        </w:rPr>
        <w:t>La Educación en Colombia.</w:t>
      </w:r>
      <w:r w:rsidRPr="00091607">
        <w:rPr>
          <w:noProof/>
          <w:sz w:val="24"/>
          <w:szCs w:val="24"/>
        </w:rPr>
        <w:t xml:space="preserve"> Recuperado el 2020, de https://doi.org/10.1787/9789264250604-en</w:t>
      </w:r>
    </w:p>
    <w:p w14:paraId="15640202" w14:textId="77777777" w:rsidR="00091607" w:rsidRPr="00091607" w:rsidRDefault="00091607" w:rsidP="00091607">
      <w:pPr>
        <w:pStyle w:val="Bibliografia"/>
        <w:spacing w:after="0" w:line="240" w:lineRule="auto"/>
        <w:ind w:left="0" w:hanging="2"/>
        <w:rPr>
          <w:noProof/>
          <w:sz w:val="24"/>
          <w:szCs w:val="24"/>
        </w:rPr>
      </w:pPr>
    </w:p>
    <w:p w14:paraId="1E52D3A9" w14:textId="0DB93647" w:rsidR="00091607" w:rsidRPr="00091607" w:rsidRDefault="00091607" w:rsidP="00091607">
      <w:pPr>
        <w:pStyle w:val="Bibliografia"/>
        <w:spacing w:after="0" w:line="240" w:lineRule="auto"/>
        <w:ind w:left="0" w:hanging="2"/>
        <w:rPr>
          <w:noProof/>
          <w:position w:val="0"/>
          <w:sz w:val="24"/>
          <w:szCs w:val="24"/>
          <w:lang w:eastAsia="en-US"/>
        </w:rPr>
      </w:pPr>
      <w:r w:rsidRPr="00091607">
        <w:rPr>
          <w:noProof/>
          <w:sz w:val="24"/>
          <w:szCs w:val="24"/>
        </w:rPr>
        <w:t xml:space="preserve">Sánchez, M., Herrera, C., Buzo, R., García, M., Maya, M., &amp; Martínez, A. (2021). Transición de la educacion media superior a educación superior: estudio en la UNAM. </w:t>
      </w:r>
      <w:r w:rsidRPr="00091607">
        <w:rPr>
          <w:i/>
          <w:iCs/>
          <w:noProof/>
          <w:sz w:val="24"/>
          <w:szCs w:val="24"/>
        </w:rPr>
        <w:t>Revista Digital Universitaria</w:t>
      </w:r>
      <w:r w:rsidRPr="00091607">
        <w:rPr>
          <w:noProof/>
          <w:sz w:val="24"/>
          <w:szCs w:val="24"/>
        </w:rPr>
        <w:t xml:space="preserve">, 22 (2), Recuperado el 2022, de https://www.revista.unam.mx/2021v22n2/transicion_de_la_educacion_media_superior_a_la_educacion_superior_estudio_en_la_unam/ </w:t>
      </w:r>
    </w:p>
    <w:p w14:paraId="15289DA7" w14:textId="7E8C5572" w:rsidR="00091607" w:rsidRDefault="00091607" w:rsidP="00091607">
      <w:pPr>
        <w:spacing w:line="240" w:lineRule="auto"/>
        <w:ind w:left="-2" w:firstLineChars="0" w:firstLine="0"/>
        <w:rPr>
          <w:position w:val="0"/>
          <w:sz w:val="24"/>
          <w:szCs w:val="24"/>
          <w:lang w:val="es-CO" w:eastAsia="en-US"/>
        </w:rPr>
      </w:pPr>
    </w:p>
    <w:p w14:paraId="68B6EE39" w14:textId="38ED262F" w:rsidR="00F6564D" w:rsidRPr="00091607" w:rsidRDefault="00F6564D" w:rsidP="00091607">
      <w:pPr>
        <w:spacing w:line="240" w:lineRule="auto"/>
        <w:ind w:left="-2" w:firstLineChars="0" w:firstLine="0"/>
        <w:rPr>
          <w:position w:val="0"/>
          <w:sz w:val="24"/>
          <w:szCs w:val="24"/>
          <w:lang w:val="es-CO" w:eastAsia="en-US"/>
        </w:rPr>
      </w:pPr>
      <w:r>
        <w:rPr>
          <w:rFonts w:ascii="Verdana" w:hAnsi="Verdana"/>
          <w:color w:val="000000"/>
          <w:sz w:val="19"/>
          <w:szCs w:val="19"/>
          <w:shd w:val="clear" w:color="auto" w:fill="FFFFFF"/>
        </w:rPr>
        <w:t>Vélez, A. y López, D. (2004). Estrategias para vencer la deserción universitaria. </w:t>
      </w:r>
      <w:r>
        <w:rPr>
          <w:rFonts w:ascii="Verdana" w:hAnsi="Verdana"/>
          <w:i/>
          <w:iCs/>
          <w:color w:val="000000"/>
          <w:sz w:val="19"/>
          <w:szCs w:val="19"/>
          <w:shd w:val="clear" w:color="auto" w:fill="FFFFFF"/>
        </w:rPr>
        <w:t>Revista Educación y Educadores, 7, 177-203 </w:t>
      </w:r>
      <w:r>
        <w:rPr>
          <w:rFonts w:ascii="Verdana" w:hAnsi="Verdana"/>
          <w:color w:val="000000"/>
          <w:sz w:val="19"/>
          <w:szCs w:val="19"/>
          <w:shd w:val="clear" w:color="auto" w:fill="FFFFFF"/>
        </w:rPr>
        <w:t>[</w:t>
      </w:r>
      <w:proofErr w:type="spellStart"/>
      <w:r>
        <w:rPr>
          <w:rFonts w:ascii="Verdana" w:hAnsi="Verdana"/>
          <w:color w:val="000000"/>
          <w:sz w:val="19"/>
          <w:szCs w:val="19"/>
          <w:shd w:val="clear" w:color="auto" w:fill="FFFFFF"/>
        </w:rPr>
        <w:t>on</w:t>
      </w:r>
      <w:proofErr w:type="spellEnd"/>
      <w:r>
        <w:rPr>
          <w:rFonts w:ascii="Verdana" w:hAnsi="Verdana"/>
          <w:color w:val="000000"/>
          <w:sz w:val="19"/>
          <w:szCs w:val="19"/>
          <w:shd w:val="clear" w:color="auto" w:fill="FFFFFF"/>
        </w:rPr>
        <w:t xml:space="preserve"> line]. Recuperado el </w:t>
      </w:r>
      <w:r w:rsidR="00A65846">
        <w:rPr>
          <w:rFonts w:ascii="Verdana" w:hAnsi="Verdana"/>
          <w:color w:val="000000"/>
          <w:sz w:val="19"/>
          <w:szCs w:val="19"/>
          <w:shd w:val="clear" w:color="auto" w:fill="FFFFFF"/>
        </w:rPr>
        <w:t>19</w:t>
      </w:r>
      <w:r>
        <w:rPr>
          <w:rFonts w:ascii="Verdana" w:hAnsi="Verdana"/>
          <w:color w:val="000000"/>
          <w:sz w:val="19"/>
          <w:szCs w:val="19"/>
          <w:shd w:val="clear" w:color="auto" w:fill="FFFFFF"/>
        </w:rPr>
        <w:t xml:space="preserve"> de </w:t>
      </w:r>
      <w:r w:rsidR="00A65846">
        <w:rPr>
          <w:rFonts w:ascii="Verdana" w:hAnsi="Verdana"/>
          <w:color w:val="000000"/>
          <w:sz w:val="19"/>
          <w:szCs w:val="19"/>
          <w:shd w:val="clear" w:color="auto" w:fill="FFFFFF"/>
        </w:rPr>
        <w:t xml:space="preserve">Octubre de 2022 </w:t>
      </w:r>
      <w:r>
        <w:rPr>
          <w:rFonts w:ascii="Verdana" w:hAnsi="Verdana"/>
          <w:color w:val="000000"/>
          <w:sz w:val="19"/>
          <w:szCs w:val="19"/>
          <w:shd w:val="clear" w:color="auto" w:fill="FFFFFF"/>
        </w:rPr>
        <w:t>de: </w:t>
      </w:r>
      <w:hyperlink r:id="rId16" w:tgtFrame="_blank" w:history="1">
        <w:r>
          <w:rPr>
            <w:rStyle w:val="Hyperlink"/>
            <w:rFonts w:ascii="Verdana" w:hAnsi="Verdana"/>
            <w:i/>
            <w:iCs/>
            <w:sz w:val="19"/>
            <w:szCs w:val="19"/>
            <w:shd w:val="clear" w:color="auto" w:fill="FFFFFF"/>
          </w:rPr>
          <w:t>http://educacionyeducadores.unisabana.edu.co/index.php/eye/article/view/55</w:t>
        </w:r>
      </w:hyperlink>
      <w:r>
        <w:rPr>
          <w:rFonts w:ascii="Verdana" w:hAnsi="Verdana"/>
          <w:color w:val="000000"/>
          <w:sz w:val="19"/>
          <w:szCs w:val="19"/>
          <w:shd w:val="clear" w:color="auto" w:fill="FFFFFF"/>
        </w:rPr>
        <w:t>  </w:t>
      </w:r>
    </w:p>
    <w:sectPr w:rsidR="00F6564D" w:rsidRPr="00091607" w:rsidSect="008045A0">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6FD0" w14:textId="77777777" w:rsidR="0071241F" w:rsidRDefault="0071241F">
      <w:pPr>
        <w:spacing w:after="0" w:line="240" w:lineRule="auto"/>
        <w:ind w:left="0" w:hanging="2"/>
      </w:pPr>
      <w:r>
        <w:separator/>
      </w:r>
    </w:p>
  </w:endnote>
  <w:endnote w:type="continuationSeparator" w:id="0">
    <w:p w14:paraId="71277A85" w14:textId="77777777" w:rsidR="0071241F" w:rsidRDefault="007124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s-CO" w:eastAsia="es-CO"/>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s-CO" w:eastAsia="es-CO"/>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6694" w14:textId="77777777" w:rsidR="0071241F" w:rsidRDefault="0071241F">
      <w:pPr>
        <w:spacing w:after="0" w:line="240" w:lineRule="auto"/>
        <w:ind w:left="0" w:hanging="2"/>
      </w:pPr>
      <w:r>
        <w:separator/>
      </w:r>
    </w:p>
  </w:footnote>
  <w:footnote w:type="continuationSeparator" w:id="0">
    <w:p w14:paraId="019B0F8E" w14:textId="77777777" w:rsidR="0071241F" w:rsidRDefault="007124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lang w:val="es-CO" w:eastAsia="es-CO"/>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1A"/>
    <w:multiLevelType w:val="hybridMultilevel"/>
    <w:tmpl w:val="B2D630D8"/>
    <w:lvl w:ilvl="0" w:tplc="C30060B0">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 w15:restartNumberingAfterBreak="0">
    <w:nsid w:val="03A90E59"/>
    <w:multiLevelType w:val="hybridMultilevel"/>
    <w:tmpl w:val="931C02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2A6836"/>
    <w:multiLevelType w:val="hybridMultilevel"/>
    <w:tmpl w:val="39A6E9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70F5111"/>
    <w:multiLevelType w:val="multilevel"/>
    <w:tmpl w:val="59C8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5413F"/>
    <w:multiLevelType w:val="hybridMultilevel"/>
    <w:tmpl w:val="96524B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9E2C6D"/>
    <w:multiLevelType w:val="hybridMultilevel"/>
    <w:tmpl w:val="48FEC6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393D0E"/>
    <w:multiLevelType w:val="hybridMultilevel"/>
    <w:tmpl w:val="3B84AF5A"/>
    <w:lvl w:ilvl="0" w:tplc="757482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C160EB6"/>
    <w:multiLevelType w:val="hybridMultilevel"/>
    <w:tmpl w:val="2FE60F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460928395">
    <w:abstractNumId w:val="7"/>
  </w:num>
  <w:num w:numId="2" w16cid:durableId="1513909710">
    <w:abstractNumId w:val="2"/>
  </w:num>
  <w:num w:numId="3" w16cid:durableId="1620330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1872710">
    <w:abstractNumId w:val="3"/>
  </w:num>
  <w:num w:numId="5" w16cid:durableId="681593108">
    <w:abstractNumId w:val="6"/>
  </w:num>
  <w:num w:numId="6" w16cid:durableId="768693716">
    <w:abstractNumId w:val="1"/>
  </w:num>
  <w:num w:numId="7" w16cid:durableId="240607074">
    <w:abstractNumId w:val="4"/>
  </w:num>
  <w:num w:numId="8" w16cid:durableId="477184943">
    <w:abstractNumId w:val="0"/>
  </w:num>
  <w:num w:numId="9" w16cid:durableId="931551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5238"/>
    <w:rsid w:val="00012065"/>
    <w:rsid w:val="0002308D"/>
    <w:rsid w:val="00024F4D"/>
    <w:rsid w:val="00052486"/>
    <w:rsid w:val="00052DA1"/>
    <w:rsid w:val="00071FCC"/>
    <w:rsid w:val="00091607"/>
    <w:rsid w:val="000B133D"/>
    <w:rsid w:val="000C4030"/>
    <w:rsid w:val="00154D56"/>
    <w:rsid w:val="00177CB2"/>
    <w:rsid w:val="001A6BA9"/>
    <w:rsid w:val="001B4257"/>
    <w:rsid w:val="001E2A57"/>
    <w:rsid w:val="001F4848"/>
    <w:rsid w:val="002077E7"/>
    <w:rsid w:val="002839EF"/>
    <w:rsid w:val="002B3F7C"/>
    <w:rsid w:val="002D281D"/>
    <w:rsid w:val="002F2D75"/>
    <w:rsid w:val="0031105C"/>
    <w:rsid w:val="003173F2"/>
    <w:rsid w:val="0035306A"/>
    <w:rsid w:val="00353E84"/>
    <w:rsid w:val="003553F4"/>
    <w:rsid w:val="003928F3"/>
    <w:rsid w:val="003E2C4F"/>
    <w:rsid w:val="003F6F8A"/>
    <w:rsid w:val="00406D77"/>
    <w:rsid w:val="00471E09"/>
    <w:rsid w:val="00475803"/>
    <w:rsid w:val="004A25DE"/>
    <w:rsid w:val="004A51C5"/>
    <w:rsid w:val="004F1A06"/>
    <w:rsid w:val="00531579"/>
    <w:rsid w:val="00553B8E"/>
    <w:rsid w:val="00582A40"/>
    <w:rsid w:val="005E030B"/>
    <w:rsid w:val="00601FB0"/>
    <w:rsid w:val="00673FEB"/>
    <w:rsid w:val="0071241F"/>
    <w:rsid w:val="007777FB"/>
    <w:rsid w:val="00777D5D"/>
    <w:rsid w:val="007E413C"/>
    <w:rsid w:val="007E5704"/>
    <w:rsid w:val="008045A0"/>
    <w:rsid w:val="00804921"/>
    <w:rsid w:val="00861247"/>
    <w:rsid w:val="00877545"/>
    <w:rsid w:val="00885037"/>
    <w:rsid w:val="008E0BA9"/>
    <w:rsid w:val="008E7605"/>
    <w:rsid w:val="009649F3"/>
    <w:rsid w:val="00982F65"/>
    <w:rsid w:val="009A6F4C"/>
    <w:rsid w:val="009E787B"/>
    <w:rsid w:val="009F4995"/>
    <w:rsid w:val="00A65846"/>
    <w:rsid w:val="00A773EA"/>
    <w:rsid w:val="00A83462"/>
    <w:rsid w:val="00AD353A"/>
    <w:rsid w:val="00AF5E0D"/>
    <w:rsid w:val="00B07DB0"/>
    <w:rsid w:val="00B20143"/>
    <w:rsid w:val="00B3303B"/>
    <w:rsid w:val="00B60A2E"/>
    <w:rsid w:val="00B758BF"/>
    <w:rsid w:val="00B926A0"/>
    <w:rsid w:val="00BC4B0D"/>
    <w:rsid w:val="00BD04DB"/>
    <w:rsid w:val="00BE7020"/>
    <w:rsid w:val="00BF1D0B"/>
    <w:rsid w:val="00BF301F"/>
    <w:rsid w:val="00C637C2"/>
    <w:rsid w:val="00C732A1"/>
    <w:rsid w:val="00C9318A"/>
    <w:rsid w:val="00C9757C"/>
    <w:rsid w:val="00D03846"/>
    <w:rsid w:val="00D32D80"/>
    <w:rsid w:val="00E33626"/>
    <w:rsid w:val="00E375AD"/>
    <w:rsid w:val="00E45372"/>
    <w:rsid w:val="00E74C7E"/>
    <w:rsid w:val="00ED461F"/>
    <w:rsid w:val="00EF610E"/>
    <w:rsid w:val="00F019F2"/>
    <w:rsid w:val="00F564DB"/>
    <w:rsid w:val="00F57870"/>
    <w:rsid w:val="00F6153B"/>
    <w:rsid w:val="00F6564D"/>
    <w:rsid w:val="00F67C3F"/>
    <w:rsid w:val="00F917CC"/>
    <w:rsid w:val="00F93AE3"/>
    <w:rsid w:val="00FD0D60"/>
    <w:rsid w:val="00FE2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customStyle="1" w:styleId="MenoPendente1">
    <w:name w:val="Menção Pendente1"/>
    <w:basedOn w:val="Fontepargpadro"/>
    <w:uiPriority w:val="99"/>
    <w:semiHidden/>
    <w:unhideWhenUsed/>
    <w:rsid w:val="00AF5E0D"/>
    <w:rPr>
      <w:color w:val="605E5C"/>
      <w:shd w:val="clear" w:color="auto" w:fill="E1DFDD"/>
    </w:rPr>
  </w:style>
  <w:style w:type="paragraph" w:styleId="Textodenotaderodap">
    <w:name w:val="footnote text"/>
    <w:basedOn w:val="Normal"/>
    <w:link w:val="TextodenotaderodapChar"/>
    <w:uiPriority w:val="99"/>
    <w:semiHidden/>
    <w:unhideWhenUsed/>
    <w:rsid w:val="004A25DE"/>
    <w:pPr>
      <w:spacing w:after="0" w:line="240" w:lineRule="auto"/>
      <w:textDirection w:val="lrTb"/>
      <w:textAlignment w:val="auto"/>
    </w:pPr>
  </w:style>
  <w:style w:type="character" w:customStyle="1" w:styleId="TextodenotaderodapChar">
    <w:name w:val="Texto de nota de rodapé Char"/>
    <w:basedOn w:val="Fontepargpadro"/>
    <w:link w:val="Textodenotaderodap"/>
    <w:uiPriority w:val="99"/>
    <w:semiHidden/>
    <w:rsid w:val="004A25DE"/>
    <w:rPr>
      <w:position w:val="-1"/>
      <w:lang w:eastAsia="es-ES"/>
    </w:rPr>
  </w:style>
  <w:style w:type="character" w:styleId="Refdenotaderodap">
    <w:name w:val="footnote reference"/>
    <w:basedOn w:val="Fontepargpadro"/>
    <w:uiPriority w:val="99"/>
    <w:semiHidden/>
    <w:unhideWhenUsed/>
    <w:rsid w:val="004A25DE"/>
    <w:rPr>
      <w:vertAlign w:val="superscript"/>
    </w:rPr>
  </w:style>
  <w:style w:type="paragraph" w:styleId="PargrafodaLista">
    <w:name w:val="List Paragraph"/>
    <w:basedOn w:val="Normal"/>
    <w:uiPriority w:val="34"/>
    <w:qFormat/>
    <w:rsid w:val="00F6153B"/>
    <w:pPr>
      <w:suppressAutoHyphens w:val="0"/>
      <w:spacing w:after="0" w:line="240"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4"/>
      <w:szCs w:val="24"/>
      <w:lang w:val="es-CO" w:eastAsia="en-US"/>
    </w:rPr>
  </w:style>
  <w:style w:type="character" w:styleId="Forte">
    <w:name w:val="Strong"/>
    <w:basedOn w:val="Fontepargpadro"/>
    <w:uiPriority w:val="22"/>
    <w:qFormat/>
    <w:rsid w:val="009A6F4C"/>
    <w:rPr>
      <w:b/>
      <w:bCs/>
    </w:rPr>
  </w:style>
  <w:style w:type="paragraph" w:styleId="Bibliografia">
    <w:name w:val="Bibliography"/>
    <w:basedOn w:val="Normal"/>
    <w:next w:val="Normal"/>
    <w:uiPriority w:val="37"/>
    <w:semiHidden/>
    <w:unhideWhenUsed/>
    <w:rsid w:val="00091607"/>
    <w:pPr>
      <w:textDirection w:val="lrTb"/>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439">
      <w:bodyDiv w:val="1"/>
      <w:marLeft w:val="0"/>
      <w:marRight w:val="0"/>
      <w:marTop w:val="0"/>
      <w:marBottom w:val="0"/>
      <w:divBdr>
        <w:top w:val="none" w:sz="0" w:space="0" w:color="auto"/>
        <w:left w:val="none" w:sz="0" w:space="0" w:color="auto"/>
        <w:bottom w:val="none" w:sz="0" w:space="0" w:color="auto"/>
        <w:right w:val="none" w:sz="0" w:space="0" w:color="auto"/>
      </w:divBdr>
    </w:div>
    <w:div w:id="170948918">
      <w:bodyDiv w:val="1"/>
      <w:marLeft w:val="0"/>
      <w:marRight w:val="0"/>
      <w:marTop w:val="0"/>
      <w:marBottom w:val="0"/>
      <w:divBdr>
        <w:top w:val="none" w:sz="0" w:space="0" w:color="auto"/>
        <w:left w:val="none" w:sz="0" w:space="0" w:color="auto"/>
        <w:bottom w:val="none" w:sz="0" w:space="0" w:color="auto"/>
        <w:right w:val="none" w:sz="0" w:space="0" w:color="auto"/>
      </w:divBdr>
    </w:div>
    <w:div w:id="235240331">
      <w:bodyDiv w:val="1"/>
      <w:marLeft w:val="0"/>
      <w:marRight w:val="0"/>
      <w:marTop w:val="0"/>
      <w:marBottom w:val="0"/>
      <w:divBdr>
        <w:top w:val="none" w:sz="0" w:space="0" w:color="auto"/>
        <w:left w:val="none" w:sz="0" w:space="0" w:color="auto"/>
        <w:bottom w:val="none" w:sz="0" w:space="0" w:color="auto"/>
        <w:right w:val="none" w:sz="0" w:space="0" w:color="auto"/>
      </w:divBdr>
    </w:div>
    <w:div w:id="237331423">
      <w:bodyDiv w:val="1"/>
      <w:marLeft w:val="0"/>
      <w:marRight w:val="0"/>
      <w:marTop w:val="0"/>
      <w:marBottom w:val="0"/>
      <w:divBdr>
        <w:top w:val="none" w:sz="0" w:space="0" w:color="auto"/>
        <w:left w:val="none" w:sz="0" w:space="0" w:color="auto"/>
        <w:bottom w:val="none" w:sz="0" w:space="0" w:color="auto"/>
        <w:right w:val="none" w:sz="0" w:space="0" w:color="auto"/>
      </w:divBdr>
    </w:div>
    <w:div w:id="379211631">
      <w:bodyDiv w:val="1"/>
      <w:marLeft w:val="0"/>
      <w:marRight w:val="0"/>
      <w:marTop w:val="0"/>
      <w:marBottom w:val="0"/>
      <w:divBdr>
        <w:top w:val="none" w:sz="0" w:space="0" w:color="auto"/>
        <w:left w:val="none" w:sz="0" w:space="0" w:color="auto"/>
        <w:bottom w:val="none" w:sz="0" w:space="0" w:color="auto"/>
        <w:right w:val="none" w:sz="0" w:space="0" w:color="auto"/>
      </w:divBdr>
    </w:div>
    <w:div w:id="410810556">
      <w:bodyDiv w:val="1"/>
      <w:marLeft w:val="0"/>
      <w:marRight w:val="0"/>
      <w:marTop w:val="0"/>
      <w:marBottom w:val="0"/>
      <w:divBdr>
        <w:top w:val="none" w:sz="0" w:space="0" w:color="auto"/>
        <w:left w:val="none" w:sz="0" w:space="0" w:color="auto"/>
        <w:bottom w:val="none" w:sz="0" w:space="0" w:color="auto"/>
        <w:right w:val="none" w:sz="0" w:space="0" w:color="auto"/>
      </w:divBdr>
    </w:div>
    <w:div w:id="451940447">
      <w:bodyDiv w:val="1"/>
      <w:marLeft w:val="0"/>
      <w:marRight w:val="0"/>
      <w:marTop w:val="0"/>
      <w:marBottom w:val="0"/>
      <w:divBdr>
        <w:top w:val="none" w:sz="0" w:space="0" w:color="auto"/>
        <w:left w:val="none" w:sz="0" w:space="0" w:color="auto"/>
        <w:bottom w:val="none" w:sz="0" w:space="0" w:color="auto"/>
        <w:right w:val="none" w:sz="0" w:space="0" w:color="auto"/>
      </w:divBdr>
    </w:div>
    <w:div w:id="627661965">
      <w:bodyDiv w:val="1"/>
      <w:marLeft w:val="0"/>
      <w:marRight w:val="0"/>
      <w:marTop w:val="0"/>
      <w:marBottom w:val="0"/>
      <w:divBdr>
        <w:top w:val="none" w:sz="0" w:space="0" w:color="auto"/>
        <w:left w:val="none" w:sz="0" w:space="0" w:color="auto"/>
        <w:bottom w:val="none" w:sz="0" w:space="0" w:color="auto"/>
        <w:right w:val="none" w:sz="0" w:space="0" w:color="auto"/>
      </w:divBdr>
    </w:div>
    <w:div w:id="717751590">
      <w:bodyDiv w:val="1"/>
      <w:marLeft w:val="0"/>
      <w:marRight w:val="0"/>
      <w:marTop w:val="0"/>
      <w:marBottom w:val="0"/>
      <w:divBdr>
        <w:top w:val="none" w:sz="0" w:space="0" w:color="auto"/>
        <w:left w:val="none" w:sz="0" w:space="0" w:color="auto"/>
        <w:bottom w:val="none" w:sz="0" w:space="0" w:color="auto"/>
        <w:right w:val="none" w:sz="0" w:space="0" w:color="auto"/>
      </w:divBdr>
    </w:div>
    <w:div w:id="861171225">
      <w:bodyDiv w:val="1"/>
      <w:marLeft w:val="0"/>
      <w:marRight w:val="0"/>
      <w:marTop w:val="0"/>
      <w:marBottom w:val="0"/>
      <w:divBdr>
        <w:top w:val="none" w:sz="0" w:space="0" w:color="auto"/>
        <w:left w:val="none" w:sz="0" w:space="0" w:color="auto"/>
        <w:bottom w:val="none" w:sz="0" w:space="0" w:color="auto"/>
        <w:right w:val="none" w:sz="0" w:space="0" w:color="auto"/>
      </w:divBdr>
    </w:div>
    <w:div w:id="1060441127">
      <w:bodyDiv w:val="1"/>
      <w:marLeft w:val="0"/>
      <w:marRight w:val="0"/>
      <w:marTop w:val="0"/>
      <w:marBottom w:val="0"/>
      <w:divBdr>
        <w:top w:val="none" w:sz="0" w:space="0" w:color="auto"/>
        <w:left w:val="none" w:sz="0" w:space="0" w:color="auto"/>
        <w:bottom w:val="none" w:sz="0" w:space="0" w:color="auto"/>
        <w:right w:val="none" w:sz="0" w:space="0" w:color="auto"/>
      </w:divBdr>
    </w:div>
    <w:div w:id="1114331064">
      <w:bodyDiv w:val="1"/>
      <w:marLeft w:val="0"/>
      <w:marRight w:val="0"/>
      <w:marTop w:val="0"/>
      <w:marBottom w:val="0"/>
      <w:divBdr>
        <w:top w:val="none" w:sz="0" w:space="0" w:color="auto"/>
        <w:left w:val="none" w:sz="0" w:space="0" w:color="auto"/>
        <w:bottom w:val="none" w:sz="0" w:space="0" w:color="auto"/>
        <w:right w:val="none" w:sz="0" w:space="0" w:color="auto"/>
      </w:divBdr>
    </w:div>
    <w:div w:id="1152017831">
      <w:bodyDiv w:val="1"/>
      <w:marLeft w:val="0"/>
      <w:marRight w:val="0"/>
      <w:marTop w:val="0"/>
      <w:marBottom w:val="0"/>
      <w:divBdr>
        <w:top w:val="none" w:sz="0" w:space="0" w:color="auto"/>
        <w:left w:val="none" w:sz="0" w:space="0" w:color="auto"/>
        <w:bottom w:val="none" w:sz="0" w:space="0" w:color="auto"/>
        <w:right w:val="none" w:sz="0" w:space="0" w:color="auto"/>
      </w:divBdr>
    </w:div>
    <w:div w:id="1294556041">
      <w:bodyDiv w:val="1"/>
      <w:marLeft w:val="0"/>
      <w:marRight w:val="0"/>
      <w:marTop w:val="0"/>
      <w:marBottom w:val="0"/>
      <w:divBdr>
        <w:top w:val="none" w:sz="0" w:space="0" w:color="auto"/>
        <w:left w:val="none" w:sz="0" w:space="0" w:color="auto"/>
        <w:bottom w:val="none" w:sz="0" w:space="0" w:color="auto"/>
        <w:right w:val="none" w:sz="0" w:space="0" w:color="auto"/>
      </w:divBdr>
    </w:div>
    <w:div w:id="1322656016">
      <w:bodyDiv w:val="1"/>
      <w:marLeft w:val="0"/>
      <w:marRight w:val="0"/>
      <w:marTop w:val="0"/>
      <w:marBottom w:val="0"/>
      <w:divBdr>
        <w:top w:val="none" w:sz="0" w:space="0" w:color="auto"/>
        <w:left w:val="none" w:sz="0" w:space="0" w:color="auto"/>
        <w:bottom w:val="none" w:sz="0" w:space="0" w:color="auto"/>
        <w:right w:val="none" w:sz="0" w:space="0" w:color="auto"/>
      </w:divBdr>
    </w:div>
    <w:div w:id="1461805159">
      <w:bodyDiv w:val="1"/>
      <w:marLeft w:val="0"/>
      <w:marRight w:val="0"/>
      <w:marTop w:val="0"/>
      <w:marBottom w:val="0"/>
      <w:divBdr>
        <w:top w:val="none" w:sz="0" w:space="0" w:color="auto"/>
        <w:left w:val="none" w:sz="0" w:space="0" w:color="auto"/>
        <w:bottom w:val="none" w:sz="0" w:space="0" w:color="auto"/>
        <w:right w:val="none" w:sz="0" w:space="0" w:color="auto"/>
      </w:divBdr>
    </w:div>
    <w:div w:id="1569613650">
      <w:bodyDiv w:val="1"/>
      <w:marLeft w:val="0"/>
      <w:marRight w:val="0"/>
      <w:marTop w:val="0"/>
      <w:marBottom w:val="0"/>
      <w:divBdr>
        <w:top w:val="none" w:sz="0" w:space="0" w:color="auto"/>
        <w:left w:val="none" w:sz="0" w:space="0" w:color="auto"/>
        <w:bottom w:val="none" w:sz="0" w:space="0" w:color="auto"/>
        <w:right w:val="none" w:sz="0" w:space="0" w:color="auto"/>
      </w:divBdr>
    </w:div>
    <w:div w:id="1630284660">
      <w:bodyDiv w:val="1"/>
      <w:marLeft w:val="0"/>
      <w:marRight w:val="0"/>
      <w:marTop w:val="0"/>
      <w:marBottom w:val="0"/>
      <w:divBdr>
        <w:top w:val="none" w:sz="0" w:space="0" w:color="auto"/>
        <w:left w:val="none" w:sz="0" w:space="0" w:color="auto"/>
        <w:bottom w:val="none" w:sz="0" w:space="0" w:color="auto"/>
        <w:right w:val="none" w:sz="0" w:space="0" w:color="auto"/>
      </w:divBdr>
    </w:div>
    <w:div w:id="1688018199">
      <w:bodyDiv w:val="1"/>
      <w:marLeft w:val="0"/>
      <w:marRight w:val="0"/>
      <w:marTop w:val="0"/>
      <w:marBottom w:val="0"/>
      <w:divBdr>
        <w:top w:val="none" w:sz="0" w:space="0" w:color="auto"/>
        <w:left w:val="none" w:sz="0" w:space="0" w:color="auto"/>
        <w:bottom w:val="none" w:sz="0" w:space="0" w:color="auto"/>
        <w:right w:val="none" w:sz="0" w:space="0" w:color="auto"/>
      </w:divBdr>
    </w:div>
    <w:div w:id="1985691920">
      <w:bodyDiv w:val="1"/>
      <w:marLeft w:val="0"/>
      <w:marRight w:val="0"/>
      <w:marTop w:val="0"/>
      <w:marBottom w:val="0"/>
      <w:divBdr>
        <w:top w:val="none" w:sz="0" w:space="0" w:color="auto"/>
        <w:left w:val="none" w:sz="0" w:space="0" w:color="auto"/>
        <w:bottom w:val="none" w:sz="0" w:space="0" w:color="auto"/>
        <w:right w:val="none" w:sz="0" w:space="0" w:color="auto"/>
      </w:divBdr>
    </w:div>
    <w:div w:id="2034065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sitory.upb.edu.co/bitstream/handle/20.500.11912/9205/319_1%20%281%29.pdf?sequence=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Isabelc.florez@hot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ducacionyeducadores.unisabana.edu.co/index.php/eye/article/view/5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umed.net/rev/tlatemoani/28/desercion-escolar.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4995/redu.2013.5535"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39728193D1E949994A425C63B48DB3" ma:contentTypeVersion="16" ma:contentTypeDescription="Crear nuevo documento." ma:contentTypeScope="" ma:versionID="e4392a1a9bb747b254e7899693c25848">
  <xsd:schema xmlns:xsd="http://www.w3.org/2001/XMLSchema" xmlns:xs="http://www.w3.org/2001/XMLSchema" xmlns:p="http://schemas.microsoft.com/office/2006/metadata/properties" xmlns:ns3="5507c804-e87b-442b-8af4-44cec3fd5e6f" xmlns:ns4="c44c2032-cf99-4f7d-94b7-7c04b785ff9a" targetNamespace="http://schemas.microsoft.com/office/2006/metadata/properties" ma:root="true" ma:fieldsID="99bb640d69fa672a27751874b7be3b95" ns3:_="" ns4:_="">
    <xsd:import namespace="5507c804-e87b-442b-8af4-44cec3fd5e6f"/>
    <xsd:import namespace="c44c2032-cf99-4f7d-94b7-7c04b785ff9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7c804-e87b-442b-8af4-44cec3fd5e6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c2032-cf99-4f7d-94b7-7c04b785ff9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C535A-E476-4D08-84CF-9684C43E9681}">
  <ds:schemaRefs>
    <ds:schemaRef ds:uri="http://schemas.microsoft.com/sharepoint/v3/contenttype/forms"/>
  </ds:schemaRefs>
</ds:datastoreItem>
</file>

<file path=customXml/itemProps2.xml><?xml version="1.0" encoding="utf-8"?>
<ds:datastoreItem xmlns:ds="http://schemas.openxmlformats.org/officeDocument/2006/customXml" ds:itemID="{5C157086-C25F-4D26-A1BB-96BFEDEB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7c804-e87b-442b-8af4-44cec3fd5e6f"/>
    <ds:schemaRef ds:uri="c44c2032-cf99-4f7d-94b7-7c04b785f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B6093-8ECB-4895-841E-48FC0F18774E}">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42AB010-6C15-464C-A696-2F59A0ADDE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3357</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3</cp:revision>
  <dcterms:created xsi:type="dcterms:W3CDTF">2022-10-21T20:11:00Z</dcterms:created>
  <dcterms:modified xsi:type="dcterms:W3CDTF">2022-10-23T02:12:00Z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0x010100D139728193D1E949994A425C63B48DB3</vt:lpwstr>
  </property>
</Properties>
</file>