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2">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highlight w:val="white"/>
          <w:rtl w:val="0"/>
        </w:rPr>
        <w:t xml:space="preserve">AVALIAÇÃO EM RISCO DE QUEDAS EM IDOSOS ATRAVÉS DA ESCALA DE EQUILÍBRIO DE BERG: UMA REVISÃO INTEGRATIVA</w:t>
      </w:r>
      <w:r w:rsidDel="00000000" w:rsidR="00000000" w:rsidRPr="00000000">
        <w:rPr>
          <w:rtl w:val="0"/>
        </w:rPr>
      </w:r>
    </w:p>
    <w:p w:rsidR="00000000" w:rsidDel="00000000" w:rsidP="00000000" w:rsidRDefault="00000000" w:rsidRPr="00000000" w14:paraId="00000003">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Kamila Raquel Matias de Mesquita</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sz w:val="20"/>
          <w:szCs w:val="20"/>
        </w:rPr>
      </w:pPr>
      <w:hyperlink r:id="rId6">
        <w:r w:rsidDel="00000000" w:rsidR="00000000" w:rsidRPr="00000000">
          <w:rPr>
            <w:rFonts w:ascii="Times New Roman" w:cs="Times New Roman" w:eastAsia="Times New Roman" w:hAnsi="Times New Roman"/>
            <w:sz w:val="20"/>
            <w:szCs w:val="20"/>
            <w:rtl w:val="0"/>
          </w:rPr>
          <w:t xml:space="preserve">kamila.mesquita@aluno.unifametro.edu.br</w:t>
        </w:r>
      </w:hyperlink>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right"/>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Discente - Centro Universitário Fametro - Unifametro</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Karen Silvia Braga Vasconcelos Almeida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sz w:val="20"/>
          <w:szCs w:val="20"/>
        </w:rPr>
      </w:pPr>
      <w:hyperlink r:id="rId7">
        <w:r w:rsidDel="00000000" w:rsidR="00000000" w:rsidRPr="00000000">
          <w:rPr>
            <w:rFonts w:ascii="Times New Roman" w:cs="Times New Roman" w:eastAsia="Times New Roman" w:hAnsi="Times New Roman"/>
            <w:sz w:val="20"/>
            <w:szCs w:val="20"/>
            <w:rtl w:val="0"/>
          </w:rPr>
          <w:t xml:space="preserve">karen.almeida@aluno.unifametro.edu.br</w:t>
        </w:r>
      </w:hyperlink>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Discente - Centro Universitário Fametro - Unifametro</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Nayandra Noronha da Silva</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sz w:val="20"/>
          <w:szCs w:val="20"/>
        </w:rPr>
      </w:pPr>
      <w:hyperlink r:id="rId8">
        <w:r w:rsidDel="00000000" w:rsidR="00000000" w:rsidRPr="00000000">
          <w:rPr>
            <w:rFonts w:ascii="Times New Roman" w:cs="Times New Roman" w:eastAsia="Times New Roman" w:hAnsi="Times New Roman"/>
            <w:sz w:val="20"/>
            <w:szCs w:val="20"/>
            <w:rtl w:val="0"/>
          </w:rPr>
          <w:t xml:space="preserve">nayandra.noronha@aluno.unifametro.edu.br</w:t>
        </w:r>
      </w:hyperlink>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Discente - Centro Universitário Fametro - Unifametro</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Tâmyla Fernandes de Lima</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sz w:val="20"/>
          <w:szCs w:val="20"/>
        </w:rPr>
      </w:pPr>
      <w:hyperlink r:id="rId9">
        <w:r w:rsidDel="00000000" w:rsidR="00000000" w:rsidRPr="00000000">
          <w:rPr>
            <w:rFonts w:ascii="Times New Roman" w:cs="Times New Roman" w:eastAsia="Times New Roman" w:hAnsi="Times New Roman"/>
            <w:sz w:val="20"/>
            <w:szCs w:val="20"/>
            <w:rtl w:val="0"/>
          </w:rPr>
          <w:t xml:space="preserve">tamyla.fernandes@aluno.unifametro.edu.br</w:t>
        </w:r>
      </w:hyperlink>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Discente - Centro Universitário Fametro - Unifametro</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Natália Bitar da Cunha Olegário</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sz w:val="20"/>
          <w:szCs w:val="20"/>
        </w:rPr>
      </w:pPr>
      <w:hyperlink r:id="rId10">
        <w:r w:rsidDel="00000000" w:rsidR="00000000" w:rsidRPr="00000000">
          <w:rPr>
            <w:rFonts w:ascii="Times New Roman" w:cs="Times New Roman" w:eastAsia="Times New Roman" w:hAnsi="Times New Roman"/>
            <w:sz w:val="20"/>
            <w:szCs w:val="20"/>
            <w:rtl w:val="0"/>
          </w:rPr>
          <w:t xml:space="preserve">natalia.olegario@professor.unifametro.edu.br</w:t>
        </w:r>
      </w:hyperlink>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Docente - Centro Universitário Fametro - Unifametro</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Thaís Teles Veras Nunes</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sz w:val="20"/>
          <w:szCs w:val="20"/>
        </w:rPr>
      </w:pPr>
      <w:hyperlink r:id="rId11">
        <w:r w:rsidDel="00000000" w:rsidR="00000000" w:rsidRPr="00000000">
          <w:rPr>
            <w:rFonts w:ascii="Times New Roman" w:cs="Times New Roman" w:eastAsia="Times New Roman" w:hAnsi="Times New Roman"/>
            <w:sz w:val="20"/>
            <w:szCs w:val="20"/>
            <w:rtl w:val="0"/>
          </w:rPr>
          <w:t xml:space="preserve">thais.nunes@professor.unifametro.edu.br</w:t>
        </w:r>
      </w:hyperlink>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Docente - Centro Universitário Fametro - Unifametro</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righ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right"/>
        <w:rPr>
          <w:rFonts w:ascii="Arial" w:cs="Arial" w:eastAsia="Arial" w:hAnsi="Arial"/>
          <w:color w:val="808080"/>
          <w:sz w:val="23.999998092651367"/>
          <w:szCs w:val="23.999998092651367"/>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Área Temática: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color w:val="808080"/>
          <w:sz w:val="23.999998092651367"/>
          <w:szCs w:val="23.999998092651367"/>
          <w:rtl w:val="0"/>
        </w:rPr>
        <w:t xml:space="preserve">Promoção, prevenção e reabilitação em Fisioterapia.</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righ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Área de Conhecimento: </w:t>
      </w:r>
      <w:r w:rsidDel="00000000" w:rsidR="00000000" w:rsidRPr="00000000">
        <w:rPr>
          <w:rFonts w:ascii="Arial" w:cs="Arial" w:eastAsia="Arial" w:hAnsi="Arial"/>
          <w:color w:val="808080"/>
          <w:sz w:val="22"/>
          <w:szCs w:val="22"/>
          <w:rtl w:val="0"/>
        </w:rPr>
        <w:t xml:space="preserve">Ciências da Saúde</w:t>
      </w:r>
      <w:r w:rsidDel="00000000" w:rsidR="00000000" w:rsidRPr="00000000">
        <w:rPr>
          <w:rFonts w:ascii="Calibri" w:cs="Calibri" w:eastAsia="Calibri" w:hAnsi="Calibri"/>
          <w:b w:val="0"/>
          <w:i w:val="0"/>
          <w:smallCaps w:val="0"/>
          <w:strike w:val="0"/>
          <w:color w:val="80808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Encontro Científico: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color w:val="808080"/>
          <w:sz w:val="23.999998092651367"/>
          <w:szCs w:val="23.999998092651367"/>
          <w:rtl w:val="0"/>
        </w:rPr>
        <w:t xml:space="preserve">X Encontro de Iniciação à Pesquisa</w:t>
      </w:r>
      <w:r w:rsidDel="00000000" w:rsidR="00000000" w:rsidRPr="00000000">
        <w:rPr>
          <w:rFonts w:ascii="Liberation Serif" w:cs="Liberation Serif" w:eastAsia="Liberation Serif" w:hAnsi="Liberation Serif"/>
          <w:b w:val="0"/>
          <w:i w:val="0"/>
          <w:smallCaps w:val="0"/>
          <w:strike w:val="0"/>
          <w:color w:val="80808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D">
      <w:pPr>
        <w:spacing w:line="360"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E">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Introdução: </w:t>
      </w:r>
      <w:r w:rsidDel="00000000" w:rsidR="00000000" w:rsidRPr="00000000">
        <w:rPr>
          <w:rFonts w:ascii="Times New Roman" w:cs="Times New Roman" w:eastAsia="Times New Roman" w:hAnsi="Times New Roman"/>
          <w:rtl w:val="0"/>
        </w:rPr>
        <w:t xml:space="preserve">O envelhecimento traz marcos na saúde, podendo ou não acometer de forma significativa a cognição e a funcionalidade. Muito se discute sobre os riscos que um episódio de queda pode acarretar na longevidade de um idoso, tornando este um marcante problema para a população idosa, já que pode levar a incapacidade ou morte. No entanto as quedas podem estar relacionadas a fatores fisiológicos, ambientais e psicossociais, como por exemplo manifestações patológicas já existentes, alterações no equilíbrio, tráfego em locais com infraestrutura reduzida entre outros. Logo se tem a necessidade de buscar estratégias que auxiliem na prevenção de quedas, tendo em vista que a grande maioria desse grupo irá necessitar de hospitalização e posteriormente de cuidados especiais, requerendo um custo social mais elevado, principalmente quando o idoso tem diminuição da autonomia e independência. </w:t>
      </w:r>
      <w:r w:rsidDel="00000000" w:rsidR="00000000" w:rsidRPr="00000000">
        <w:rPr>
          <w:rFonts w:ascii="Times New Roman" w:cs="Times New Roman" w:eastAsia="Times New Roman" w:hAnsi="Times New Roman"/>
          <w:b w:val="1"/>
          <w:rtl w:val="0"/>
        </w:rPr>
        <w:t xml:space="preserve">Objetivo: </w:t>
      </w:r>
      <w:r w:rsidDel="00000000" w:rsidR="00000000" w:rsidRPr="00000000">
        <w:rPr>
          <w:rFonts w:ascii="Times New Roman" w:cs="Times New Roman" w:eastAsia="Times New Roman" w:hAnsi="Times New Roman"/>
          <w:rtl w:val="0"/>
        </w:rPr>
        <w:t xml:space="preserve">Realizar uma revisão integrativa da literatura sobre risco de queda em idosos avaliados através da Escala Equilíbrio de Berg. </w:t>
      </w:r>
      <w:r w:rsidDel="00000000" w:rsidR="00000000" w:rsidRPr="00000000">
        <w:rPr>
          <w:rFonts w:ascii="Times New Roman" w:cs="Times New Roman" w:eastAsia="Times New Roman" w:hAnsi="Times New Roman"/>
          <w:b w:val="1"/>
          <w:rtl w:val="0"/>
        </w:rPr>
        <w:t xml:space="preserve">Metodologia: </w:t>
      </w:r>
      <w:r w:rsidDel="00000000" w:rsidR="00000000" w:rsidRPr="00000000">
        <w:rPr>
          <w:rFonts w:ascii="Times New Roman" w:cs="Times New Roman" w:eastAsia="Times New Roman" w:hAnsi="Times New Roman"/>
          <w:rtl w:val="0"/>
        </w:rPr>
        <w:t xml:space="preserve">Trata-se de uma revisão integrativa onde foram analisados estudos sobre a Escala de Equilíbrio de Berg. A busca foi feita em setembro de 2022 através de artigos científicos com a utilização das bases de dados eletrônicos do Portal Regional da BVS e Scielo, utilizando descritores: Escala de Berg, Idosos, Queda. Dos 116 artigos que foram encontrados, apenas 8 foram incluídos. Foi utilizado como critério de exclusão artigos que fugissem do tema central, artigos duplicados, estudo de caso, resumo ilegível, tese de doutorado. Todos tendo como critério de inclusão em comum ser artigo científico voltado para a abordagem da Escala de Berg publicados nos últimos 10 anos e em idioma português, sendo estudo transversal, estudo comparativo, estudo experimental e revisão integrativa. </w:t>
      </w:r>
      <w:r w:rsidDel="00000000" w:rsidR="00000000" w:rsidRPr="00000000">
        <w:rPr>
          <w:rFonts w:ascii="Times New Roman" w:cs="Times New Roman" w:eastAsia="Times New Roman" w:hAnsi="Times New Roman"/>
          <w:b w:val="1"/>
          <w:rtl w:val="0"/>
        </w:rPr>
        <w:t xml:space="preserve">Resultados e Discussão: </w:t>
      </w:r>
      <w:r w:rsidDel="00000000" w:rsidR="00000000" w:rsidRPr="00000000">
        <w:rPr>
          <w:rFonts w:ascii="Times New Roman" w:cs="Times New Roman" w:eastAsia="Times New Roman" w:hAnsi="Times New Roman"/>
          <w:rtl w:val="0"/>
        </w:rPr>
        <w:t xml:space="preserve">A partir dos estudos avaliados, foi possível determinar que a Escala de Berg foi correlacionada com outros testes, detectaram resultados similares, porém em estudos a Escala de Equilíbrio de Berg se destacou positivamente, sendo um teste mais demorado, que exige um treinamento maior do aplicador. </w:t>
      </w:r>
      <w:r w:rsidDel="00000000" w:rsidR="00000000" w:rsidRPr="00000000">
        <w:rPr>
          <w:rFonts w:ascii="Times New Roman" w:cs="Times New Roman" w:eastAsia="Times New Roman" w:hAnsi="Times New Roman"/>
          <w:b w:val="1"/>
          <w:rtl w:val="0"/>
        </w:rPr>
        <w:t xml:space="preserve">Considerações finais: </w:t>
      </w:r>
      <w:r w:rsidDel="00000000" w:rsidR="00000000" w:rsidRPr="00000000">
        <w:rPr>
          <w:rFonts w:ascii="Times New Roman" w:cs="Times New Roman" w:eastAsia="Times New Roman" w:hAnsi="Times New Roman"/>
          <w:rtl w:val="0"/>
        </w:rPr>
        <w:t xml:space="preserve">Os artigos estudados sugerem que a Escala de Equilíbrio de Berg possibilita resultados altamente específicos de forma a prever a necessidade de utilizar mecanismos de assistência ao idoso e não tão específica para identificar os risco de quedas, assim contribuindo para escolha de dispositivos com finalidade de auxiliar na prevenção de quedas, evitando futuros agravos.</w:t>
      </w:r>
    </w:p>
    <w:p w:rsidR="00000000" w:rsidDel="00000000" w:rsidP="00000000" w:rsidRDefault="00000000" w:rsidRPr="00000000" w14:paraId="0000001F">
      <w:pPr>
        <w:spacing w:line="3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0">
      <w:pPr>
        <w:spacing w:line="360"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1">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Palavras-chave:</w:t>
      </w:r>
      <w:r w:rsidDel="00000000" w:rsidR="00000000" w:rsidRPr="00000000">
        <w:rPr>
          <w:rFonts w:ascii="Times New Roman" w:cs="Times New Roman" w:eastAsia="Times New Roman" w:hAnsi="Times New Roman"/>
          <w:rtl w:val="0"/>
        </w:rPr>
        <w:t xml:space="preserve"> Escala de Equilíbrio de Berg; Idosos; Queda.</w:t>
      </w:r>
    </w:p>
    <w:p w:rsidR="00000000" w:rsidDel="00000000" w:rsidP="00000000" w:rsidRDefault="00000000" w:rsidRPr="00000000" w14:paraId="00000022">
      <w:pPr>
        <w:spacing w:line="3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3">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Referências: </w:t>
      </w:r>
      <w:r w:rsidDel="00000000" w:rsidR="00000000" w:rsidRPr="00000000">
        <w:rPr>
          <w:rFonts w:ascii="Times New Roman" w:cs="Times New Roman" w:eastAsia="Times New Roman" w:hAnsi="Times New Roman"/>
          <w:rtl w:val="0"/>
        </w:rPr>
        <w:t xml:space="preserve">FERRARESI, J. R. et al. Avaliação do equilíbrio e do nível de independência funcional de idosos da comunidade. </w:t>
      </w:r>
      <w:r w:rsidDel="00000000" w:rsidR="00000000" w:rsidRPr="00000000">
        <w:rPr>
          <w:rFonts w:ascii="Times New Roman" w:cs="Times New Roman" w:eastAsia="Times New Roman" w:hAnsi="Times New Roman"/>
          <w:b w:val="1"/>
          <w:rtl w:val="0"/>
        </w:rPr>
        <w:t xml:space="preserve">Revista Brasileira de Geriatria e Gerontologia [online]</w:t>
      </w:r>
      <w:r w:rsidDel="00000000" w:rsidR="00000000" w:rsidRPr="00000000">
        <w:rPr>
          <w:rFonts w:ascii="Times New Roman" w:cs="Times New Roman" w:eastAsia="Times New Roman" w:hAnsi="Times New Roman"/>
          <w:rtl w:val="0"/>
        </w:rPr>
        <w:t xml:space="preserve">. 2015, v. 18, n. 3.</w:t>
      </w:r>
    </w:p>
    <w:p w:rsidR="00000000" w:rsidDel="00000000" w:rsidP="00000000" w:rsidRDefault="00000000" w:rsidRPr="00000000" w14:paraId="00000024">
      <w:pPr>
        <w:spacing w:after="20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FARIAS, M. L. et al. Equilíbrio, mobilidade funcional e qualidade de vida em idosos participantes e não participantes de um centro de convivência. </w:t>
      </w:r>
      <w:r w:rsidDel="00000000" w:rsidR="00000000" w:rsidRPr="00000000">
        <w:rPr>
          <w:rFonts w:ascii="Times New Roman" w:cs="Times New Roman" w:eastAsia="Times New Roman" w:hAnsi="Times New Roman"/>
          <w:b w:val="1"/>
          <w:rtl w:val="0"/>
        </w:rPr>
        <w:t xml:space="preserve">Sci. med. (Porto Alegre, Online)</w:t>
      </w:r>
      <w:r w:rsidDel="00000000" w:rsidR="00000000" w:rsidRPr="00000000">
        <w:rPr>
          <w:rFonts w:ascii="Times New Roman" w:cs="Times New Roman" w:eastAsia="Times New Roman" w:hAnsi="Times New Roman"/>
          <w:rtl w:val="0"/>
        </w:rPr>
        <w:t xml:space="preserve"> ; 27(4): ID27400, out-dez 2017.</w:t>
      </w:r>
    </w:p>
    <w:p w:rsidR="00000000" w:rsidDel="00000000" w:rsidP="00000000" w:rsidRDefault="00000000" w:rsidRPr="00000000" w14:paraId="00000025">
      <w:pPr>
        <w:spacing w:after="20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PEREIRA L. M. et al. Impacto do treinamento funcional no equilíbrio e funcionalidade de idosos não institucionalizados. </w:t>
      </w:r>
      <w:r w:rsidDel="00000000" w:rsidR="00000000" w:rsidRPr="00000000">
        <w:rPr>
          <w:rFonts w:ascii="Times New Roman" w:cs="Times New Roman" w:eastAsia="Times New Roman" w:hAnsi="Times New Roman"/>
          <w:b w:val="1"/>
          <w:rtl w:val="0"/>
        </w:rPr>
        <w:t xml:space="preserve">R. bras. Ci. e Mov</w:t>
      </w:r>
      <w:r w:rsidDel="00000000" w:rsidR="00000000" w:rsidRPr="00000000">
        <w:rPr>
          <w:rFonts w:ascii="Times New Roman" w:cs="Times New Roman" w:eastAsia="Times New Roman" w:hAnsi="Times New Roman"/>
          <w:rtl w:val="0"/>
        </w:rPr>
        <w:t xml:space="preserve"> 2017;25(1):79-89.</w:t>
      </w:r>
    </w:p>
    <w:p w:rsidR="00000000" w:rsidDel="00000000" w:rsidP="00000000" w:rsidRDefault="00000000" w:rsidRPr="00000000" w14:paraId="00000026">
      <w:pPr>
        <w:spacing w:after="20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REIS, Luciana de Araújo; ROCHA, Thais de Souza; DUARTE, Stênio Fernando Pimentel. Quedas: risco e fatores associados em idosos institucionalizados. </w:t>
      </w:r>
      <w:r w:rsidDel="00000000" w:rsidR="00000000" w:rsidRPr="00000000">
        <w:rPr>
          <w:rFonts w:ascii="Times New Roman" w:cs="Times New Roman" w:eastAsia="Times New Roman" w:hAnsi="Times New Roman"/>
          <w:b w:val="1"/>
          <w:rtl w:val="0"/>
        </w:rPr>
        <w:t xml:space="preserve">Revista Baiana de Enfermagem, Salvador</w:t>
      </w:r>
      <w:r w:rsidDel="00000000" w:rsidR="00000000" w:rsidRPr="00000000">
        <w:rPr>
          <w:rFonts w:ascii="Times New Roman" w:cs="Times New Roman" w:eastAsia="Times New Roman" w:hAnsi="Times New Roman"/>
          <w:rtl w:val="0"/>
        </w:rPr>
        <w:t xml:space="preserve">, v. 28, n. 3, p. 225-234, set./dez. 2014.</w:t>
      </w:r>
    </w:p>
    <w:p w:rsidR="00000000" w:rsidDel="00000000" w:rsidP="00000000" w:rsidRDefault="00000000" w:rsidRPr="00000000" w14:paraId="00000027">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 BENNETT, J. R. D. et al. Avaliação e intervenção do equilíbrio em idosos. </w:t>
      </w:r>
      <w:r w:rsidDel="00000000" w:rsidR="00000000" w:rsidRPr="00000000">
        <w:rPr>
          <w:rFonts w:ascii="Times New Roman" w:cs="Times New Roman" w:eastAsia="Times New Roman" w:hAnsi="Times New Roman"/>
          <w:b w:val="1"/>
          <w:rtl w:val="0"/>
        </w:rPr>
        <w:t xml:space="preserve">Revista</w:t>
      </w:r>
    </w:p>
    <w:p w:rsidR="00000000" w:rsidDel="00000000" w:rsidP="00000000" w:rsidRDefault="00000000" w:rsidRPr="00000000" w14:paraId="00000028">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 de Enfermagem UFPE online</w:t>
      </w:r>
      <w:r w:rsidDel="00000000" w:rsidR="00000000" w:rsidRPr="00000000">
        <w:rPr>
          <w:rFonts w:ascii="Times New Roman" w:cs="Times New Roman" w:eastAsia="Times New Roman" w:hAnsi="Times New Roman"/>
          <w:rtl w:val="0"/>
        </w:rPr>
        <w:t xml:space="preserve">, [S.l.], v. 12, n. 9, p. 2479-2499, set. 2018. ISSN</w:t>
      </w:r>
    </w:p>
    <w:p w:rsidR="00000000" w:rsidDel="00000000" w:rsidP="00000000" w:rsidRDefault="00000000" w:rsidRPr="00000000" w14:paraId="00000029">
      <w:pPr>
        <w:spacing w:after="20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1981-8963.</w:t>
      </w:r>
    </w:p>
    <w:p w:rsidR="00000000" w:rsidDel="00000000" w:rsidP="00000000" w:rsidRDefault="00000000" w:rsidRPr="00000000" w14:paraId="0000002A">
      <w:pPr>
        <w:spacing w:after="20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SILVA, J. M. N. et al. Correlação entre o risco de queda e autonomia funcional em idosos institucionalizados. </w:t>
      </w:r>
      <w:r w:rsidDel="00000000" w:rsidR="00000000" w:rsidRPr="00000000">
        <w:rPr>
          <w:rFonts w:ascii="Times New Roman" w:cs="Times New Roman" w:eastAsia="Times New Roman" w:hAnsi="Times New Roman"/>
          <w:b w:val="1"/>
          <w:rtl w:val="0"/>
        </w:rPr>
        <w:t xml:space="preserve">Revista Brasileira de Geriatria e Gerontologia [online]</w:t>
      </w:r>
      <w:r w:rsidDel="00000000" w:rsidR="00000000" w:rsidRPr="00000000">
        <w:rPr>
          <w:rFonts w:ascii="Times New Roman" w:cs="Times New Roman" w:eastAsia="Times New Roman" w:hAnsi="Times New Roman"/>
          <w:rtl w:val="0"/>
        </w:rPr>
        <w:t xml:space="preserve">. 2013, v. 16, n. 2.</w:t>
      </w:r>
    </w:p>
    <w:p w:rsidR="00000000" w:rsidDel="00000000" w:rsidP="00000000" w:rsidRDefault="00000000" w:rsidRPr="00000000" w14:paraId="0000002B">
      <w:pPr>
        <w:spacing w:after="20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SABCHUK, Renata Alyne Czajka; BENTO, Paulo Cesar Barauce e RODACKI, André Luiz Félix. Comparação entre testes de equilíbrio de campo e plataforma de força. </w:t>
      </w:r>
      <w:r w:rsidDel="00000000" w:rsidR="00000000" w:rsidRPr="00000000">
        <w:rPr>
          <w:rFonts w:ascii="Times New Roman" w:cs="Times New Roman" w:eastAsia="Times New Roman" w:hAnsi="Times New Roman"/>
          <w:b w:val="1"/>
          <w:rtl w:val="0"/>
        </w:rPr>
        <w:t xml:space="preserve">Revista Brasileira de Medicina do Esporte [online]</w:t>
      </w:r>
      <w:r w:rsidDel="00000000" w:rsidR="00000000" w:rsidRPr="00000000">
        <w:rPr>
          <w:rFonts w:ascii="Times New Roman" w:cs="Times New Roman" w:eastAsia="Times New Roman" w:hAnsi="Times New Roman"/>
          <w:rtl w:val="0"/>
        </w:rPr>
        <w:t xml:space="preserve">. 2012, v. 18, n. 6.</w:t>
      </w:r>
    </w:p>
    <w:p w:rsidR="00000000" w:rsidDel="00000000" w:rsidP="00000000" w:rsidRDefault="00000000" w:rsidRPr="00000000" w14:paraId="0000002C">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MÜJDECI, Banu; AKSOY, Songul e ATAS, Ahmet. Avaliação do equilíbrio em idosos que sofrem queda e aqueles que não sofrem quedas. </w:t>
      </w:r>
      <w:r w:rsidDel="00000000" w:rsidR="00000000" w:rsidRPr="00000000">
        <w:rPr>
          <w:rFonts w:ascii="Times New Roman" w:cs="Times New Roman" w:eastAsia="Times New Roman" w:hAnsi="Times New Roman"/>
          <w:b w:val="1"/>
          <w:rtl w:val="0"/>
        </w:rPr>
        <w:t xml:space="preserve">Brazilian Journal of Otorhinolaryngology [online]</w:t>
      </w:r>
      <w:r w:rsidDel="00000000" w:rsidR="00000000" w:rsidRPr="00000000">
        <w:rPr>
          <w:rFonts w:ascii="Times New Roman" w:cs="Times New Roman" w:eastAsia="Times New Roman" w:hAnsi="Times New Roman"/>
          <w:rtl w:val="0"/>
        </w:rPr>
        <w:t xml:space="preserve">. 2012, v. 78, n. 5.</w:t>
      </w:r>
    </w:p>
    <w:sectPr>
      <w:headerReference r:id="rId12" w:type="default"/>
      <w:headerReference r:id="rId13" w:type="first"/>
      <w:footerReference r:id="rId14" w:type="default"/>
      <w:footerReference r:id="rId15" w:type="first"/>
      <w:pgSz w:h="16838" w:w="11906" w:orient="portrait"/>
      <w:pgMar w:bottom="1134" w:top="1701" w:left="1701" w:right="1134" w:header="567"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Arial"/>
  <w:font w:name="Calibri"/>
  <w:font w:name="Liberation Serif"/>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5815965</wp:posOffset>
          </wp:positionH>
          <wp:positionV relativeFrom="paragraph">
            <wp:posOffset>370205</wp:posOffset>
          </wp:positionV>
          <wp:extent cx="5760085" cy="201930"/>
          <wp:effectExtent b="0" l="0" r="0" t="0"/>
          <wp:wrapNone/>
          <wp:docPr id="5"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5760085" cy="20193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-1756409</wp:posOffset>
          </wp:positionH>
          <wp:positionV relativeFrom="paragraph">
            <wp:posOffset>367030</wp:posOffset>
          </wp:positionV>
          <wp:extent cx="5760085" cy="201930"/>
          <wp:effectExtent b="0" l="0" r="0" t="0"/>
          <wp:wrapNone/>
          <wp:docPr id="4"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5760085" cy="201930"/>
                  </a:xfrm>
                  <a:prstGeom prst="rect"/>
                  <a:ln/>
                </pic:spPr>
              </pic:pic>
            </a:graphicData>
          </a:graphic>
        </wp:anchor>
      </w:drawing>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-1080134</wp:posOffset>
          </wp:positionH>
          <wp:positionV relativeFrom="paragraph">
            <wp:posOffset>332105</wp:posOffset>
          </wp:positionV>
          <wp:extent cx="7562850" cy="284480"/>
          <wp:effectExtent b="0" l="0" r="0" t="0"/>
          <wp:wrapNone/>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7562850" cy="28448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1993900</wp:posOffset>
          </wp:positionH>
          <wp:positionV relativeFrom="paragraph">
            <wp:posOffset>0</wp:posOffset>
          </wp:positionV>
          <wp:extent cx="1771650" cy="650528"/>
          <wp:effectExtent b="0" l="0" r="0" t="0"/>
          <wp:wrapSquare wrapText="bothSides" distB="0" distT="0" distL="114300" distR="114300"/>
          <wp:docPr descr="Unifametro | Formar para transformar" id="7" name="image4.png"/>
          <a:graphic>
            <a:graphicData uri="http://schemas.openxmlformats.org/drawingml/2006/picture">
              <pic:pic>
                <pic:nvPicPr>
                  <pic:cNvPr descr="Unifametro | Formar para transformar" id="0" name="image4.png"/>
                  <pic:cNvPicPr preferRelativeResize="0"/>
                </pic:nvPicPr>
                <pic:blipFill>
                  <a:blip r:embed="rId2"/>
                  <a:srcRect b="0" l="0" r="0" t="0"/>
                  <a:stretch>
                    <a:fillRect/>
                  </a:stretch>
                </pic:blipFill>
                <pic:spPr>
                  <a:xfrm>
                    <a:off x="0" y="0"/>
                    <a:ext cx="1771650" cy="650528"/>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-3809</wp:posOffset>
          </wp:positionH>
          <wp:positionV relativeFrom="paragraph">
            <wp:posOffset>1905</wp:posOffset>
          </wp:positionV>
          <wp:extent cx="1955492" cy="828675"/>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955492" cy="828675"/>
                  </a:xfrm>
                  <a:prstGeom prst="rect"/>
                  <a:ln/>
                </pic:spPr>
              </pic:pic>
            </a:graphicData>
          </a:graphic>
        </wp:anchor>
      </w:drawing>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214"/>
      </w:tabs>
      <w:spacing w:after="120" w:before="0" w:line="240" w:lineRule="auto"/>
      <w:ind w:left="3544" w:right="-143"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CONEXÃO UNIFAMETRO 2022</w:t>
    </w: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214"/>
      </w:tabs>
      <w:spacing w:after="120" w:before="0" w:line="240" w:lineRule="auto"/>
      <w:ind w:left="3544" w:right="-143"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XVIII SEMANA ACADÊMICA</w:t>
    </w: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214"/>
      </w:tabs>
      <w:spacing w:after="120" w:before="0" w:line="240" w:lineRule="auto"/>
      <w:ind w:left="3544" w:right="-14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ISSN: 2357-8645</w:t>
    </w: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-60959</wp:posOffset>
          </wp:positionH>
          <wp:positionV relativeFrom="paragraph">
            <wp:posOffset>40005</wp:posOffset>
          </wp:positionV>
          <wp:extent cx="2232025" cy="700405"/>
          <wp:effectExtent b="0" l="0" r="0" t="0"/>
          <wp:wrapNone/>
          <wp:docPr id="3" name="image5.png"/>
          <a:graphic>
            <a:graphicData uri="http://schemas.openxmlformats.org/drawingml/2006/picture">
              <pic:pic>
                <pic:nvPicPr>
                  <pic:cNvPr id="0" name="image5.png"/>
                  <pic:cNvPicPr preferRelativeResize="0"/>
                </pic:nvPicPr>
                <pic:blipFill>
                  <a:blip r:embed="rId1"/>
                  <a:srcRect b="0" l="0" r="0" t="0"/>
                  <a:stretch>
                    <a:fillRect/>
                  </a:stretch>
                </pic:blipFill>
                <pic:spPr>
                  <a:xfrm>
                    <a:off x="0" y="0"/>
                    <a:ext cx="2232025" cy="70040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2285365</wp:posOffset>
          </wp:positionH>
          <wp:positionV relativeFrom="paragraph">
            <wp:posOffset>136525</wp:posOffset>
          </wp:positionV>
          <wp:extent cx="73660" cy="756285"/>
          <wp:effectExtent b="0" l="0" r="0" t="0"/>
          <wp:wrapNone/>
          <wp:docPr id="6" name="image6.png"/>
          <a:graphic>
            <a:graphicData uri="http://schemas.openxmlformats.org/drawingml/2006/picture">
              <pic:pic>
                <pic:nvPicPr>
                  <pic:cNvPr id="0" name="image6.png"/>
                  <pic:cNvPicPr preferRelativeResize="0"/>
                </pic:nvPicPr>
                <pic:blipFill>
                  <a:blip r:embed="rId2"/>
                  <a:srcRect b="0" l="-26549" r="0" t="54395"/>
                  <a:stretch>
                    <a:fillRect/>
                  </a:stretch>
                </pic:blipFill>
                <pic:spPr>
                  <a:xfrm>
                    <a:off x="0" y="0"/>
                    <a:ext cx="73660" cy="756285"/>
                  </a:xfrm>
                  <a:prstGeom prst="rect"/>
                  <a:ln/>
                </pic:spPr>
              </pic:pic>
            </a:graphicData>
          </a:graphic>
        </wp:anchor>
      </w:drawing>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214"/>
      </w:tabs>
      <w:spacing w:after="120" w:before="0" w:line="240" w:lineRule="auto"/>
      <w:ind w:left="3969" w:right="-143"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CONEXÃO UNIFAMETRO 2019: DIVERSIDADES TECNOLÓGICAS E SEUS IMPACTOS SUSTENTÁVEIS</w:t>
    </w: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214"/>
      </w:tabs>
      <w:spacing w:after="120" w:before="0" w:line="240" w:lineRule="auto"/>
      <w:ind w:left="3969" w:right="-143"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XV SEMANA ACADÊMICA</w:t>
    </w: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214"/>
      </w:tabs>
      <w:spacing w:after="120" w:before="0" w:line="240" w:lineRule="auto"/>
      <w:ind w:left="3969" w:right="-14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ISSN: 2357-8645</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Liberation Serif" w:cs="Liberation Serif" w:eastAsia="Liberation Serif" w:hAnsi="Liberation Serif"/>
        <w:sz w:val="24"/>
        <w:szCs w:val="24"/>
        <w:lang w:val="pt-BR"/>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480" w:lineRule="auto"/>
    </w:pPr>
    <w:rPr>
      <w:b w:val="1"/>
      <w:color w:val="345a8a"/>
      <w:sz w:val="32"/>
      <w:szCs w:val="32"/>
    </w:rPr>
  </w:style>
  <w:style w:type="paragraph" w:styleId="Heading2">
    <w:name w:val="heading 2"/>
    <w:basedOn w:val="Normal"/>
    <w:next w:val="Normal"/>
    <w:pPr>
      <w:spacing w:before="200" w:lineRule="auto"/>
    </w:pPr>
    <w:rPr>
      <w:b w:val="1"/>
      <w:color w:val="4f81bd"/>
      <w:sz w:val="26"/>
      <w:szCs w:val="26"/>
    </w:rPr>
  </w:style>
  <w:style w:type="paragraph" w:styleId="Heading3">
    <w:name w:val="heading 3"/>
    <w:basedOn w:val="Normal"/>
    <w:next w:val="Normal"/>
    <w:pPr>
      <w:spacing w:before="200" w:lineRule="auto"/>
    </w:pPr>
    <w:rPr>
      <w:b w:val="1"/>
      <w:color w:val="4f81bd"/>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300" w:lineRule="auto"/>
    </w:pPr>
    <w:rPr>
      <w:color w:val="17365d"/>
      <w:sz w:val="52"/>
      <w:szCs w:val="52"/>
    </w:rPr>
  </w:style>
  <w:style w:type="paragraph" w:styleId="Subtitle">
    <w:name w:val="Subtitle"/>
    <w:basedOn w:val="Normal"/>
    <w:next w:val="Normal"/>
    <w:pPr/>
    <w:rPr>
      <w:i w:val="1"/>
      <w:color w:val="4f81bd"/>
      <w:sz w:val="24"/>
      <w:szCs w:val="24"/>
    </w:rPr>
  </w:style>
</w:styles>
</file>

<file path=word/_rels/document.xml.rels><?xml version="1.0" encoding="UTF-8" standalone="yes"?><Relationships xmlns="http://schemas.openxmlformats.org/package/2006/relationships"><Relationship Id="rId11" Type="http://schemas.openxmlformats.org/officeDocument/2006/relationships/hyperlink" Target="mailto:thais.nunes@professor.unifametro.edu.br" TargetMode="External"/><Relationship Id="rId10" Type="http://schemas.openxmlformats.org/officeDocument/2006/relationships/hyperlink" Target="mailto:natalia.olegario@professor.unifametro.edu.br" TargetMode="External"/><Relationship Id="rId13" Type="http://schemas.openxmlformats.org/officeDocument/2006/relationships/header" Target="header2.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tamyla.fernandes@aluno.unifametro.edu.br" TargetMode="External"/><Relationship Id="rId15" Type="http://schemas.openxmlformats.org/officeDocument/2006/relationships/footer" Target="footer1.xml"/><Relationship Id="rId14" Type="http://schemas.openxmlformats.org/officeDocument/2006/relationships/footer" Target="footer2.xml"/><Relationship Id="rId5" Type="http://schemas.openxmlformats.org/officeDocument/2006/relationships/styles" Target="styles.xml"/><Relationship Id="rId6" Type="http://schemas.openxmlformats.org/officeDocument/2006/relationships/hyperlink" Target="mailto:kamila.mesquita@aluno.unifametro.edu.br" TargetMode="External"/><Relationship Id="rId7" Type="http://schemas.openxmlformats.org/officeDocument/2006/relationships/hyperlink" Target="mailto:karen.almeida@aluno.unifametro.edu.br" TargetMode="External"/><Relationship Id="rId8" Type="http://schemas.openxmlformats.org/officeDocument/2006/relationships/hyperlink" Target="mailto:nayandra.noronha@aluno.unifametro.edu.b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 Id="rId2"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